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FA0E44" w:rsidP="00FA0E44">
      <w:pPr>
        <w:pStyle w:val="big-header"/>
        <w:ind w:left="0" w:right="1134"/>
        <w:rPr>
          <w:rFonts w:cs="FrankRuehl" w:hint="cs"/>
          <w:rtl/>
        </w:rPr>
      </w:pPr>
      <w:r>
        <w:rPr>
          <w:rFonts w:cs="FrankRuehl" w:hint="cs"/>
          <w:rtl/>
        </w:rPr>
        <w:t>תקנות העיריות (חובת שיתוף פעולה תעשייתי</w:t>
      </w:r>
      <w:r w:rsidR="00564525" w:rsidRPr="00536FF0">
        <w:rPr>
          <w:rFonts w:cs="FrankRuehl" w:hint="cs"/>
          <w:rtl/>
        </w:rPr>
        <w:t>)</w:t>
      </w:r>
      <w:r w:rsidR="001B185E" w:rsidRPr="00536FF0">
        <w:rPr>
          <w:rFonts w:cs="FrankRuehl" w:hint="cs"/>
          <w:rtl/>
        </w:rPr>
        <w:t>, תש"ע-2010</w:t>
      </w:r>
    </w:p>
    <w:p w:rsidR="00FD036A" w:rsidRPr="00FD036A" w:rsidRDefault="00FD036A" w:rsidP="00FD036A">
      <w:pPr>
        <w:spacing w:line="320" w:lineRule="auto"/>
        <w:rPr>
          <w:rFonts w:cs="FrankRuehl"/>
          <w:szCs w:val="26"/>
          <w:rtl/>
        </w:rPr>
      </w:pPr>
    </w:p>
    <w:p w:rsidR="00FD036A" w:rsidRDefault="00FD036A" w:rsidP="00FD036A">
      <w:pPr>
        <w:spacing w:line="320" w:lineRule="auto"/>
        <w:rPr>
          <w:rtl/>
        </w:rPr>
      </w:pPr>
    </w:p>
    <w:p w:rsidR="00FA0E44" w:rsidRPr="00FD036A" w:rsidRDefault="00FD036A" w:rsidP="00FD036A">
      <w:pPr>
        <w:spacing w:line="320" w:lineRule="auto"/>
        <w:rPr>
          <w:rFonts w:cs="Miriam" w:hint="cs"/>
          <w:szCs w:val="22"/>
          <w:rtl/>
        </w:rPr>
      </w:pPr>
      <w:r w:rsidRPr="00FD036A">
        <w:rPr>
          <w:rFonts w:cs="Miriam"/>
          <w:szCs w:val="22"/>
          <w:rtl/>
        </w:rPr>
        <w:t>רשויות ומשפט מנהלי</w:t>
      </w:r>
      <w:r w:rsidRPr="00FD036A">
        <w:rPr>
          <w:rFonts w:cs="FrankRuehl"/>
          <w:szCs w:val="26"/>
          <w:rtl/>
        </w:rPr>
        <w:t xml:space="preserve"> – רשויות מקומיות – עיריות</w:t>
      </w:r>
    </w:p>
    <w:p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p>
        </w:tc>
        <w:tc>
          <w:tcPr>
            <w:tcW w:w="5669" w:type="dxa"/>
          </w:tcPr>
          <w:p w:rsidR="00985742" w:rsidRPr="00985742" w:rsidRDefault="00985742" w:rsidP="00985742">
            <w:pPr>
              <w:rPr>
                <w:rFonts w:cs="Frankruhel" w:hint="cs"/>
                <w:rtl/>
              </w:rPr>
            </w:pPr>
            <w:r>
              <w:rPr>
                <w:rtl/>
              </w:rPr>
              <w:t>פרק א': פרשנות</w:t>
            </w:r>
          </w:p>
        </w:tc>
        <w:tc>
          <w:tcPr>
            <w:tcW w:w="567" w:type="dxa"/>
          </w:tcPr>
          <w:p w:rsidR="00985742" w:rsidRPr="00985742" w:rsidRDefault="00985742" w:rsidP="00985742">
            <w:pPr>
              <w:rPr>
                <w:rStyle w:val="Hyperlink"/>
                <w:rFonts w:hint="cs"/>
                <w:rtl/>
              </w:rPr>
            </w:pPr>
            <w:hyperlink w:anchor="med0" w:tooltip="פרק א: פרשנות"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1 </w:t>
            </w:r>
          </w:p>
        </w:tc>
        <w:tc>
          <w:tcPr>
            <w:tcW w:w="5669" w:type="dxa"/>
          </w:tcPr>
          <w:p w:rsidR="00985742" w:rsidRPr="00985742" w:rsidRDefault="00985742" w:rsidP="00985742">
            <w:pPr>
              <w:rPr>
                <w:rFonts w:cs="Frankruhel" w:hint="cs"/>
                <w:rtl/>
              </w:rPr>
            </w:pPr>
            <w:r>
              <w:rPr>
                <w:rtl/>
              </w:rPr>
              <w:t>הגדרות</w:t>
            </w:r>
          </w:p>
        </w:tc>
        <w:tc>
          <w:tcPr>
            <w:tcW w:w="567" w:type="dxa"/>
          </w:tcPr>
          <w:p w:rsidR="00985742" w:rsidRPr="00985742" w:rsidRDefault="00985742" w:rsidP="00985742">
            <w:pPr>
              <w:rPr>
                <w:rStyle w:val="Hyperlink"/>
                <w:rFonts w:hint="cs"/>
                <w:rtl/>
              </w:rPr>
            </w:pPr>
            <w:hyperlink w:anchor="Seif1" w:tooltip="הגדרות"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2 </w:t>
            </w:r>
          </w:p>
        </w:tc>
        <w:tc>
          <w:tcPr>
            <w:tcW w:w="5669" w:type="dxa"/>
          </w:tcPr>
          <w:p w:rsidR="00985742" w:rsidRPr="00985742" w:rsidRDefault="00985742" w:rsidP="00985742">
            <w:pPr>
              <w:rPr>
                <w:rFonts w:cs="Frankruhel" w:hint="cs"/>
                <w:rtl/>
              </w:rPr>
            </w:pPr>
            <w:r>
              <w:rPr>
                <w:rtl/>
              </w:rPr>
              <w:t>פירוש מונחים שלא הוגדרו</w:t>
            </w:r>
          </w:p>
        </w:tc>
        <w:tc>
          <w:tcPr>
            <w:tcW w:w="567" w:type="dxa"/>
          </w:tcPr>
          <w:p w:rsidR="00985742" w:rsidRPr="00985742" w:rsidRDefault="00985742" w:rsidP="00985742">
            <w:pPr>
              <w:rPr>
                <w:rStyle w:val="Hyperlink"/>
                <w:rFonts w:hint="cs"/>
                <w:rtl/>
              </w:rPr>
            </w:pPr>
            <w:hyperlink w:anchor="Seif2" w:tooltip="פירוש מונחים שלא הוגדרו"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p>
        </w:tc>
        <w:tc>
          <w:tcPr>
            <w:tcW w:w="5669" w:type="dxa"/>
          </w:tcPr>
          <w:p w:rsidR="00985742" w:rsidRPr="00985742" w:rsidRDefault="00985742" w:rsidP="00985742">
            <w:pPr>
              <w:rPr>
                <w:rFonts w:cs="Frankruhel" w:hint="cs"/>
                <w:rtl/>
              </w:rPr>
            </w:pPr>
            <w:r>
              <w:rPr>
                <w:rtl/>
              </w:rPr>
              <w:t>פרק ב': חובת שיתוף פעולה תעשייתי</w:t>
            </w:r>
          </w:p>
        </w:tc>
        <w:tc>
          <w:tcPr>
            <w:tcW w:w="567" w:type="dxa"/>
          </w:tcPr>
          <w:p w:rsidR="00985742" w:rsidRPr="00985742" w:rsidRDefault="00985742" w:rsidP="00985742">
            <w:pPr>
              <w:rPr>
                <w:rStyle w:val="Hyperlink"/>
                <w:rFonts w:hint="cs"/>
                <w:rtl/>
              </w:rPr>
            </w:pPr>
            <w:hyperlink w:anchor="med1" w:tooltip="פרק ב: חובת שיתוף פעולה תעשייתי"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3 </w:t>
            </w:r>
          </w:p>
        </w:tc>
        <w:tc>
          <w:tcPr>
            <w:tcW w:w="5669" w:type="dxa"/>
          </w:tcPr>
          <w:p w:rsidR="00985742" w:rsidRPr="00985742" w:rsidRDefault="00985742" w:rsidP="00985742">
            <w:pPr>
              <w:rPr>
                <w:rFonts w:cs="Frankruhel" w:hint="cs"/>
                <w:rtl/>
              </w:rPr>
            </w:pPr>
            <w:r>
              <w:rPr>
                <w:rtl/>
              </w:rPr>
              <w:t>חובת שיתוף פעולה תעשייתי</w:t>
            </w:r>
          </w:p>
        </w:tc>
        <w:tc>
          <w:tcPr>
            <w:tcW w:w="567" w:type="dxa"/>
          </w:tcPr>
          <w:p w:rsidR="00985742" w:rsidRPr="00985742" w:rsidRDefault="00985742" w:rsidP="00985742">
            <w:pPr>
              <w:rPr>
                <w:rStyle w:val="Hyperlink"/>
                <w:rFonts w:hint="cs"/>
                <w:rtl/>
              </w:rPr>
            </w:pPr>
            <w:hyperlink w:anchor="Seif3" w:tooltip="חובת שיתוף פעולה תעשייתי"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4 </w:t>
            </w:r>
          </w:p>
        </w:tc>
        <w:tc>
          <w:tcPr>
            <w:tcW w:w="5669" w:type="dxa"/>
          </w:tcPr>
          <w:p w:rsidR="00985742" w:rsidRPr="00985742" w:rsidRDefault="00985742" w:rsidP="00985742">
            <w:pPr>
              <w:rPr>
                <w:rFonts w:cs="Frankruhel" w:hint="cs"/>
                <w:rtl/>
              </w:rPr>
            </w:pPr>
            <w:r>
              <w:rPr>
                <w:rtl/>
              </w:rPr>
              <w:t>חובת דיווח</w:t>
            </w:r>
          </w:p>
        </w:tc>
        <w:tc>
          <w:tcPr>
            <w:tcW w:w="567" w:type="dxa"/>
          </w:tcPr>
          <w:p w:rsidR="00985742" w:rsidRPr="00985742" w:rsidRDefault="00985742" w:rsidP="00985742">
            <w:pPr>
              <w:rPr>
                <w:rStyle w:val="Hyperlink"/>
                <w:rFonts w:hint="cs"/>
                <w:rtl/>
              </w:rPr>
            </w:pPr>
            <w:hyperlink w:anchor="Seif4" w:tooltip="חובת דיווח"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5 </w:t>
            </w:r>
          </w:p>
        </w:tc>
        <w:tc>
          <w:tcPr>
            <w:tcW w:w="5669" w:type="dxa"/>
          </w:tcPr>
          <w:p w:rsidR="00985742" w:rsidRPr="00985742" w:rsidRDefault="00985742" w:rsidP="00985742">
            <w:pPr>
              <w:rPr>
                <w:rFonts w:cs="Frankruhel" w:hint="cs"/>
                <w:rtl/>
              </w:rPr>
            </w:pPr>
            <w:r>
              <w:rPr>
                <w:rtl/>
              </w:rPr>
              <w:t>דרכים לשיתוף פעולה תעשייתי</w:t>
            </w:r>
          </w:p>
        </w:tc>
        <w:tc>
          <w:tcPr>
            <w:tcW w:w="567" w:type="dxa"/>
          </w:tcPr>
          <w:p w:rsidR="00985742" w:rsidRPr="00985742" w:rsidRDefault="00985742" w:rsidP="00985742">
            <w:pPr>
              <w:rPr>
                <w:rStyle w:val="Hyperlink"/>
                <w:rFonts w:hint="cs"/>
                <w:rtl/>
              </w:rPr>
            </w:pPr>
            <w:hyperlink w:anchor="Seif5" w:tooltip="דרכים לשיתוף פעולה תעשייתי"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6 </w:t>
            </w:r>
          </w:p>
        </w:tc>
        <w:tc>
          <w:tcPr>
            <w:tcW w:w="5669" w:type="dxa"/>
          </w:tcPr>
          <w:p w:rsidR="00985742" w:rsidRPr="00985742" w:rsidRDefault="00985742" w:rsidP="00985742">
            <w:pPr>
              <w:rPr>
                <w:rFonts w:cs="Frankruhel" w:hint="cs"/>
                <w:rtl/>
              </w:rPr>
            </w:pPr>
            <w:r>
              <w:rPr>
                <w:rtl/>
              </w:rPr>
              <w:t>התחייבות לשיתוף פעולה תעשייתי</w:t>
            </w:r>
          </w:p>
        </w:tc>
        <w:tc>
          <w:tcPr>
            <w:tcW w:w="567" w:type="dxa"/>
          </w:tcPr>
          <w:p w:rsidR="00985742" w:rsidRPr="00985742" w:rsidRDefault="00985742" w:rsidP="00985742">
            <w:pPr>
              <w:rPr>
                <w:rStyle w:val="Hyperlink"/>
                <w:rFonts w:hint="cs"/>
                <w:rtl/>
              </w:rPr>
            </w:pPr>
            <w:hyperlink w:anchor="Seif6" w:tooltip="התחייבות לשיתוף פעולה תעשייתי"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7 </w:t>
            </w:r>
          </w:p>
        </w:tc>
        <w:tc>
          <w:tcPr>
            <w:tcW w:w="5669" w:type="dxa"/>
          </w:tcPr>
          <w:p w:rsidR="00985742" w:rsidRPr="00985742" w:rsidRDefault="00985742" w:rsidP="00985742">
            <w:pPr>
              <w:rPr>
                <w:rFonts w:cs="Frankruhel" w:hint="cs"/>
                <w:rtl/>
              </w:rPr>
            </w:pPr>
            <w:r>
              <w:rPr>
                <w:rtl/>
              </w:rPr>
              <w:t>היקף שיתוף הפעולה הנדרש</w:t>
            </w:r>
          </w:p>
        </w:tc>
        <w:tc>
          <w:tcPr>
            <w:tcW w:w="567" w:type="dxa"/>
          </w:tcPr>
          <w:p w:rsidR="00985742" w:rsidRPr="00985742" w:rsidRDefault="00985742" w:rsidP="00985742">
            <w:pPr>
              <w:rPr>
                <w:rStyle w:val="Hyperlink"/>
                <w:rFonts w:hint="cs"/>
                <w:rtl/>
              </w:rPr>
            </w:pPr>
            <w:hyperlink w:anchor="Seif7" w:tooltip="היקף שיתוף הפעולה הנדרש"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8 </w:t>
            </w:r>
          </w:p>
        </w:tc>
        <w:tc>
          <w:tcPr>
            <w:tcW w:w="5669" w:type="dxa"/>
          </w:tcPr>
          <w:p w:rsidR="00985742" w:rsidRPr="00985742" w:rsidRDefault="00985742" w:rsidP="00985742">
            <w:pPr>
              <w:rPr>
                <w:rFonts w:cs="Frankruhel" w:hint="cs"/>
                <w:rtl/>
              </w:rPr>
            </w:pPr>
            <w:r>
              <w:rPr>
                <w:rtl/>
              </w:rPr>
              <w:t>התקשרות משנה מקומית</w:t>
            </w:r>
          </w:p>
        </w:tc>
        <w:tc>
          <w:tcPr>
            <w:tcW w:w="567" w:type="dxa"/>
          </w:tcPr>
          <w:p w:rsidR="00985742" w:rsidRPr="00985742" w:rsidRDefault="00985742" w:rsidP="00985742">
            <w:pPr>
              <w:rPr>
                <w:rStyle w:val="Hyperlink"/>
                <w:rFonts w:hint="cs"/>
                <w:rtl/>
              </w:rPr>
            </w:pPr>
            <w:hyperlink w:anchor="Seif8" w:tooltip="התקשרות משנה מקומית"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9 </w:t>
            </w:r>
          </w:p>
        </w:tc>
        <w:tc>
          <w:tcPr>
            <w:tcW w:w="5669" w:type="dxa"/>
          </w:tcPr>
          <w:p w:rsidR="00985742" w:rsidRPr="00985742" w:rsidRDefault="00985742" w:rsidP="00985742">
            <w:pPr>
              <w:rPr>
                <w:rFonts w:cs="Frankruhel" w:hint="cs"/>
                <w:rtl/>
              </w:rPr>
            </w:pPr>
            <w:r>
              <w:rPr>
                <w:rtl/>
              </w:rPr>
              <w:t>תקופת ביצוע התחייבות לשיתוף פעולה תעשייתי</w:t>
            </w:r>
          </w:p>
        </w:tc>
        <w:tc>
          <w:tcPr>
            <w:tcW w:w="567" w:type="dxa"/>
          </w:tcPr>
          <w:p w:rsidR="00985742" w:rsidRPr="00985742" w:rsidRDefault="00985742" w:rsidP="00985742">
            <w:pPr>
              <w:rPr>
                <w:rStyle w:val="Hyperlink"/>
                <w:rFonts w:hint="cs"/>
                <w:rtl/>
              </w:rPr>
            </w:pPr>
            <w:hyperlink w:anchor="Seif9" w:tooltip="תקופת ביצוע התחייבות לשיתוף פעולה תעשייתי"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10 </w:t>
            </w:r>
          </w:p>
        </w:tc>
        <w:tc>
          <w:tcPr>
            <w:tcW w:w="5669" w:type="dxa"/>
          </w:tcPr>
          <w:p w:rsidR="00985742" w:rsidRPr="00985742" w:rsidRDefault="00985742" w:rsidP="00985742">
            <w:pPr>
              <w:rPr>
                <w:rFonts w:cs="Frankruhel" w:hint="cs"/>
                <w:rtl/>
              </w:rPr>
            </w:pPr>
            <w:r>
              <w:rPr>
                <w:rtl/>
              </w:rPr>
              <w:t>בקשה לשינוי</w:t>
            </w:r>
          </w:p>
        </w:tc>
        <w:tc>
          <w:tcPr>
            <w:tcW w:w="567" w:type="dxa"/>
          </w:tcPr>
          <w:p w:rsidR="00985742" w:rsidRPr="00985742" w:rsidRDefault="00985742" w:rsidP="00985742">
            <w:pPr>
              <w:rPr>
                <w:rStyle w:val="Hyperlink"/>
                <w:rFonts w:hint="cs"/>
                <w:rtl/>
              </w:rPr>
            </w:pPr>
            <w:hyperlink w:anchor="Seif10" w:tooltip="בקשה לשינוי"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11 </w:t>
            </w:r>
          </w:p>
        </w:tc>
        <w:tc>
          <w:tcPr>
            <w:tcW w:w="5669" w:type="dxa"/>
          </w:tcPr>
          <w:p w:rsidR="00985742" w:rsidRPr="00985742" w:rsidRDefault="00985742" w:rsidP="00985742">
            <w:pPr>
              <w:rPr>
                <w:rFonts w:cs="Frankruhel" w:hint="cs"/>
                <w:rtl/>
              </w:rPr>
            </w:pPr>
            <w:r>
              <w:rPr>
                <w:rtl/>
              </w:rPr>
              <w:t>אכיפת התחייבות לשיתוף פעולה תעשייתי</w:t>
            </w:r>
          </w:p>
        </w:tc>
        <w:tc>
          <w:tcPr>
            <w:tcW w:w="567" w:type="dxa"/>
          </w:tcPr>
          <w:p w:rsidR="00985742" w:rsidRPr="00985742" w:rsidRDefault="00985742" w:rsidP="00985742">
            <w:pPr>
              <w:rPr>
                <w:rStyle w:val="Hyperlink"/>
                <w:rFonts w:hint="cs"/>
                <w:rtl/>
              </w:rPr>
            </w:pPr>
            <w:hyperlink w:anchor="Seif11" w:tooltip="אכיפת התחייבות לשיתוף פעולה תעשייתי"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p>
        </w:tc>
        <w:tc>
          <w:tcPr>
            <w:tcW w:w="5669" w:type="dxa"/>
          </w:tcPr>
          <w:p w:rsidR="00985742" w:rsidRPr="00985742" w:rsidRDefault="00985742" w:rsidP="00985742">
            <w:pPr>
              <w:rPr>
                <w:rFonts w:cs="Frankruhel" w:hint="cs"/>
                <w:rtl/>
              </w:rPr>
            </w:pPr>
            <w:r>
              <w:rPr>
                <w:rtl/>
              </w:rPr>
              <w:t>פרק ג': תחולה</w:t>
            </w:r>
          </w:p>
        </w:tc>
        <w:tc>
          <w:tcPr>
            <w:tcW w:w="567" w:type="dxa"/>
          </w:tcPr>
          <w:p w:rsidR="00985742" w:rsidRPr="00985742" w:rsidRDefault="00985742" w:rsidP="00985742">
            <w:pPr>
              <w:rPr>
                <w:rStyle w:val="Hyperlink"/>
                <w:rFonts w:hint="cs"/>
                <w:rtl/>
              </w:rPr>
            </w:pPr>
            <w:hyperlink w:anchor="med2" w:tooltip="פרק ג: תחולה"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985742" w:rsidRPr="00985742">
        <w:tblPrEx>
          <w:tblCellMar>
            <w:top w:w="0" w:type="dxa"/>
            <w:bottom w:w="0" w:type="dxa"/>
          </w:tblCellMar>
        </w:tblPrEx>
        <w:tc>
          <w:tcPr>
            <w:tcW w:w="1247" w:type="dxa"/>
          </w:tcPr>
          <w:p w:rsidR="00985742" w:rsidRPr="00985742" w:rsidRDefault="00985742" w:rsidP="00985742">
            <w:pPr>
              <w:rPr>
                <w:rFonts w:cs="Frankruhel" w:hint="cs"/>
                <w:rtl/>
              </w:rPr>
            </w:pPr>
            <w:r>
              <w:rPr>
                <w:rtl/>
              </w:rPr>
              <w:t xml:space="preserve">סעיף 12 </w:t>
            </w:r>
          </w:p>
        </w:tc>
        <w:tc>
          <w:tcPr>
            <w:tcW w:w="5669" w:type="dxa"/>
          </w:tcPr>
          <w:p w:rsidR="00985742" w:rsidRPr="00985742" w:rsidRDefault="00985742" w:rsidP="00985742">
            <w:pPr>
              <w:rPr>
                <w:rFonts w:cs="Frankruhel" w:hint="cs"/>
                <w:rtl/>
              </w:rPr>
            </w:pPr>
            <w:r>
              <w:rPr>
                <w:rtl/>
              </w:rPr>
              <w:t>תחולה</w:t>
            </w:r>
          </w:p>
        </w:tc>
        <w:tc>
          <w:tcPr>
            <w:tcW w:w="567" w:type="dxa"/>
          </w:tcPr>
          <w:p w:rsidR="00985742" w:rsidRPr="00985742" w:rsidRDefault="00985742" w:rsidP="00985742">
            <w:pPr>
              <w:rPr>
                <w:rStyle w:val="Hyperlink"/>
                <w:rFonts w:hint="cs"/>
                <w:rtl/>
              </w:rPr>
            </w:pPr>
            <w:hyperlink w:anchor="Seif12" w:tooltip="תחולה" w:history="1">
              <w:r w:rsidRPr="00985742">
                <w:rPr>
                  <w:rStyle w:val="Hyperlink"/>
                </w:rPr>
                <w:t>Go</w:t>
              </w:r>
            </w:hyperlink>
          </w:p>
        </w:tc>
        <w:tc>
          <w:tcPr>
            <w:tcW w:w="850" w:type="dxa"/>
          </w:tcPr>
          <w:p w:rsidR="00985742" w:rsidRPr="00985742" w:rsidRDefault="00985742" w:rsidP="0098574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bl>
    <w:p w:rsidR="00D078B6" w:rsidRPr="00536FF0" w:rsidRDefault="00D078B6">
      <w:pPr>
        <w:pStyle w:val="big-header"/>
        <w:ind w:left="0" w:right="1134"/>
        <w:rPr>
          <w:rFonts w:cs="FrankRuehl" w:hint="cs"/>
          <w:rtl/>
        </w:rPr>
      </w:pPr>
    </w:p>
    <w:p w:rsidR="00D078B6" w:rsidRPr="00536FF0" w:rsidRDefault="00D078B6" w:rsidP="00FA0E44">
      <w:pPr>
        <w:pStyle w:val="big-header"/>
        <w:ind w:left="0" w:right="1134"/>
        <w:rPr>
          <w:rStyle w:val="default"/>
          <w:rFonts w:hint="cs"/>
          <w:sz w:val="20"/>
          <w:szCs w:val="22"/>
          <w:rtl/>
        </w:rPr>
      </w:pPr>
      <w:r w:rsidRPr="00536FF0">
        <w:rPr>
          <w:rFonts w:cs="FrankRuehl"/>
          <w:rtl/>
        </w:rPr>
        <w:br w:type="page"/>
      </w:r>
      <w:r w:rsidR="00FA0E44">
        <w:rPr>
          <w:rFonts w:cs="FrankRuehl" w:hint="cs"/>
          <w:rtl/>
        </w:rPr>
        <w:lastRenderedPageBreak/>
        <w:t>תקנות העיריות (חובת שיתוף פעולה תעשייתי</w:t>
      </w:r>
      <w:r w:rsidR="00FA0E44" w:rsidRPr="00536FF0">
        <w:rPr>
          <w:rFonts w:cs="FrankRuehl" w:hint="cs"/>
          <w:rtl/>
        </w:rPr>
        <w:t>), תש"ע-2010</w:t>
      </w:r>
      <w:r w:rsidRPr="00536FF0">
        <w:rPr>
          <w:rStyle w:val="default"/>
          <w:sz w:val="20"/>
          <w:szCs w:val="22"/>
          <w:rtl/>
        </w:rPr>
        <w:footnoteReference w:customMarkFollows="1" w:id="1"/>
        <w:t>*</w:t>
      </w:r>
    </w:p>
    <w:p w:rsidR="006411A2" w:rsidRDefault="008D2195" w:rsidP="0001491F">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330AB2">
        <w:rPr>
          <w:rStyle w:val="default"/>
          <w:rFonts w:cs="FrankRuehl" w:hint="cs"/>
          <w:sz w:val="20"/>
          <w:rtl/>
        </w:rPr>
        <w:t xml:space="preserve">סמכותי לפי </w:t>
      </w:r>
      <w:r w:rsidR="0001491F">
        <w:rPr>
          <w:rStyle w:val="default"/>
          <w:rFonts w:cs="FrankRuehl" w:hint="cs"/>
          <w:sz w:val="20"/>
          <w:rtl/>
        </w:rPr>
        <w:t>סעיפים 198 ו-347 לפקודת העיריות, אני מתקין תקנות אלה</w:t>
      </w:r>
      <w:r w:rsidRPr="00536FF0">
        <w:rPr>
          <w:rStyle w:val="default"/>
          <w:rFonts w:cs="FrankRuehl" w:hint="cs"/>
          <w:sz w:val="20"/>
          <w:rtl/>
        </w:rPr>
        <w:t>:</w:t>
      </w:r>
    </w:p>
    <w:p w:rsidR="0001491F" w:rsidRPr="0020505B" w:rsidRDefault="0001491F" w:rsidP="0020505B">
      <w:pPr>
        <w:pStyle w:val="medium2-header"/>
        <w:keepLines w:val="0"/>
        <w:spacing w:before="72"/>
        <w:ind w:left="0" w:right="1134"/>
        <w:rPr>
          <w:rFonts w:cs="FrankRuehl" w:hint="cs"/>
          <w:noProof/>
          <w:rtl/>
        </w:rPr>
      </w:pPr>
      <w:bookmarkStart w:id="0" w:name="med0"/>
      <w:bookmarkEnd w:id="0"/>
      <w:r w:rsidRPr="0020505B">
        <w:rPr>
          <w:rFonts w:cs="FrankRuehl" w:hint="cs"/>
          <w:noProof/>
          <w:rtl/>
        </w:rPr>
        <w:t>פרק א': פרשנות</w:t>
      </w:r>
    </w:p>
    <w:p w:rsidR="00D078B6" w:rsidRDefault="00D078B6" w:rsidP="0020505B">
      <w:pPr>
        <w:pStyle w:val="P00"/>
        <w:spacing w:before="72"/>
        <w:ind w:left="0" w:right="1134"/>
        <w:rPr>
          <w:rStyle w:val="default"/>
          <w:rFonts w:cs="FrankRuehl" w:hint="cs"/>
          <w:sz w:val="20"/>
          <w:rtl/>
        </w:rPr>
      </w:pPr>
      <w:bookmarkStart w:id="1" w:name="Seif1"/>
      <w:bookmarkEnd w:id="1"/>
      <w:r w:rsidRPr="00536FF0">
        <w:rPr>
          <w:rFonts w:cs="Miriam"/>
          <w:lang w:val="he-IL"/>
        </w:rPr>
        <w:pict>
          <v:rect id="_x0000_s1026" style="position:absolute;left:0;text-align:left;margin-left:464.35pt;margin-top:7.1pt;width:75.05pt;height:8.95pt;z-index:251652096" o:allowincell="f" filled="f" stroked="f" strokecolor="lime" strokeweight=".25pt">
            <v:textbox style="mso-next-textbox:#_x0000_s1026" inset="0,0,0,0">
              <w:txbxContent>
                <w:p w:rsidR="00CB07BE" w:rsidRDefault="007464A9"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20505B">
        <w:rPr>
          <w:rStyle w:val="default"/>
          <w:rFonts w:cs="FrankRuehl" w:hint="cs"/>
          <w:sz w:val="20"/>
          <w:rtl/>
        </w:rPr>
        <w:t>בתקנות אלה</w:t>
      </w:r>
      <w:r w:rsidR="007464A9">
        <w:rPr>
          <w:rStyle w:val="default"/>
          <w:rFonts w:cs="FrankRuehl" w:hint="cs"/>
          <w:sz w:val="20"/>
          <w:rtl/>
        </w:rPr>
        <w:t xml:space="preserve"> </w:t>
      </w:r>
      <w:r w:rsidR="007464A9">
        <w:rPr>
          <w:rStyle w:val="default"/>
          <w:rFonts w:cs="FrankRuehl"/>
          <w:sz w:val="20"/>
          <w:rtl/>
        </w:rPr>
        <w:t>–</w:t>
      </w:r>
    </w:p>
    <w:p w:rsidR="0020505B" w:rsidRDefault="0020505B" w:rsidP="0020505B">
      <w:pPr>
        <w:pStyle w:val="P00"/>
        <w:spacing w:before="72"/>
        <w:ind w:left="0" w:right="1134"/>
        <w:rPr>
          <w:rStyle w:val="default"/>
          <w:rFonts w:cs="FrankRuehl" w:hint="cs"/>
          <w:sz w:val="20"/>
          <w:rtl/>
        </w:rPr>
      </w:pPr>
      <w:r>
        <w:rPr>
          <w:rStyle w:val="default"/>
          <w:rFonts w:cs="FrankRuehl" w:hint="cs"/>
          <w:sz w:val="20"/>
          <w:rtl/>
        </w:rPr>
        <w:tab/>
        <w:t xml:space="preserve">"דולר ארה"ב" </w:t>
      </w:r>
      <w:r>
        <w:rPr>
          <w:rStyle w:val="default"/>
          <w:rFonts w:cs="FrankRuehl"/>
          <w:sz w:val="20"/>
          <w:rtl/>
        </w:rPr>
        <w:t>–</w:t>
      </w:r>
      <w:r>
        <w:rPr>
          <w:rStyle w:val="default"/>
          <w:rFonts w:cs="FrankRuehl" w:hint="cs"/>
          <w:sz w:val="20"/>
          <w:rtl/>
        </w:rPr>
        <w:t xml:space="preserve"> דולר של ארצות הברית של אמריקה לפי השער היציג של הדולר שפרסם בנק ישראל ביום פרסום המכרז או ביום קבלת הפטור לפי העניין;</w:t>
      </w:r>
    </w:p>
    <w:p w:rsidR="0020505B" w:rsidRDefault="0020505B" w:rsidP="0020505B">
      <w:pPr>
        <w:pStyle w:val="P00"/>
        <w:spacing w:before="72"/>
        <w:ind w:left="0" w:right="1134"/>
        <w:rPr>
          <w:rStyle w:val="default"/>
          <w:rFonts w:cs="FrankRuehl" w:hint="cs"/>
          <w:sz w:val="20"/>
          <w:rtl/>
        </w:rPr>
      </w:pPr>
      <w:r>
        <w:rPr>
          <w:rStyle w:val="default"/>
          <w:rFonts w:cs="FrankRuehl" w:hint="cs"/>
          <w:sz w:val="20"/>
          <w:rtl/>
        </w:rPr>
        <w:tab/>
        <w:t xml:space="preserve">"הרשפ"ת" </w:t>
      </w:r>
      <w:r>
        <w:rPr>
          <w:rStyle w:val="default"/>
          <w:rFonts w:cs="FrankRuehl"/>
          <w:sz w:val="20"/>
          <w:rtl/>
        </w:rPr>
        <w:t>–</w:t>
      </w:r>
      <w:r>
        <w:rPr>
          <w:rStyle w:val="default"/>
          <w:rFonts w:cs="FrankRuehl" w:hint="cs"/>
          <w:sz w:val="20"/>
          <w:rtl/>
        </w:rPr>
        <w:t xml:space="preserve"> הרשות לשיתוף פעולה תעשייתי הפועלת במשרד התעשייה המסחר והתעסוקה;</w:t>
      </w:r>
    </w:p>
    <w:p w:rsidR="0020505B" w:rsidRDefault="0020505B" w:rsidP="0020505B">
      <w:pPr>
        <w:pStyle w:val="P00"/>
        <w:spacing w:before="72"/>
        <w:ind w:left="0" w:right="1134"/>
        <w:rPr>
          <w:rStyle w:val="default"/>
          <w:rFonts w:cs="FrankRuehl" w:hint="cs"/>
          <w:sz w:val="20"/>
          <w:rtl/>
        </w:rPr>
      </w:pPr>
      <w:r>
        <w:rPr>
          <w:rStyle w:val="default"/>
          <w:rFonts w:cs="FrankRuehl" w:hint="cs"/>
          <w:sz w:val="20"/>
          <w:rtl/>
        </w:rPr>
        <w:tab/>
        <w:t xml:space="preserve">"התקשרות משנה מקומית" </w:t>
      </w:r>
      <w:r>
        <w:rPr>
          <w:rStyle w:val="default"/>
          <w:rFonts w:cs="FrankRuehl"/>
          <w:sz w:val="20"/>
          <w:rtl/>
        </w:rPr>
        <w:t>–</w:t>
      </w:r>
      <w:r>
        <w:rPr>
          <w:rStyle w:val="default"/>
          <w:rFonts w:cs="FrankRuehl" w:hint="cs"/>
          <w:sz w:val="20"/>
          <w:rtl/>
        </w:rPr>
        <w:t xml:space="preserve"> התקשרות של ספק חוץ שזכה במכרז לרכישת טובין מתוצרת הארץ, או לביצוע עבודה או שירותים בארץ והכל לצורך ביצוע ההתקשרות שעליה חלות תקנות אלה;</w:t>
      </w:r>
    </w:p>
    <w:p w:rsidR="0020505B" w:rsidRDefault="0020505B" w:rsidP="0020505B">
      <w:pPr>
        <w:pStyle w:val="P00"/>
        <w:spacing w:before="72"/>
        <w:ind w:left="0" w:right="1134"/>
        <w:rPr>
          <w:rStyle w:val="default"/>
          <w:rFonts w:cs="FrankRuehl" w:hint="cs"/>
          <w:sz w:val="20"/>
          <w:rtl/>
        </w:rPr>
      </w:pPr>
      <w:r>
        <w:rPr>
          <w:rStyle w:val="default"/>
          <w:rFonts w:cs="FrankRuehl" w:hint="cs"/>
          <w:sz w:val="20"/>
          <w:rtl/>
        </w:rPr>
        <w:tab/>
        <w:t xml:space="preserve">"ייצור" </w:t>
      </w:r>
      <w:r w:rsidR="00572311">
        <w:rPr>
          <w:rStyle w:val="default"/>
          <w:rFonts w:cs="FrankRuehl"/>
          <w:sz w:val="20"/>
          <w:rtl/>
        </w:rPr>
        <w:t>–</w:t>
      </w:r>
      <w:r>
        <w:rPr>
          <w:rStyle w:val="default"/>
          <w:rFonts w:cs="FrankRuehl" w:hint="cs"/>
          <w:sz w:val="20"/>
          <w:rtl/>
        </w:rPr>
        <w:t xml:space="preserve"> </w:t>
      </w:r>
      <w:r w:rsidR="00572311">
        <w:rPr>
          <w:rStyle w:val="default"/>
          <w:rFonts w:cs="FrankRuehl" w:hint="cs"/>
          <w:sz w:val="20"/>
          <w:rtl/>
        </w:rPr>
        <w:t>הפקה של טובין או שינוי מהותי בהם שכתוצאה מהם התקבלו טובין או שירותים חדשים או שונים;</w:t>
      </w:r>
    </w:p>
    <w:p w:rsidR="00572311" w:rsidRDefault="00572311" w:rsidP="0020505B">
      <w:pPr>
        <w:pStyle w:val="P00"/>
        <w:spacing w:before="72"/>
        <w:ind w:left="0" w:right="1134"/>
        <w:rPr>
          <w:rStyle w:val="default"/>
          <w:rFonts w:cs="FrankRuehl" w:hint="cs"/>
          <w:sz w:val="20"/>
          <w:rtl/>
        </w:rPr>
      </w:pPr>
      <w:r>
        <w:rPr>
          <w:rStyle w:val="default"/>
          <w:rFonts w:cs="FrankRuehl" w:hint="cs"/>
          <w:sz w:val="20"/>
          <w:rtl/>
        </w:rPr>
        <w:tab/>
        <w:t xml:space="preserve">"מחיר הצעה" </w:t>
      </w:r>
      <w:r>
        <w:rPr>
          <w:rStyle w:val="default"/>
          <w:rFonts w:cs="FrankRuehl"/>
          <w:sz w:val="20"/>
          <w:rtl/>
        </w:rPr>
        <w:t>–</w:t>
      </w:r>
      <w:r>
        <w:rPr>
          <w:rStyle w:val="default"/>
          <w:rFonts w:cs="FrankRuehl" w:hint="cs"/>
          <w:sz w:val="20"/>
          <w:rtl/>
        </w:rPr>
        <w:t xml:space="preserve"> לרבות מסים, היטלים, אגרות, הוצאות ביטוח והובלה, ולעניין טובין מיובאים </w:t>
      </w:r>
      <w:r>
        <w:rPr>
          <w:rStyle w:val="default"/>
          <w:rFonts w:cs="FrankRuehl"/>
          <w:sz w:val="20"/>
          <w:rtl/>
        </w:rPr>
        <w:t>–</w:t>
      </w:r>
      <w:r>
        <w:rPr>
          <w:rStyle w:val="default"/>
          <w:rFonts w:cs="FrankRuehl" w:hint="cs"/>
          <w:sz w:val="20"/>
          <w:rtl/>
        </w:rPr>
        <w:t xml:space="preserve"> מחיר ס.י.פ. בנמל בישראל ובכלל זה מסים, היטלים, אגרות, הוצאות ביטוח והובלה;</w:t>
      </w:r>
    </w:p>
    <w:p w:rsidR="00572311" w:rsidRDefault="00572311" w:rsidP="0020505B">
      <w:pPr>
        <w:pStyle w:val="P00"/>
        <w:spacing w:before="72"/>
        <w:ind w:left="0" w:right="1134"/>
        <w:rPr>
          <w:rStyle w:val="default"/>
          <w:rFonts w:cs="FrankRuehl" w:hint="cs"/>
          <w:sz w:val="20"/>
          <w:rtl/>
        </w:rPr>
      </w:pPr>
      <w:r>
        <w:rPr>
          <w:rStyle w:val="default"/>
          <w:rFonts w:cs="FrankRuehl" w:hint="cs"/>
          <w:sz w:val="20"/>
          <w:rtl/>
        </w:rPr>
        <w:tab/>
        <w:t xml:space="preserve">"טובין מתוצרת הארץ" </w:t>
      </w:r>
      <w:r>
        <w:rPr>
          <w:rStyle w:val="default"/>
          <w:rFonts w:cs="FrankRuehl"/>
          <w:sz w:val="20"/>
          <w:rtl/>
        </w:rPr>
        <w:t>–</w:t>
      </w:r>
      <w:r>
        <w:rPr>
          <w:rStyle w:val="default"/>
          <w:rFonts w:cs="FrankRuehl" w:hint="cs"/>
          <w:sz w:val="20"/>
          <w:rtl/>
        </w:rPr>
        <w:t xml:space="preserve"> טובין שיוצרו בישראל או באזור למעט שטחי האוטונומיה או במקום אחר באישור הרשפ"ת, בעסקה אחת או בכמה עסקאות במאוחד, או בתקופה שתיקבע, הכל לפי שיקול דעת הרשפ"ת, ובלבד שמחיר המרכיב הישראלי בהם מהווה 35 אחוזים לפחות ממחיר ההצעה או ערך פחות מכך, לפי מבחנים שפרסמה הרשפ"ת ברשומות;</w:t>
      </w:r>
    </w:p>
    <w:p w:rsidR="00572311" w:rsidRDefault="00572311" w:rsidP="0020505B">
      <w:pPr>
        <w:pStyle w:val="P00"/>
        <w:spacing w:before="72"/>
        <w:ind w:left="0" w:right="1134"/>
        <w:rPr>
          <w:rStyle w:val="default"/>
          <w:rFonts w:cs="FrankRuehl" w:hint="cs"/>
          <w:sz w:val="20"/>
          <w:rtl/>
        </w:rPr>
      </w:pPr>
      <w:r>
        <w:rPr>
          <w:rStyle w:val="default"/>
          <w:rFonts w:cs="FrankRuehl" w:hint="cs"/>
          <w:sz w:val="20"/>
          <w:rtl/>
        </w:rPr>
        <w:tab/>
        <w:t xml:space="preserve">"טובין מיובאים" </w:t>
      </w:r>
      <w:r>
        <w:rPr>
          <w:rStyle w:val="default"/>
          <w:rFonts w:cs="FrankRuehl"/>
          <w:sz w:val="20"/>
          <w:rtl/>
        </w:rPr>
        <w:t>–</w:t>
      </w:r>
      <w:r>
        <w:rPr>
          <w:rStyle w:val="default"/>
          <w:rFonts w:cs="FrankRuehl" w:hint="cs"/>
          <w:sz w:val="20"/>
          <w:rtl/>
        </w:rPr>
        <w:t xml:space="preserve"> טובין שאינם טובין מתוצאת הארץ;</w:t>
      </w:r>
    </w:p>
    <w:p w:rsidR="00572311" w:rsidRDefault="00572311" w:rsidP="0020505B">
      <w:pPr>
        <w:pStyle w:val="P00"/>
        <w:spacing w:before="72"/>
        <w:ind w:left="0" w:right="1134"/>
        <w:rPr>
          <w:rStyle w:val="default"/>
          <w:rFonts w:cs="FrankRuehl" w:hint="cs"/>
          <w:sz w:val="20"/>
          <w:rtl/>
        </w:rPr>
      </w:pPr>
      <w:r>
        <w:rPr>
          <w:rStyle w:val="default"/>
          <w:rFonts w:cs="FrankRuehl" w:hint="cs"/>
          <w:sz w:val="20"/>
          <w:rtl/>
        </w:rPr>
        <w:tab/>
        <w:t xml:space="preserve">"ספק חוץ" </w:t>
      </w:r>
      <w:r>
        <w:rPr>
          <w:rStyle w:val="default"/>
          <w:rFonts w:cs="FrankRuehl"/>
          <w:sz w:val="20"/>
          <w:rtl/>
        </w:rPr>
        <w:t>–</w:t>
      </w:r>
      <w:r>
        <w:rPr>
          <w:rStyle w:val="default"/>
          <w:rFonts w:cs="FrankRuehl" w:hint="cs"/>
          <w:sz w:val="20"/>
          <w:rtl/>
        </w:rPr>
        <w:t xml:space="preserve"> יצרן, ספק או יבואן של טובין מיובאים, או ספק של עבודה שאינה מבוצעת בארץ </w:t>
      </w:r>
      <w:r>
        <w:rPr>
          <w:rStyle w:val="default"/>
          <w:rFonts w:cs="FrankRuehl"/>
          <w:sz w:val="20"/>
          <w:rtl/>
        </w:rPr>
        <w:t>–</w:t>
      </w:r>
      <w:r>
        <w:rPr>
          <w:rStyle w:val="default"/>
          <w:rFonts w:cs="FrankRuehl" w:hint="cs"/>
          <w:sz w:val="20"/>
          <w:rtl/>
        </w:rPr>
        <w:t xml:space="preserve"> בין בעצמם ובין באמצעות אחרים;</w:t>
      </w:r>
    </w:p>
    <w:p w:rsidR="00572311" w:rsidRDefault="00572311" w:rsidP="00572311">
      <w:pPr>
        <w:pStyle w:val="P00"/>
        <w:spacing w:before="72"/>
        <w:ind w:left="0" w:right="1134"/>
        <w:rPr>
          <w:rStyle w:val="default"/>
          <w:rFonts w:cs="FrankRuehl" w:hint="cs"/>
          <w:sz w:val="20"/>
          <w:rtl/>
        </w:rPr>
      </w:pPr>
      <w:r>
        <w:rPr>
          <w:rStyle w:val="default"/>
          <w:rFonts w:cs="FrankRuehl" w:hint="cs"/>
          <w:sz w:val="20"/>
          <w:rtl/>
        </w:rPr>
        <w:tab/>
        <w:t xml:space="preserve">"עבודה בארץ" </w:t>
      </w:r>
      <w:r>
        <w:rPr>
          <w:rStyle w:val="default"/>
          <w:rFonts w:cs="FrankRuehl"/>
          <w:sz w:val="20"/>
          <w:rtl/>
        </w:rPr>
        <w:t>–</w:t>
      </w:r>
      <w:r>
        <w:rPr>
          <w:rStyle w:val="default"/>
          <w:rFonts w:cs="FrankRuehl" w:hint="cs"/>
          <w:sz w:val="20"/>
          <w:rtl/>
        </w:rPr>
        <w:t xml:space="preserve"> עבודה, לרבות שירותים, המבוצעים בישראל או באזור בידי אזרח ישראלי או תושב קבע בישראל או תאגיד הרשום בישראל או במקום אחר באישור מראש של הרשפ"ת;</w:t>
      </w:r>
    </w:p>
    <w:p w:rsidR="00572311" w:rsidRDefault="00572311" w:rsidP="00572311">
      <w:pPr>
        <w:pStyle w:val="P00"/>
        <w:spacing w:before="72"/>
        <w:ind w:left="0" w:right="1134"/>
        <w:rPr>
          <w:rStyle w:val="default"/>
          <w:rFonts w:cs="FrankRuehl" w:hint="cs"/>
          <w:sz w:val="20"/>
          <w:rtl/>
        </w:rPr>
      </w:pPr>
      <w:r>
        <w:rPr>
          <w:rStyle w:val="default"/>
          <w:rFonts w:cs="FrankRuehl" w:hint="cs"/>
          <w:sz w:val="20"/>
          <w:rtl/>
        </w:rPr>
        <w:tab/>
        <w:t xml:space="preserve">"שיתוף פעולה תעשייתי" </w:t>
      </w:r>
      <w:r>
        <w:rPr>
          <w:rStyle w:val="default"/>
          <w:rFonts w:cs="FrankRuehl"/>
          <w:sz w:val="20"/>
          <w:rtl/>
        </w:rPr>
        <w:t>–</w:t>
      </w:r>
      <w:r>
        <w:rPr>
          <w:rStyle w:val="default"/>
          <w:rFonts w:cs="FrankRuehl" w:hint="cs"/>
          <w:sz w:val="20"/>
          <w:rtl/>
        </w:rPr>
        <w:t xml:space="preserve"> פעילות עסקית בארץ כמפורט בתקנה 5.</w:t>
      </w:r>
    </w:p>
    <w:p w:rsidR="007464A9" w:rsidRDefault="007464A9" w:rsidP="00572311">
      <w:pPr>
        <w:pStyle w:val="P00"/>
        <w:spacing w:before="72"/>
        <w:ind w:left="0" w:right="1134"/>
        <w:rPr>
          <w:rStyle w:val="default"/>
          <w:rFonts w:cs="FrankRuehl" w:hint="cs"/>
          <w:sz w:val="20"/>
          <w:rtl/>
        </w:rPr>
      </w:pPr>
      <w:bookmarkStart w:id="2" w:name="Seif2"/>
      <w:bookmarkEnd w:id="2"/>
      <w:r w:rsidRPr="00536FF0">
        <w:rPr>
          <w:rFonts w:cs="Miriam"/>
          <w:lang w:val="he-IL"/>
        </w:rPr>
        <w:pict>
          <v:rect id="_x0000_s1474" style="position:absolute;left:0;text-align:left;margin-left:464.35pt;margin-top:7.1pt;width:75.05pt;height:16.45pt;z-index:251653120" o:allowincell="f" filled="f" stroked="f" strokecolor="lime" strokeweight=".25pt">
            <v:textbox style="mso-next-textbox:#_x0000_s1474" inset="0,0,0,0">
              <w:txbxContent>
                <w:p w:rsidR="007464A9" w:rsidRDefault="00572311" w:rsidP="007464A9">
                  <w:pPr>
                    <w:spacing w:line="160" w:lineRule="exact"/>
                    <w:rPr>
                      <w:rFonts w:cs="Miriam" w:hint="cs"/>
                      <w:noProof/>
                      <w:sz w:val="18"/>
                      <w:szCs w:val="18"/>
                      <w:rtl/>
                    </w:rPr>
                  </w:pPr>
                  <w:r>
                    <w:rPr>
                      <w:rFonts w:cs="Miriam" w:hint="cs"/>
                      <w:sz w:val="18"/>
                      <w:szCs w:val="18"/>
                      <w:rtl/>
                    </w:rPr>
                    <w:t>פירוש מונחים שלא הוגדרו</w:t>
                  </w:r>
                </w:p>
              </w:txbxContent>
            </v:textbox>
            <w10:anchorlock/>
          </v:rect>
        </w:pict>
      </w:r>
      <w:r w:rsidR="00202D55">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572311">
        <w:rPr>
          <w:rStyle w:val="default"/>
          <w:rFonts w:cs="FrankRuehl" w:hint="cs"/>
          <w:sz w:val="20"/>
          <w:rtl/>
        </w:rPr>
        <w:t xml:space="preserve">מונחים בתקנות אלה שלא הוגדרו בתקנה 1, יפורשו כמשמעותם בתקנות חובת המכרזים, התשנ"ג-1993 (להלן </w:t>
      </w:r>
      <w:r w:rsidR="00572311">
        <w:rPr>
          <w:rStyle w:val="default"/>
          <w:rFonts w:cs="FrankRuehl"/>
          <w:sz w:val="20"/>
          <w:rtl/>
        </w:rPr>
        <w:t>–</w:t>
      </w:r>
      <w:r w:rsidR="00572311">
        <w:rPr>
          <w:rStyle w:val="default"/>
          <w:rFonts w:cs="FrankRuehl" w:hint="cs"/>
          <w:sz w:val="20"/>
          <w:rtl/>
        </w:rPr>
        <w:t xml:space="preserve"> תקנות חובת המכרזים), זולת אם נאמר בהן במפורש אחרת</w:t>
      </w:r>
      <w:r w:rsidR="00202D55">
        <w:rPr>
          <w:rStyle w:val="default"/>
          <w:rFonts w:cs="FrankRuehl" w:hint="cs"/>
          <w:sz w:val="20"/>
          <w:rtl/>
        </w:rPr>
        <w:t>.</w:t>
      </w:r>
    </w:p>
    <w:p w:rsidR="00572311" w:rsidRPr="00572311" w:rsidRDefault="00572311" w:rsidP="00572311">
      <w:pPr>
        <w:pStyle w:val="medium2-header"/>
        <w:keepLines w:val="0"/>
        <w:spacing w:before="72"/>
        <w:ind w:left="0" w:right="1134"/>
        <w:rPr>
          <w:rFonts w:cs="FrankRuehl" w:hint="cs"/>
          <w:noProof/>
          <w:rtl/>
        </w:rPr>
      </w:pPr>
      <w:bookmarkStart w:id="3" w:name="med1"/>
      <w:bookmarkEnd w:id="3"/>
      <w:r w:rsidRPr="00572311">
        <w:rPr>
          <w:rFonts w:cs="FrankRuehl" w:hint="cs"/>
          <w:noProof/>
          <w:rtl/>
        </w:rPr>
        <w:t>פרק ב': חובת שיתוף פעולה תעשייתי</w:t>
      </w:r>
    </w:p>
    <w:p w:rsidR="007464A9" w:rsidRDefault="007464A9" w:rsidP="00572311">
      <w:pPr>
        <w:pStyle w:val="P00"/>
        <w:spacing w:before="72"/>
        <w:ind w:left="0" w:right="1134"/>
        <w:rPr>
          <w:rStyle w:val="default"/>
          <w:rFonts w:cs="FrankRuehl" w:hint="cs"/>
          <w:sz w:val="20"/>
          <w:rtl/>
        </w:rPr>
      </w:pPr>
      <w:bookmarkStart w:id="4" w:name="Seif3"/>
      <w:bookmarkEnd w:id="4"/>
      <w:r w:rsidRPr="00536FF0">
        <w:rPr>
          <w:rFonts w:cs="Miriam"/>
          <w:lang w:val="he-IL"/>
        </w:rPr>
        <w:pict>
          <v:rect id="_x0000_s1475" style="position:absolute;left:0;text-align:left;margin-left:464.35pt;margin-top:7.1pt;width:75.05pt;height:21.9pt;z-index:251654144" o:allowincell="f" filled="f" stroked="f" strokecolor="lime" strokeweight=".25pt">
            <v:textbox style="mso-next-textbox:#_x0000_s1475" inset="0,0,0,0">
              <w:txbxContent>
                <w:p w:rsidR="007464A9" w:rsidRDefault="00202D55" w:rsidP="00572311">
                  <w:pPr>
                    <w:spacing w:line="160" w:lineRule="exact"/>
                    <w:rPr>
                      <w:rFonts w:cs="Miriam" w:hint="cs"/>
                      <w:noProof/>
                      <w:sz w:val="18"/>
                      <w:szCs w:val="18"/>
                      <w:rtl/>
                    </w:rPr>
                  </w:pPr>
                  <w:r>
                    <w:rPr>
                      <w:rFonts w:cs="Miriam" w:hint="cs"/>
                      <w:sz w:val="18"/>
                      <w:szCs w:val="18"/>
                      <w:rtl/>
                    </w:rPr>
                    <w:t xml:space="preserve">חובת </w:t>
                  </w:r>
                  <w:r w:rsidR="00572311">
                    <w:rPr>
                      <w:rFonts w:cs="Miriam" w:hint="cs"/>
                      <w:sz w:val="18"/>
                      <w:szCs w:val="18"/>
                      <w:rtl/>
                    </w:rPr>
                    <w:t>שיתוף פעולה תעשייתי</w:t>
                  </w:r>
                </w:p>
              </w:txbxContent>
            </v:textbox>
            <w10:anchorlock/>
          </v:rect>
        </w:pict>
      </w:r>
      <w:r w:rsidR="00202D55">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202D55">
        <w:rPr>
          <w:rStyle w:val="default"/>
          <w:rFonts w:cs="FrankRuehl" w:hint="cs"/>
          <w:sz w:val="20"/>
          <w:rtl/>
        </w:rPr>
        <w:t>(א)</w:t>
      </w:r>
      <w:r w:rsidR="00202D55">
        <w:rPr>
          <w:rStyle w:val="default"/>
          <w:rFonts w:cs="FrankRuehl" w:hint="cs"/>
          <w:sz w:val="20"/>
          <w:rtl/>
        </w:rPr>
        <w:tab/>
      </w:r>
      <w:r w:rsidR="00572311">
        <w:rPr>
          <w:rStyle w:val="default"/>
          <w:rFonts w:cs="FrankRuehl" w:hint="cs"/>
          <w:sz w:val="20"/>
          <w:rtl/>
        </w:rPr>
        <w:t>הוראות פרק זה יחולו, בשינויים המחויבים, גם על התקשרות שנעשתה שלא במכרז</w:t>
      </w:r>
      <w:r w:rsidR="00202D55">
        <w:rPr>
          <w:rStyle w:val="default"/>
          <w:rFonts w:cs="FrankRuehl" w:hint="cs"/>
          <w:sz w:val="20"/>
          <w:rtl/>
        </w:rPr>
        <w:t>.</w:t>
      </w:r>
    </w:p>
    <w:p w:rsidR="00572311" w:rsidRDefault="00572311" w:rsidP="0057231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לא תתקשר עיריה בהתקשרות לרכישת טובין או לביצוע עבודה, ששווי ההתקשרות בהם עולה על הסף שנקבע בפסקה (1) או (2), אלא אם כן כללו מסמכי המכרז, אם ההתקשרות טעונה מכרז או הסכם ההתקשרות, אם ההתקשרות אינה טעונה מכרז, הוראה בדבר מחויבות של ספק חוץ, אם יזכה במכרז, לקיים שיתוף פעולה תעשייתי לפי תקנות אלה, למעט אם ניתן פטור מלא או חלקי לעניין זה מראש על ידי הרשפ"ת:</w:t>
      </w:r>
    </w:p>
    <w:p w:rsidR="00572311" w:rsidRDefault="00572311" w:rsidP="0057231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שווי ההתקשרות עולה על סכום בשקלים חדשים השווה ל-5 מיליון דולר ארה"ב;</w:t>
      </w:r>
    </w:p>
    <w:p w:rsidR="00572311" w:rsidRDefault="00572311" w:rsidP="0057231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התקשרות המשך, להתקשרות ששוויה עולה על סכום בשקלים חדשים השווה ל-5 מיליון דולר ארה"ב, ושווייה עולה על סכום בשקלים חדשים השווה ל-500,000 דולר ארה"ב, הנעשית בתוך תקופה של חמש שנים מיום ההתקשרות המקורית.</w:t>
      </w:r>
    </w:p>
    <w:p w:rsidR="00572311" w:rsidRDefault="00572311" w:rsidP="00572311">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נוסח ההוראה ייקבע על ידי הרשפ"ת ויפורסם ברבים.</w:t>
      </w:r>
    </w:p>
    <w:p w:rsidR="007464A9" w:rsidRDefault="007464A9" w:rsidP="00572311">
      <w:pPr>
        <w:pStyle w:val="P00"/>
        <w:spacing w:before="72"/>
        <w:ind w:left="0" w:right="1134"/>
        <w:rPr>
          <w:rStyle w:val="default"/>
          <w:rFonts w:cs="FrankRuehl" w:hint="cs"/>
          <w:sz w:val="20"/>
          <w:rtl/>
        </w:rPr>
      </w:pPr>
      <w:bookmarkStart w:id="5" w:name="Seif4"/>
      <w:bookmarkEnd w:id="5"/>
      <w:r w:rsidRPr="00536FF0">
        <w:rPr>
          <w:rFonts w:cs="Miriam"/>
          <w:lang w:val="he-IL"/>
        </w:rPr>
        <w:lastRenderedPageBreak/>
        <w:pict>
          <v:rect id="_x0000_s1476" style="position:absolute;left:0;text-align:left;margin-left:464.35pt;margin-top:7.1pt;width:75.05pt;height:9.95pt;z-index:251655168" o:allowincell="f" filled="f" stroked="f" strokecolor="lime" strokeweight=".25pt">
            <v:textbox style="mso-next-textbox:#_x0000_s1476" inset="0,0,0,0">
              <w:txbxContent>
                <w:p w:rsidR="007464A9" w:rsidRDefault="00572311" w:rsidP="007464A9">
                  <w:pPr>
                    <w:spacing w:line="160" w:lineRule="exact"/>
                    <w:rPr>
                      <w:rFonts w:cs="Miriam" w:hint="cs"/>
                      <w:noProof/>
                      <w:sz w:val="18"/>
                      <w:szCs w:val="18"/>
                      <w:rtl/>
                    </w:rPr>
                  </w:pPr>
                  <w:r>
                    <w:rPr>
                      <w:rFonts w:cs="Miriam" w:hint="cs"/>
                      <w:sz w:val="18"/>
                      <w:szCs w:val="18"/>
                      <w:rtl/>
                    </w:rPr>
                    <w:t>חובת דיווח</w:t>
                  </w:r>
                </w:p>
              </w:txbxContent>
            </v:textbox>
            <w10:anchorlock/>
          </v:rect>
        </w:pict>
      </w:r>
      <w:r w:rsidR="00202D55">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572311">
        <w:rPr>
          <w:rStyle w:val="default"/>
          <w:rFonts w:cs="FrankRuehl" w:hint="cs"/>
          <w:sz w:val="20"/>
          <w:rtl/>
        </w:rPr>
        <w:t>(א)</w:t>
      </w:r>
      <w:r w:rsidR="00572311">
        <w:rPr>
          <w:rStyle w:val="default"/>
          <w:rFonts w:cs="FrankRuehl" w:hint="cs"/>
          <w:sz w:val="20"/>
          <w:rtl/>
        </w:rPr>
        <w:tab/>
        <w:t xml:space="preserve">בחודש ינואר של כל שנה, תמציא עיריה לרשפ"ת דוח מפורט ובו ציון מלוא ההתקשרויות, ההתקשרויות שלא במכרז והמכרזים הצפויים לאותה שנה, אשר שווי ההתקשרות במסגרתן הוא כנקוב בתקנות 3(א)(1) ו-(2) (להלן </w:t>
      </w:r>
      <w:r w:rsidR="00572311">
        <w:rPr>
          <w:rStyle w:val="default"/>
          <w:rFonts w:cs="FrankRuehl"/>
          <w:sz w:val="20"/>
          <w:rtl/>
        </w:rPr>
        <w:t>–</w:t>
      </w:r>
      <w:r w:rsidR="00572311">
        <w:rPr>
          <w:rStyle w:val="default"/>
          <w:rFonts w:cs="FrankRuehl" w:hint="cs"/>
          <w:sz w:val="20"/>
          <w:rtl/>
        </w:rPr>
        <w:t xml:space="preserve"> הדוח השנתי).</w:t>
      </w:r>
    </w:p>
    <w:p w:rsidR="00572311" w:rsidRDefault="00572311" w:rsidP="0057231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בלי לגרוע מן האמור בתקנת משנה (א), עיריה תדווח לרשפ"ת </w:t>
      </w:r>
      <w:r w:rsidR="00D12727">
        <w:rPr>
          <w:rStyle w:val="default"/>
          <w:rFonts w:cs="FrankRuehl" w:hint="cs"/>
          <w:sz w:val="20"/>
          <w:rtl/>
        </w:rPr>
        <w:t xml:space="preserve">על כל מכרז או כל התקשרות הנעשית שלא במכרז, שישים ימים לפחות לפני המועד המתוכנן לפרסום המכרז או לביצוע התקשרות שאינה טעונה מכרז (להלן </w:t>
      </w:r>
      <w:r w:rsidR="00D12727">
        <w:rPr>
          <w:rStyle w:val="default"/>
          <w:rFonts w:cs="FrankRuehl"/>
          <w:sz w:val="20"/>
          <w:rtl/>
        </w:rPr>
        <w:t>–</w:t>
      </w:r>
      <w:r w:rsidR="00D12727">
        <w:rPr>
          <w:rStyle w:val="default"/>
          <w:rFonts w:cs="FrankRuehl" w:hint="cs"/>
          <w:sz w:val="20"/>
          <w:rtl/>
        </w:rPr>
        <w:t xml:space="preserve"> הדוח המקדים).</w:t>
      </w:r>
    </w:p>
    <w:p w:rsidR="00D12727" w:rsidRDefault="00D12727" w:rsidP="00572311">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הדוח השנתי והדוח המקדים ייערכו באופן שהורתה הרשפ"ת ולפי הנחיות שפרסמה, בתוך פרק זמן סביר שהודיעה עליו לעיריה.</w:t>
      </w:r>
    </w:p>
    <w:p w:rsidR="00D12727" w:rsidRDefault="00D12727" w:rsidP="00572311">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לאחר קבלת הדוח השנתי או הדוח המקדים, רשאית הרשפ"ת לדרוש מהעיריה פרטים נוספים, הבהרות והשלמות לדוח, בתוך פרק זמן סביר שהודיעה עליו לעיריה.</w:t>
      </w:r>
    </w:p>
    <w:p w:rsidR="00D12727" w:rsidRDefault="00D12727" w:rsidP="00572311">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בהעדר דיווח של העיריה כמתואר בתקנות משנה (א) עד (ד), רשאית הרשפ"ת, בהסכמת שר הפנים ולאחר שנתנה לעיריה הזדמנות להשמיע את טענותיה לפניה, להודיע לעיריה על הקפאת הליכי המכרז או הליכי ההתקשרות שאינה טעונה מכרז, כולם או חלקם, עד אשר ימולאו הוראות תקנות המשנה האמורות להנחת דעתה.</w:t>
      </w:r>
    </w:p>
    <w:p w:rsidR="00FD036A" w:rsidRDefault="00FD036A" w:rsidP="00D12727">
      <w:pPr>
        <w:pStyle w:val="P00"/>
        <w:spacing w:before="72"/>
        <w:ind w:left="0" w:right="1134"/>
        <w:rPr>
          <w:rStyle w:val="default"/>
          <w:rFonts w:cs="FrankRuehl" w:hint="cs"/>
          <w:sz w:val="20"/>
          <w:rtl/>
        </w:rPr>
      </w:pPr>
      <w:bookmarkStart w:id="6" w:name="Seif5"/>
      <w:bookmarkEnd w:id="6"/>
      <w:r w:rsidRPr="00536FF0">
        <w:rPr>
          <w:rFonts w:cs="Miriam"/>
          <w:lang w:val="he-IL"/>
        </w:rPr>
        <w:pict>
          <v:rect id="_x0000_s1477" style="position:absolute;left:0;text-align:left;margin-left:464.35pt;margin-top:7.1pt;width:75.05pt;height:18.25pt;z-index:251656192" o:allowincell="f" filled="f" stroked="f" strokecolor="lime" strokeweight=".25pt">
            <v:textbox style="mso-next-textbox:#_x0000_s1477" inset="0,0,0,0">
              <w:txbxContent>
                <w:p w:rsidR="00FD036A" w:rsidRDefault="00D12727" w:rsidP="00FD036A">
                  <w:pPr>
                    <w:spacing w:line="160" w:lineRule="exact"/>
                    <w:rPr>
                      <w:rFonts w:cs="Miriam" w:hint="cs"/>
                      <w:noProof/>
                      <w:sz w:val="18"/>
                      <w:szCs w:val="18"/>
                      <w:rtl/>
                    </w:rPr>
                  </w:pPr>
                  <w:r>
                    <w:rPr>
                      <w:rFonts w:cs="Miriam" w:hint="cs"/>
                      <w:sz w:val="18"/>
                      <w:szCs w:val="18"/>
                      <w:rtl/>
                    </w:rPr>
                    <w:t>דרכים לשיתוף פעולה תעשייתי</w:t>
                  </w:r>
                </w:p>
              </w:txbxContent>
            </v:textbox>
            <w10:anchorlock/>
          </v:rect>
        </w:pict>
      </w:r>
      <w:r w:rsidR="00D12727">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D12727">
        <w:rPr>
          <w:rStyle w:val="default"/>
          <w:rFonts w:cs="FrankRuehl" w:hint="cs"/>
          <w:sz w:val="20"/>
          <w:rtl/>
        </w:rPr>
        <w:t>(א)</w:t>
      </w:r>
      <w:r w:rsidR="00D12727">
        <w:rPr>
          <w:rStyle w:val="default"/>
          <w:rFonts w:cs="FrankRuehl" w:hint="cs"/>
          <w:sz w:val="20"/>
          <w:rtl/>
        </w:rPr>
        <w:tab/>
        <w:t>שיתוף פעולה תעשייתי יהיה בדרך של התקשרות משנה מקומית, השקעות, מחקר ופיתוח, העברת ידע או רכישת טובין מתוצאת הארץ, או עבודה בארץ, או בדרך אחרת שאישרה הרשפ"ת מראש, למעט אלה:</w:t>
      </w:r>
    </w:p>
    <w:p w:rsidR="00D12727" w:rsidRDefault="00D12727" w:rsidP="00D1272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הוצאות, לרבות עמלת סוכן, שהוצאו לקידום מכירותיו של ספק חוץ בישראל;</w:t>
      </w:r>
    </w:p>
    <w:p w:rsidR="00D12727" w:rsidRDefault="00D12727" w:rsidP="00D1272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רכישת מניות של חברות אשר חוק ניירות ערך, התשכ"ח-1968, חל עליהן, בשיעור שבו אין הרוכש נהיה בעל עניין כהגדרתו באותו חוק.</w:t>
      </w:r>
    </w:p>
    <w:p w:rsidR="00D12727" w:rsidRDefault="00D12727" w:rsidP="00D1272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בהקשעות, רכישה ומימון עבודות מחקר ופיתוח אשר ייחשבו שיתוף פעולה תעשייתי, לא ייכללו מענקים שנתנה הממשלה כחלק מתכנית השקעה או מימון כאמור.</w:t>
      </w:r>
    </w:p>
    <w:p w:rsidR="00FD036A" w:rsidRDefault="00FD036A" w:rsidP="00D12727">
      <w:pPr>
        <w:pStyle w:val="P00"/>
        <w:spacing w:before="72"/>
        <w:ind w:left="0" w:right="1134"/>
        <w:rPr>
          <w:rStyle w:val="default"/>
          <w:rFonts w:cs="FrankRuehl" w:hint="cs"/>
          <w:sz w:val="20"/>
          <w:rtl/>
        </w:rPr>
      </w:pPr>
      <w:bookmarkStart w:id="7" w:name="Seif6"/>
      <w:bookmarkEnd w:id="7"/>
      <w:r w:rsidRPr="00536FF0">
        <w:rPr>
          <w:rFonts w:cs="Miriam"/>
          <w:lang w:val="he-IL"/>
        </w:rPr>
        <w:pict>
          <v:rect id="_x0000_s1478" style="position:absolute;left:0;text-align:left;margin-left:464.35pt;margin-top:7.1pt;width:75.05pt;height:22.5pt;z-index:251657216" o:allowincell="f" filled="f" stroked="f" strokecolor="lime" strokeweight=".25pt">
            <v:textbox style="mso-next-textbox:#_x0000_s1478" inset="0,0,0,0">
              <w:txbxContent>
                <w:p w:rsidR="00FD036A" w:rsidRDefault="00D12727" w:rsidP="00FD036A">
                  <w:pPr>
                    <w:spacing w:line="160" w:lineRule="exact"/>
                    <w:rPr>
                      <w:rFonts w:cs="Miriam" w:hint="cs"/>
                      <w:noProof/>
                      <w:sz w:val="18"/>
                      <w:szCs w:val="18"/>
                      <w:rtl/>
                    </w:rPr>
                  </w:pPr>
                  <w:r>
                    <w:rPr>
                      <w:rFonts w:cs="Miriam" w:hint="cs"/>
                      <w:sz w:val="18"/>
                      <w:szCs w:val="18"/>
                      <w:rtl/>
                    </w:rPr>
                    <w:t>התחייבות לשיתוף פעולה תעשייתי</w:t>
                  </w:r>
                </w:p>
              </w:txbxContent>
            </v:textbox>
            <w10:anchorlock/>
          </v:rect>
        </w:pict>
      </w:r>
      <w:r w:rsidR="00D12727">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D12727">
        <w:rPr>
          <w:rStyle w:val="default"/>
          <w:rFonts w:cs="FrankRuehl" w:hint="cs"/>
          <w:sz w:val="20"/>
          <w:rtl/>
        </w:rPr>
        <w:t>(א)</w:t>
      </w:r>
      <w:r w:rsidR="00D12727">
        <w:rPr>
          <w:rStyle w:val="default"/>
          <w:rFonts w:cs="FrankRuehl" w:hint="cs"/>
          <w:sz w:val="20"/>
          <w:rtl/>
        </w:rPr>
        <w:tab/>
        <w:t>מסמכי המכרז יכללו, בין השאר, את אלה:</w:t>
      </w:r>
    </w:p>
    <w:p w:rsidR="00D12727" w:rsidRDefault="00D12727" w:rsidP="00D1272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נוסח התחייבות של ספק חוץ הזוכה במכרז לקיים שיתוף פעולה תעשייתי כאמור בתקנות אלה (להלן </w:t>
      </w:r>
      <w:r>
        <w:rPr>
          <w:rStyle w:val="default"/>
          <w:rFonts w:cs="FrankRuehl"/>
          <w:sz w:val="20"/>
          <w:rtl/>
        </w:rPr>
        <w:t>–</w:t>
      </w:r>
      <w:r>
        <w:rPr>
          <w:rStyle w:val="default"/>
          <w:rFonts w:cs="FrankRuehl" w:hint="cs"/>
          <w:sz w:val="20"/>
          <w:rtl/>
        </w:rPr>
        <w:t xml:space="preserve"> התחייבות);</w:t>
      </w:r>
    </w:p>
    <w:p w:rsidR="00D12727" w:rsidRDefault="00D12727" w:rsidP="00D1272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שיעור שיתוף הפעולה התעשייתי הנדרש.</w:t>
      </w:r>
    </w:p>
    <w:p w:rsidR="00D12727" w:rsidRDefault="00D12727" w:rsidP="00D1272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זכה ספק חוץ במכרז, יידרש במסמכי המכרז לצרף התחייבות לשיתוף פעולה תעשייתי; ההתחייבות תהיה לטובת העיריה, ואולם אם תקבע הרשפ"ת כי לא ניתן לבצע את שיתוף הפעולה התעשייתי בתחום העיריה, ההתחייבות תהיה לטובת המדינה.</w:t>
      </w:r>
    </w:p>
    <w:p w:rsidR="00D12727" w:rsidRDefault="00D12727" w:rsidP="00D1272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בתנאי המכרז ייקבע תנאי סף ולפיו תנאי להשתתפות ספק חוץ במכרז הוא שיגיש תכנית למימוש מחויבותו לביצוע שיתוף פעולה תעשייתי לפי תקנות אלה אם יזכה במכרז, יחד עם הגשת הצעתו למכרז.</w:t>
      </w:r>
    </w:p>
    <w:p w:rsidR="00D12727" w:rsidRDefault="00D12727" w:rsidP="00D1272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לא כללה עיריה במכרז את כל האמור בתקנות משנה (א) ו-(ג), רשאית הרשפ"ת, בהסכמת שר הפנים ולאחר שנתנה לעיריה הזדמנות להשמיע את טענותיו לפניה, להודיע לעיריה על הקפאת הליכי המכרז עד אשר ימולאו הוראות תקנות אלה להנחת דעתה.</w:t>
      </w:r>
    </w:p>
    <w:p w:rsidR="00D12727" w:rsidRDefault="00D12727" w:rsidP="00D12727">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החליטה העיריה כי ספק חוץ הוא הזוכה במכרז, ייחתם איתו הסכם רק לאחר שהרשפ"ת אישרה כי מולאו הוראות פרק זה, ובכלל זה כי הוגשה לה תכנית למימוש חובת שיתוף הפעולה התעשייתי; לא הודיעה הרשפ"ת לעיריה בתוך 21 ימים מיום שהומצאה לה החלטת ועדת המכרזים, על סירובה לאשר כאמור, רשאית העיריה לחתום על ההסכם.</w:t>
      </w:r>
    </w:p>
    <w:p w:rsidR="00D12727" w:rsidRDefault="00D12727" w:rsidP="00D12727">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הרשפ"ת רשאית לחתום על הסכם מסגרת שייערך בו חישוב כולל של כל הפעילות העסקית של ספק החוץ ורכישותיו בישראל, בלא צורף בקבלת התחייבות נפרדת לכל רכישה.</w:t>
      </w:r>
    </w:p>
    <w:p w:rsidR="00FD036A" w:rsidRDefault="00FD036A" w:rsidP="00D72D05">
      <w:pPr>
        <w:pStyle w:val="P00"/>
        <w:spacing w:before="72"/>
        <w:ind w:left="0" w:right="1134"/>
        <w:rPr>
          <w:rStyle w:val="default"/>
          <w:rFonts w:cs="FrankRuehl" w:hint="cs"/>
          <w:sz w:val="20"/>
          <w:rtl/>
        </w:rPr>
      </w:pPr>
      <w:bookmarkStart w:id="8" w:name="Seif7"/>
      <w:bookmarkEnd w:id="8"/>
      <w:r w:rsidRPr="00536FF0">
        <w:rPr>
          <w:rFonts w:cs="Miriam"/>
          <w:lang w:val="he-IL"/>
        </w:rPr>
        <w:pict>
          <v:rect id="_x0000_s1479" style="position:absolute;left:0;text-align:left;margin-left:464.35pt;margin-top:7.1pt;width:75.05pt;height:22.4pt;z-index:251658240" o:allowincell="f" filled="f" stroked="f" strokecolor="lime" strokeweight=".25pt">
            <v:textbox style="mso-next-textbox:#_x0000_s1479" inset="0,0,0,0">
              <w:txbxContent>
                <w:p w:rsidR="00FD036A" w:rsidRDefault="00D72D05" w:rsidP="00FD036A">
                  <w:pPr>
                    <w:spacing w:line="160" w:lineRule="exact"/>
                    <w:rPr>
                      <w:rFonts w:cs="Miriam" w:hint="cs"/>
                      <w:noProof/>
                      <w:sz w:val="18"/>
                      <w:szCs w:val="18"/>
                      <w:rtl/>
                    </w:rPr>
                  </w:pPr>
                  <w:r>
                    <w:rPr>
                      <w:rFonts w:cs="Miriam" w:hint="cs"/>
                      <w:sz w:val="18"/>
                      <w:szCs w:val="18"/>
                      <w:rtl/>
                    </w:rPr>
                    <w:t>היקף שיתוף הפעולה הנדרש</w:t>
                  </w:r>
                </w:p>
              </w:txbxContent>
            </v:textbox>
            <w10:anchorlock/>
          </v:rect>
        </w:pict>
      </w:r>
      <w:r w:rsidR="00D12727">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D72D05">
        <w:rPr>
          <w:rStyle w:val="default"/>
          <w:rFonts w:cs="FrankRuehl" w:hint="cs"/>
          <w:sz w:val="20"/>
          <w:rtl/>
        </w:rPr>
        <w:t>(א)</w:t>
      </w:r>
      <w:r w:rsidR="00D72D05">
        <w:rPr>
          <w:rStyle w:val="default"/>
          <w:rFonts w:cs="FrankRuehl" w:hint="cs"/>
          <w:sz w:val="20"/>
          <w:rtl/>
        </w:rPr>
        <w:tab/>
      </w:r>
      <w:r w:rsidR="00D73A3D">
        <w:rPr>
          <w:rStyle w:val="default"/>
          <w:rFonts w:cs="FrankRuehl" w:hint="cs"/>
          <w:sz w:val="20"/>
          <w:rtl/>
        </w:rPr>
        <w:t>היקף שיתוף הפעולה התעשייתי יהיה בסכום השווה ל-35 אחוזים לפחות משווי העסקה או שווי ההתקשרות, לפי העניין.</w:t>
      </w:r>
    </w:p>
    <w:p w:rsidR="00D73A3D" w:rsidRDefault="00D73A3D" w:rsidP="00D72D0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שר הפנים בהתייעצות עם הרשפ"ת, רשאי לקבוע בכללים כי בתחומי פעילות מסוימים ובאזורים מסוימים, תוכר פעילות ספק החוץ לעניין קביעת היקף שיתוף הפעולה התעשייתי בשיעורים העולים על 100 אחוזים.</w:t>
      </w:r>
    </w:p>
    <w:p w:rsidR="00D73A3D" w:rsidRDefault="00D73A3D" w:rsidP="00D73A3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כתב התחייבות של ספק חוץ לשיתוף פעולה תעשייתי לפי תקנות אלה יכלול את התחייבות הספק לקיים שיתוף פעולה תעשייתי, התחומים שבהם מתחייב הספק לקיים שיתוף פעולה ופרטים נוספים ככל שיידרשו לקיום שיתוף הפעולה וכן את התחייבות הספק לדווח על עמידתו בתנאי ההתחייבות; נוסח כתב ההתחייבות יפורסם ברשומות בידי הרשפ"ת.</w:t>
      </w:r>
    </w:p>
    <w:p w:rsidR="00D73A3D" w:rsidRDefault="00D73A3D" w:rsidP="00D73A3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לבקשת העיריה רשאית הרשפ"ת לפטור מחובת שיתוף פעולה תעשייתי או לאשר שיתוף פעולה תעשייתי בהיקף נמוך מ-35 אחוזים, כאמור בתקנת משנה (א), אם התקיים אחד או יותר מתנאים אלה:</w:t>
      </w:r>
    </w:p>
    <w:p w:rsidR="00D73A3D" w:rsidRDefault="00D73A3D" w:rsidP="00D73A3D">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דרישה לשיתוף פעולה תעשייתי או קביעת שיעור של 35 אחוזים </w:t>
      </w:r>
      <w:r>
        <w:rPr>
          <w:rStyle w:val="default"/>
          <w:rFonts w:cs="FrankRuehl"/>
          <w:sz w:val="20"/>
          <w:rtl/>
        </w:rPr>
        <w:t>–</w:t>
      </w:r>
    </w:p>
    <w:p w:rsidR="00D73A3D" w:rsidRDefault="00D73A3D" w:rsidP="00D73A3D">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תפגע פגיעה מהותית ברווחיות או במהלך העסקים הרגיל של העיריה;</w:t>
      </w:r>
    </w:p>
    <w:p w:rsidR="00D73A3D" w:rsidRDefault="00D73A3D" w:rsidP="00D73A3D">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תפגע במילוי תפקידיה של העיריה לפי חוק;</w:t>
      </w:r>
    </w:p>
    <w:p w:rsidR="00D73A3D" w:rsidRDefault="00D73A3D" w:rsidP="0095626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ההתקשרות מהווה פריצת דרך מסחרית או מדינית;</w:t>
      </w:r>
    </w:p>
    <w:p w:rsidR="00D73A3D" w:rsidRDefault="00D73A3D" w:rsidP="0095626C">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ההתקשרות בעלת אפיונים מיוחדים;</w:t>
      </w:r>
    </w:p>
    <w:p w:rsidR="00D73A3D" w:rsidRDefault="00D73A3D" w:rsidP="0095626C">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קיים הסכם מסגרת, כאמור בתקנה 5(ו), בין הרשפ"ת ובין ספק החוץ;</w:t>
      </w:r>
    </w:p>
    <w:p w:rsidR="00D73A3D" w:rsidRDefault="00D73A3D" w:rsidP="0095626C">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ספק החוץ הוא ספק יחיד;</w:t>
      </w:r>
    </w:p>
    <w:p w:rsidR="00D73A3D" w:rsidRDefault="00D73A3D" w:rsidP="0095626C">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r>
      <w:r w:rsidR="0095626C">
        <w:rPr>
          <w:rStyle w:val="default"/>
          <w:rFonts w:cs="FrankRuehl" w:hint="cs"/>
          <w:sz w:val="20"/>
          <w:rtl/>
        </w:rPr>
        <w:t>הספק ביצע בעבר שיתוף פעולה תעשייתי בשיעור ניכר ובולט מעבר לנדרש ממנו לפי תקנות אלה; שר הפנים בהמלצת הרשפ"ת יקבע מבחנים למתן פטור לפי פסקה זו.</w:t>
      </w:r>
    </w:p>
    <w:p w:rsidR="0095626C" w:rsidRDefault="0095626C" w:rsidP="00D73A3D">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נוסף על האמור בתקנת משנה (ד), רשאי שר הפנים בהתייעצות עם הרשפ"ת לקבוע כי התקשרות מסוימת פטורה מחובת שיתוף פעולה תעשייתי או חייבת בשיתוף פעולה תעשייתי בהיקף נמוך מ-35 אחוזים, כאמור בתקנת משנה (א), בהתאם לנסיבות העניין.</w:t>
      </w:r>
    </w:p>
    <w:p w:rsidR="0095626C" w:rsidRDefault="0095626C" w:rsidP="00D73A3D">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החליטו הרשפ"ת או שר הפנים לפטור מראש מחובת שיתוף פעולה תעשייתי או לאשר מראש שיתוף פעולה תעשייתי בהיקף נמוך מ-35 אחוזים, כאמור בתקנת משנה (א), תכלול העיריה הודעה על כך במסמכי המכרז או במסמכי ההתקשרות, ככל שההתקשרות אינה טעונה מכרז.</w:t>
      </w:r>
    </w:p>
    <w:p w:rsidR="00FD036A" w:rsidRDefault="00FD036A" w:rsidP="00F704A5">
      <w:pPr>
        <w:pStyle w:val="P00"/>
        <w:spacing w:before="72"/>
        <w:ind w:left="0" w:right="1134"/>
        <w:rPr>
          <w:rStyle w:val="default"/>
          <w:rFonts w:cs="FrankRuehl" w:hint="cs"/>
          <w:sz w:val="20"/>
          <w:rtl/>
        </w:rPr>
      </w:pPr>
      <w:bookmarkStart w:id="9" w:name="Seif8"/>
      <w:bookmarkEnd w:id="9"/>
      <w:r w:rsidRPr="00536FF0">
        <w:rPr>
          <w:rFonts w:cs="Miriam"/>
          <w:lang w:val="he-IL"/>
        </w:rPr>
        <w:pict>
          <v:rect id="_x0000_s1480" style="position:absolute;left:0;text-align:left;margin-left:464.35pt;margin-top:7.1pt;width:75.05pt;height:19.35pt;z-index:251659264" o:allowincell="f" filled="f" stroked="f" strokecolor="lime" strokeweight=".25pt">
            <v:textbox style="mso-next-textbox:#_x0000_s1480" inset="0,0,0,0">
              <w:txbxContent>
                <w:p w:rsidR="00FD036A" w:rsidRDefault="00F704A5" w:rsidP="00FD036A">
                  <w:pPr>
                    <w:spacing w:line="160" w:lineRule="exact"/>
                    <w:rPr>
                      <w:rFonts w:cs="Miriam" w:hint="cs"/>
                      <w:noProof/>
                      <w:sz w:val="18"/>
                      <w:szCs w:val="18"/>
                      <w:rtl/>
                    </w:rPr>
                  </w:pPr>
                  <w:r>
                    <w:rPr>
                      <w:rFonts w:cs="Miriam" w:hint="cs"/>
                      <w:sz w:val="18"/>
                      <w:szCs w:val="18"/>
                      <w:rtl/>
                    </w:rPr>
                    <w:t>התקשרות משנה מקומית</w:t>
                  </w:r>
                </w:p>
              </w:txbxContent>
            </v:textbox>
            <w10:anchorlock/>
          </v:rect>
        </w:pict>
      </w:r>
      <w:r w:rsidR="0095626C">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F704A5">
        <w:rPr>
          <w:rStyle w:val="default"/>
          <w:rFonts w:cs="FrankRuehl" w:hint="cs"/>
          <w:sz w:val="20"/>
          <w:rtl/>
        </w:rPr>
        <w:t>(א)</w:t>
      </w:r>
      <w:r w:rsidR="00F704A5">
        <w:rPr>
          <w:rStyle w:val="default"/>
          <w:rFonts w:cs="FrankRuehl" w:hint="cs"/>
          <w:sz w:val="20"/>
          <w:rtl/>
        </w:rPr>
        <w:tab/>
        <w:t>בהתקשרויות ששויין עולה על סכום בשקלים חדשים השווה ל-5 מיליון דולר ארה"ב ואשר לדעת הרשפ"ת, יש בהתקשרות חשיבות לקידום התעשייה והפיתוח הטכנולוגי בארץ, יכללו מסמכי המכרז או מסמכי ההתקשרות ככל שאינה טעונה מכרז, הוראה בדבר התחייבות ספק החוץ, במסגרת התחייבותו להיקף שיתוף פעולה תעשייתי כאמור בתקנה 6, להתקשר בהתקשרות משנה מקומית, בהיקף שלא יפחת מ-20 אחוזים מערך ההתקשרות.</w:t>
      </w:r>
    </w:p>
    <w:p w:rsidR="00F704A5" w:rsidRDefault="00F704A5" w:rsidP="00F704A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בלי לגרוע מחובותיו לפי האמור בתקנה 6(ב) ובתקנת משנה (א), ספק חוץ שהתחייב להתקשר בהתקשרות משנה מקומית כאמור, יציג לעיריה ולרשפ"ת בתום ביצוע העבודה אישור מאת רואה חשבון על היקף התרשות המשנה המקומית כפי שבוצעה בפועל ועל מהותה.</w:t>
      </w:r>
    </w:p>
    <w:p w:rsidR="00FD036A" w:rsidRDefault="00FD036A" w:rsidP="00776BAD">
      <w:pPr>
        <w:pStyle w:val="P00"/>
        <w:spacing w:before="72"/>
        <w:ind w:left="0" w:right="1134"/>
        <w:rPr>
          <w:rStyle w:val="default"/>
          <w:rFonts w:cs="FrankRuehl" w:hint="cs"/>
          <w:sz w:val="20"/>
          <w:rtl/>
        </w:rPr>
      </w:pPr>
      <w:bookmarkStart w:id="10" w:name="Seif9"/>
      <w:bookmarkEnd w:id="10"/>
      <w:r w:rsidRPr="00536FF0">
        <w:rPr>
          <w:rFonts w:cs="Miriam"/>
          <w:lang w:val="he-IL"/>
        </w:rPr>
        <w:pict>
          <v:rect id="_x0000_s1481" style="position:absolute;left:0;text-align:left;margin-left:464.35pt;margin-top:7.1pt;width:75.05pt;height:30.85pt;z-index:251660288" o:allowincell="f" filled="f" stroked="f" strokecolor="lime" strokeweight=".25pt">
            <v:textbox style="mso-next-textbox:#_x0000_s1481" inset="0,0,0,0">
              <w:txbxContent>
                <w:p w:rsidR="00FD036A" w:rsidRDefault="00776BAD" w:rsidP="00FD036A">
                  <w:pPr>
                    <w:spacing w:line="160" w:lineRule="exact"/>
                    <w:rPr>
                      <w:rFonts w:cs="Miriam" w:hint="cs"/>
                      <w:noProof/>
                      <w:sz w:val="18"/>
                      <w:szCs w:val="18"/>
                      <w:rtl/>
                    </w:rPr>
                  </w:pPr>
                  <w:r>
                    <w:rPr>
                      <w:rFonts w:cs="Miriam" w:hint="cs"/>
                      <w:sz w:val="18"/>
                      <w:szCs w:val="18"/>
                      <w:rtl/>
                    </w:rPr>
                    <w:t>תקופת ביצוע התחייבות לשיתוף פעולה תעשייתי</w:t>
                  </w:r>
                </w:p>
              </w:txbxContent>
            </v:textbox>
            <w10:anchorlock/>
          </v:rect>
        </w:pict>
      </w:r>
      <w:r w:rsidR="00F704A5">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776BAD">
        <w:rPr>
          <w:rStyle w:val="default"/>
          <w:rFonts w:cs="FrankRuehl" w:hint="cs"/>
          <w:sz w:val="20"/>
          <w:rtl/>
        </w:rPr>
        <w:t>ההתחייבות לשיתוף פעולה תעשייתי תבוצע בתקופת תוקפו של ההסכם לביצוע ההתקשרות; הרשפ"ת רשאית, משיקולים הנוגעים לאופי שיתוף הפעולה התעשייתי או מורכבות ההתקשרות, להאריך את התקופה לביצוע שיתוף הפעולה התעשייתי.</w:t>
      </w:r>
    </w:p>
    <w:p w:rsidR="00FD036A" w:rsidRDefault="00FD036A" w:rsidP="0092283A">
      <w:pPr>
        <w:pStyle w:val="P00"/>
        <w:spacing w:before="72"/>
        <w:ind w:left="0" w:right="1134"/>
        <w:rPr>
          <w:rStyle w:val="default"/>
          <w:rFonts w:cs="FrankRuehl" w:hint="cs"/>
          <w:sz w:val="20"/>
          <w:rtl/>
        </w:rPr>
      </w:pPr>
      <w:bookmarkStart w:id="11" w:name="Seif10"/>
      <w:bookmarkEnd w:id="11"/>
      <w:r w:rsidRPr="00536FF0">
        <w:rPr>
          <w:rFonts w:cs="Miriam"/>
          <w:lang w:val="he-IL"/>
        </w:rPr>
        <w:pict>
          <v:rect id="_x0000_s1482" style="position:absolute;left:0;text-align:left;margin-left:464.35pt;margin-top:7.1pt;width:75.05pt;height:9.95pt;z-index:251661312" o:allowincell="f" filled="f" stroked="f" strokecolor="lime" strokeweight=".25pt">
            <v:textbox style="mso-next-textbox:#_x0000_s1482" inset="0,0,0,0">
              <w:txbxContent>
                <w:p w:rsidR="00FD036A" w:rsidRDefault="0092283A" w:rsidP="00FD036A">
                  <w:pPr>
                    <w:spacing w:line="160" w:lineRule="exact"/>
                    <w:rPr>
                      <w:rFonts w:cs="Miriam" w:hint="cs"/>
                      <w:noProof/>
                      <w:sz w:val="18"/>
                      <w:szCs w:val="18"/>
                      <w:rtl/>
                    </w:rPr>
                  </w:pPr>
                  <w:r>
                    <w:rPr>
                      <w:rFonts w:cs="Miriam" w:hint="cs"/>
                      <w:sz w:val="18"/>
                      <w:szCs w:val="18"/>
                      <w:rtl/>
                    </w:rPr>
                    <w:t>בקשה לשינוי החלטה</w:t>
                  </w:r>
                </w:p>
              </w:txbxContent>
            </v:textbox>
            <w10:anchorlock/>
          </v:rect>
        </w:pict>
      </w:r>
      <w:r>
        <w:rPr>
          <w:rStyle w:val="big-number"/>
          <w:rFonts w:cs="Miriam" w:hint="cs"/>
          <w:sz w:val="20"/>
          <w:rtl/>
        </w:rPr>
        <w:t>10</w:t>
      </w:r>
      <w:r w:rsidRPr="00536FF0">
        <w:rPr>
          <w:rStyle w:val="big-number"/>
          <w:rFonts w:cs="FrankRuehl"/>
          <w:sz w:val="20"/>
          <w:szCs w:val="26"/>
          <w:rtl/>
        </w:rPr>
        <w:t>.</w:t>
      </w:r>
      <w:r w:rsidRPr="00536FF0">
        <w:rPr>
          <w:rStyle w:val="big-number"/>
          <w:rFonts w:cs="FrankRuehl"/>
          <w:sz w:val="20"/>
          <w:szCs w:val="26"/>
          <w:rtl/>
        </w:rPr>
        <w:tab/>
      </w:r>
      <w:r w:rsidR="0092283A">
        <w:rPr>
          <w:rStyle w:val="default"/>
          <w:rFonts w:cs="FrankRuehl" w:hint="cs"/>
          <w:sz w:val="20"/>
          <w:rtl/>
        </w:rPr>
        <w:t>שר הפנים או מי שהוא הסמיך לכך, לבקשת עיריה ולאחר התייעצות עם שר התעשייה המסחר והתעסוקה או מי שהוא הסמיך לכך, רשאי לאשר את החלטת הרשפ"ת, לשנותה, לבטלה, או להחזיר אליה את העניין בצירוף הוראות.</w:t>
      </w:r>
    </w:p>
    <w:p w:rsidR="00FD036A" w:rsidRDefault="00FD036A" w:rsidP="0099123C">
      <w:pPr>
        <w:pStyle w:val="P00"/>
        <w:spacing w:before="72"/>
        <w:ind w:left="0" w:right="1134"/>
        <w:rPr>
          <w:rStyle w:val="default"/>
          <w:rFonts w:cs="FrankRuehl" w:hint="cs"/>
          <w:sz w:val="20"/>
          <w:rtl/>
        </w:rPr>
      </w:pPr>
      <w:bookmarkStart w:id="12" w:name="Seif11"/>
      <w:bookmarkEnd w:id="12"/>
      <w:r w:rsidRPr="00536FF0">
        <w:rPr>
          <w:rFonts w:cs="Miriam"/>
          <w:lang w:val="he-IL"/>
        </w:rPr>
        <w:pict>
          <v:rect id="_x0000_s1483" style="position:absolute;left:0;text-align:left;margin-left:464.35pt;margin-top:7.1pt;width:75.05pt;height:29pt;z-index:251662336" o:allowincell="f" filled="f" stroked="f" strokecolor="lime" strokeweight=".25pt">
            <v:textbox style="mso-next-textbox:#_x0000_s1483" inset="0,0,0,0">
              <w:txbxContent>
                <w:p w:rsidR="00FD036A" w:rsidRDefault="0099123C" w:rsidP="00FD036A">
                  <w:pPr>
                    <w:spacing w:line="160" w:lineRule="exact"/>
                    <w:rPr>
                      <w:rFonts w:cs="Miriam" w:hint="cs"/>
                      <w:noProof/>
                      <w:sz w:val="18"/>
                      <w:szCs w:val="18"/>
                      <w:rtl/>
                    </w:rPr>
                  </w:pPr>
                  <w:r>
                    <w:rPr>
                      <w:rFonts w:cs="Miriam" w:hint="cs"/>
                      <w:sz w:val="18"/>
                      <w:szCs w:val="18"/>
                      <w:rtl/>
                    </w:rPr>
                    <w:t>אכיפת התחייבות לשיתוף פעולה תעשייתי</w:t>
                  </w:r>
                </w:p>
              </w:txbxContent>
            </v:textbox>
            <w10:anchorlock/>
          </v:rect>
        </w:pict>
      </w:r>
      <w:r>
        <w:rPr>
          <w:rStyle w:val="big-number"/>
          <w:rFonts w:cs="Miriam" w:hint="cs"/>
          <w:sz w:val="20"/>
          <w:rtl/>
        </w:rPr>
        <w:t>1</w:t>
      </w:r>
      <w:r w:rsidR="0092283A">
        <w:rPr>
          <w:rStyle w:val="big-number"/>
          <w:rFonts w:cs="Miriam" w:hint="cs"/>
          <w:sz w:val="20"/>
          <w:rtl/>
        </w:rPr>
        <w:t>1</w:t>
      </w:r>
      <w:r w:rsidRPr="00536FF0">
        <w:rPr>
          <w:rStyle w:val="big-number"/>
          <w:rFonts w:cs="FrankRuehl"/>
          <w:sz w:val="20"/>
          <w:szCs w:val="26"/>
          <w:rtl/>
        </w:rPr>
        <w:t>.</w:t>
      </w:r>
      <w:r w:rsidRPr="00536FF0">
        <w:rPr>
          <w:rStyle w:val="big-number"/>
          <w:rFonts w:cs="FrankRuehl"/>
          <w:sz w:val="20"/>
          <w:szCs w:val="26"/>
          <w:rtl/>
        </w:rPr>
        <w:tab/>
      </w:r>
      <w:r w:rsidR="0099123C">
        <w:rPr>
          <w:rStyle w:val="default"/>
          <w:rFonts w:cs="FrankRuehl" w:hint="cs"/>
          <w:sz w:val="20"/>
          <w:rtl/>
        </w:rPr>
        <w:t>(א)</w:t>
      </w:r>
      <w:r w:rsidR="0099123C">
        <w:rPr>
          <w:rStyle w:val="default"/>
          <w:rFonts w:cs="FrankRuehl" w:hint="cs"/>
          <w:sz w:val="20"/>
          <w:rtl/>
        </w:rPr>
        <w:tab/>
        <w:t>המעקב אחר מימוש ההתחייבות לשיתוף פעולה תעשייתי ייעשה בידי הרשפ"ת לאחר חתימת ההסכם בין העיריה לספק החוץ.</w:t>
      </w:r>
    </w:p>
    <w:p w:rsidR="0099123C" w:rsidRDefault="0099123C" w:rsidP="0099123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612FA9">
        <w:rPr>
          <w:rStyle w:val="default"/>
          <w:rFonts w:cs="FrankRuehl" w:hint="cs"/>
          <w:sz w:val="20"/>
          <w:rtl/>
        </w:rPr>
        <w:t>בלי לפגוע בזכותה של עיריה, רשאית הרשפ"ת, לאחר שנתנה לספק הזדמנות להשמיע את טענותיו לפניה, לקבוע בהסכמת שר הפנים, כי ספק חוץ שלא עמד במחויבויותיו לביצוע שיתוף פעולה תעשייתי לפי תקנות אלה, לא יהיה רשאי להתקשר בהסכמים עם עיריות למשך תקופה שלא תעלה על חמש שנים.</w:t>
      </w:r>
    </w:p>
    <w:p w:rsidR="00612FA9" w:rsidRPr="00612FA9" w:rsidRDefault="00612FA9" w:rsidP="00612FA9">
      <w:pPr>
        <w:pStyle w:val="medium2-header"/>
        <w:keepLines w:val="0"/>
        <w:spacing w:before="72"/>
        <w:ind w:left="0" w:right="1134"/>
        <w:rPr>
          <w:rFonts w:cs="FrankRuehl" w:hint="cs"/>
          <w:noProof/>
          <w:rtl/>
        </w:rPr>
      </w:pPr>
      <w:bookmarkStart w:id="13" w:name="med2"/>
      <w:bookmarkEnd w:id="13"/>
      <w:r w:rsidRPr="00612FA9">
        <w:rPr>
          <w:rFonts w:cs="FrankRuehl" w:hint="cs"/>
          <w:noProof/>
          <w:rtl/>
        </w:rPr>
        <w:t>פרק ג': תחולה</w:t>
      </w:r>
    </w:p>
    <w:p w:rsidR="00FD036A" w:rsidRDefault="00FD036A" w:rsidP="00612FA9">
      <w:pPr>
        <w:pStyle w:val="P00"/>
        <w:spacing w:before="72"/>
        <w:ind w:left="0" w:right="1134"/>
        <w:rPr>
          <w:rStyle w:val="default"/>
          <w:rFonts w:cs="FrankRuehl" w:hint="cs"/>
          <w:sz w:val="20"/>
          <w:rtl/>
        </w:rPr>
      </w:pPr>
      <w:bookmarkStart w:id="14" w:name="Seif12"/>
      <w:bookmarkEnd w:id="14"/>
      <w:r w:rsidRPr="00536FF0">
        <w:rPr>
          <w:rFonts w:cs="Miriam"/>
          <w:lang w:val="he-IL"/>
        </w:rPr>
        <w:pict>
          <v:rect id="_x0000_s1484" style="position:absolute;left:0;text-align:left;margin-left:464.35pt;margin-top:7.1pt;width:75.05pt;height:9.95pt;z-index:251663360" o:allowincell="f" filled="f" stroked="f" strokecolor="lime" strokeweight=".25pt">
            <v:textbox style="mso-next-textbox:#_x0000_s1484" inset="0,0,0,0">
              <w:txbxContent>
                <w:p w:rsidR="00FD036A" w:rsidRDefault="00612FA9" w:rsidP="00FD036A">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sz w:val="20"/>
          <w:rtl/>
        </w:rPr>
        <w:t>1</w:t>
      </w:r>
      <w:r w:rsidR="00612FA9">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612FA9">
        <w:rPr>
          <w:rStyle w:val="default"/>
          <w:rFonts w:cs="FrankRuehl" w:hint="cs"/>
          <w:sz w:val="20"/>
          <w:rtl/>
        </w:rPr>
        <w:t>תקנות אלו יחולו על מכרז שיפורסם שלושה חודשים ואילך מיום תחילתן או על התקשרות שאינה טעונה מכרז שתיעשה שלושה חודשים ואילך מיום תחילתן.</w:t>
      </w:r>
    </w:p>
    <w:p w:rsidR="00E55C78" w:rsidRDefault="00E55C78">
      <w:pPr>
        <w:pStyle w:val="P00"/>
        <w:spacing w:before="72"/>
        <w:ind w:left="0" w:right="1134"/>
        <w:rPr>
          <w:rStyle w:val="default"/>
          <w:rFonts w:cs="FrankRuehl" w:hint="cs"/>
          <w:sz w:val="20"/>
          <w:rtl/>
        </w:rPr>
      </w:pPr>
    </w:p>
    <w:p w:rsidR="00006CAF" w:rsidRPr="00536FF0" w:rsidRDefault="00006CAF">
      <w:pPr>
        <w:pStyle w:val="P00"/>
        <w:spacing w:before="72"/>
        <w:ind w:left="0" w:right="1134"/>
        <w:rPr>
          <w:rStyle w:val="default"/>
          <w:rFonts w:cs="FrankRuehl" w:hint="cs"/>
          <w:sz w:val="20"/>
          <w:rtl/>
        </w:rPr>
      </w:pPr>
    </w:p>
    <w:p w:rsidR="00FA0F95" w:rsidRPr="00536FF0" w:rsidRDefault="00612FA9" w:rsidP="00612FA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כ"א באייר התש"ע</w:t>
      </w:r>
      <w:r w:rsidR="00D15D06">
        <w:rPr>
          <w:rFonts w:cs="FrankRuehl" w:hint="cs"/>
          <w:rtl/>
        </w:rPr>
        <w:t xml:space="preserve"> (</w:t>
      </w:r>
      <w:r>
        <w:rPr>
          <w:rFonts w:cs="FrankRuehl" w:hint="cs"/>
          <w:rtl/>
        </w:rPr>
        <w:t>5 במאי 2010</w:t>
      </w:r>
      <w:r w:rsidR="007A3435" w:rsidRPr="00536FF0">
        <w:rPr>
          <w:rFonts w:cs="FrankRuehl" w:hint="cs"/>
          <w:rtl/>
        </w:rPr>
        <w:t>)</w:t>
      </w:r>
      <w:r w:rsidR="00FA0F95" w:rsidRPr="00536FF0">
        <w:rPr>
          <w:rFonts w:cs="FrankRuehl" w:hint="cs"/>
          <w:rtl/>
        </w:rPr>
        <w:tab/>
      </w:r>
      <w:r>
        <w:rPr>
          <w:rFonts w:cs="FrankRuehl" w:hint="cs"/>
          <w:rtl/>
        </w:rPr>
        <w:t>אליהו ישי</w:t>
      </w:r>
    </w:p>
    <w:p w:rsidR="00877509" w:rsidRPr="00536FF0" w:rsidRDefault="00FA0F95" w:rsidP="00612FA9">
      <w:pPr>
        <w:pStyle w:val="sig-0"/>
        <w:tabs>
          <w:tab w:val="clear" w:pos="4820"/>
          <w:tab w:val="center" w:pos="5103"/>
        </w:tabs>
        <w:spacing w:before="0"/>
        <w:ind w:left="0" w:right="1134"/>
        <w:rPr>
          <w:rFonts w:cs="FrankRuehl" w:hint="cs"/>
          <w:szCs w:val="22"/>
          <w:rtl/>
        </w:rPr>
      </w:pPr>
      <w:r w:rsidRPr="00536FF0">
        <w:rPr>
          <w:rFonts w:cs="FrankRuehl" w:hint="cs"/>
          <w:szCs w:val="22"/>
          <w:rtl/>
        </w:rPr>
        <w:tab/>
      </w:r>
      <w:r w:rsidR="00612FA9">
        <w:rPr>
          <w:rFonts w:cs="FrankRuehl" w:hint="cs"/>
          <w:szCs w:val="22"/>
          <w:rtl/>
        </w:rPr>
        <w:t>שר הפנים</w:t>
      </w:r>
    </w:p>
    <w:p w:rsidR="00FD036A" w:rsidRPr="00536FF0" w:rsidRDefault="00FD036A">
      <w:pPr>
        <w:pStyle w:val="sig-0"/>
        <w:tabs>
          <w:tab w:val="clear" w:pos="4820"/>
          <w:tab w:val="center" w:pos="5670"/>
        </w:tabs>
        <w:ind w:left="0" w:right="1134"/>
        <w:rPr>
          <w:rFonts w:cs="FrankRuehl" w:hint="cs"/>
          <w:rtl/>
        </w:rPr>
      </w:pPr>
    </w:p>
    <w:p w:rsidR="00D078B6" w:rsidRPr="00536FF0" w:rsidRDefault="00D078B6">
      <w:pPr>
        <w:pStyle w:val="sig-0"/>
        <w:tabs>
          <w:tab w:val="clear" w:pos="4820"/>
          <w:tab w:val="center" w:pos="5670"/>
        </w:tabs>
        <w:ind w:left="0" w:right="1134"/>
        <w:rPr>
          <w:rFonts w:cs="FrankRuehl" w:hint="cs"/>
          <w:rtl/>
        </w:rPr>
      </w:pPr>
    </w:p>
    <w:p w:rsidR="00985742" w:rsidRDefault="00985742">
      <w:pPr>
        <w:pStyle w:val="sig-0"/>
        <w:ind w:left="0" w:right="1134"/>
        <w:rPr>
          <w:rFonts w:cs="FrankRuehl"/>
          <w:rtl/>
        </w:rPr>
      </w:pPr>
    </w:p>
    <w:p w:rsidR="00985742" w:rsidRDefault="00985742">
      <w:pPr>
        <w:pStyle w:val="sig-0"/>
        <w:ind w:left="0" w:right="1134"/>
        <w:rPr>
          <w:rFonts w:cs="FrankRuehl"/>
          <w:rtl/>
        </w:rPr>
      </w:pPr>
    </w:p>
    <w:p w:rsidR="00985742" w:rsidRDefault="00985742" w:rsidP="00985742">
      <w:pPr>
        <w:pStyle w:val="sig-0"/>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rsidR="00D078B6" w:rsidRPr="00985742" w:rsidRDefault="00D078B6" w:rsidP="00985742">
      <w:pPr>
        <w:pStyle w:val="sig-0"/>
        <w:ind w:left="0" w:right="1134"/>
        <w:jc w:val="center"/>
        <w:rPr>
          <w:rFonts w:cs="David"/>
          <w:color w:val="0000FF"/>
          <w:szCs w:val="24"/>
          <w:u w:val="single"/>
          <w:rtl/>
        </w:rPr>
      </w:pPr>
    </w:p>
    <w:sectPr w:rsidR="00D078B6" w:rsidRPr="0098574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54E6" w:rsidRDefault="00AE54E6">
      <w:r>
        <w:separator/>
      </w:r>
    </w:p>
  </w:endnote>
  <w:endnote w:type="continuationSeparator" w:id="0">
    <w:p w:rsidR="00AE54E6" w:rsidRDefault="00AE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5742">
      <w:rPr>
        <w:rFonts w:cs="TopType Jerushalmi"/>
        <w:noProof/>
        <w:color w:val="000000"/>
        <w:sz w:val="14"/>
        <w:szCs w:val="14"/>
      </w:rPr>
      <w:t>Z:\00000000000000000000000=2014------------------------\05-May\2014-05-28\LawsForHofit\01\500_328.doc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5742">
      <w:rPr>
        <w:rFonts w:hAnsi="FrankRuehl" w:cs="FrankRuehl"/>
        <w:noProof/>
        <w:sz w:val="24"/>
        <w:szCs w:val="24"/>
        <w:rtl/>
      </w:rPr>
      <w:t>5</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5742">
      <w:rPr>
        <w:rFonts w:cs="TopType Jerushalmi"/>
        <w:noProof/>
        <w:color w:val="000000"/>
        <w:sz w:val="14"/>
        <w:szCs w:val="14"/>
      </w:rPr>
      <w:t>Z:\00000000000000000000000=2014------------------------\05-May\2014-05-28\LawsForHofit\01\500_328.doc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54E6" w:rsidRDefault="00AE54E6">
      <w:r>
        <w:separator/>
      </w:r>
    </w:p>
  </w:footnote>
  <w:footnote w:type="continuationSeparator" w:id="0">
    <w:p w:rsidR="00AE54E6" w:rsidRDefault="00AE54E6">
      <w:r>
        <w:continuationSeparator/>
      </w:r>
    </w:p>
  </w:footnote>
  <w:footnote w:id="1">
    <w:p w:rsidR="00F34C3C" w:rsidRDefault="00CB07BE" w:rsidP="00F34C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FA0E44">
        <w:rPr>
          <w:rFonts w:cs="FrankRuehl" w:hint="cs"/>
          <w:rtl/>
        </w:rPr>
        <w:t xml:space="preserve"> פורסמו</w:t>
      </w:r>
      <w:r>
        <w:rPr>
          <w:rFonts w:cs="FrankRuehl" w:hint="cs"/>
          <w:rtl/>
        </w:rPr>
        <w:t xml:space="preserve"> </w:t>
      </w:r>
      <w:hyperlink r:id="rId1" w:history="1">
        <w:r w:rsidRPr="00F34C3C">
          <w:rPr>
            <w:rStyle w:val="Hyperlink"/>
            <w:rFonts w:cs="FrankRuehl" w:hint="cs"/>
            <w:rtl/>
          </w:rPr>
          <w:t>ק"ת תש"ע מס' 689</w:t>
        </w:r>
        <w:r w:rsidR="00FA0E44" w:rsidRPr="00F34C3C">
          <w:rPr>
            <w:rStyle w:val="Hyperlink"/>
            <w:rFonts w:cs="FrankRuehl" w:hint="cs"/>
            <w:rtl/>
          </w:rPr>
          <w:t>8</w:t>
        </w:r>
      </w:hyperlink>
      <w:r>
        <w:rPr>
          <w:rFonts w:cs="FrankRuehl" w:hint="cs"/>
          <w:rtl/>
        </w:rPr>
        <w:t xml:space="preserve"> מיום </w:t>
      </w:r>
      <w:r w:rsidR="00FA0E44">
        <w:rPr>
          <w:rFonts w:cs="FrankRuehl" w:hint="cs"/>
          <w:rtl/>
        </w:rPr>
        <w:t>21</w:t>
      </w:r>
      <w:r w:rsidR="004E7140">
        <w:rPr>
          <w:rFonts w:cs="FrankRuehl" w:hint="cs"/>
          <w:rtl/>
        </w:rPr>
        <w:t>.6</w:t>
      </w:r>
      <w:r>
        <w:rPr>
          <w:rFonts w:cs="FrankRuehl" w:hint="cs"/>
          <w:rtl/>
        </w:rPr>
        <w:t xml:space="preserve">.2010 עמ' </w:t>
      </w:r>
      <w:r w:rsidR="00FA0E44">
        <w:rPr>
          <w:rFonts w:cs="FrankRuehl" w:hint="cs"/>
          <w:rtl/>
        </w:rPr>
        <w:t>1226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FA0E44" w:rsidP="000720A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העיריות (חובת שיתוף פעולה תעשייתי</w:t>
    </w:r>
    <w:r w:rsidR="007464A9">
      <w:rPr>
        <w:rFonts w:hAnsi="FrankRuehl" w:cs="FrankRuehl" w:hint="cs"/>
        <w:color w:val="000000"/>
        <w:sz w:val="28"/>
        <w:szCs w:val="28"/>
        <w:rtl/>
      </w:rPr>
      <w:t>)</w:t>
    </w:r>
    <w:r w:rsidR="00CB07BE">
      <w:rPr>
        <w:rFonts w:hAnsi="FrankRuehl" w:cs="FrankRuehl" w:hint="cs"/>
        <w:color w:val="000000"/>
        <w:sz w:val="28"/>
        <w:szCs w:val="28"/>
        <w:rtl/>
      </w:rPr>
      <w:t>, תש"ע-2010</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8816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491F"/>
    <w:rsid w:val="00015D0A"/>
    <w:rsid w:val="0001709D"/>
    <w:rsid w:val="00017430"/>
    <w:rsid w:val="000179E7"/>
    <w:rsid w:val="0002606E"/>
    <w:rsid w:val="0004753B"/>
    <w:rsid w:val="0006308F"/>
    <w:rsid w:val="0006314F"/>
    <w:rsid w:val="00067925"/>
    <w:rsid w:val="00067E14"/>
    <w:rsid w:val="000720A8"/>
    <w:rsid w:val="00081F43"/>
    <w:rsid w:val="00084084"/>
    <w:rsid w:val="00086891"/>
    <w:rsid w:val="00086ADC"/>
    <w:rsid w:val="00090966"/>
    <w:rsid w:val="00091C02"/>
    <w:rsid w:val="000A46CA"/>
    <w:rsid w:val="000B35BC"/>
    <w:rsid w:val="000B35D5"/>
    <w:rsid w:val="000B4D7F"/>
    <w:rsid w:val="000C0308"/>
    <w:rsid w:val="000C19EE"/>
    <w:rsid w:val="000C7553"/>
    <w:rsid w:val="000D10CD"/>
    <w:rsid w:val="000D597E"/>
    <w:rsid w:val="000D5D2E"/>
    <w:rsid w:val="000E4A75"/>
    <w:rsid w:val="000E4B71"/>
    <w:rsid w:val="000E6A68"/>
    <w:rsid w:val="000E76AF"/>
    <w:rsid w:val="000F1022"/>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7D2C"/>
    <w:rsid w:val="00192FD0"/>
    <w:rsid w:val="00194A90"/>
    <w:rsid w:val="00195009"/>
    <w:rsid w:val="00195336"/>
    <w:rsid w:val="001977BF"/>
    <w:rsid w:val="001A0191"/>
    <w:rsid w:val="001A2280"/>
    <w:rsid w:val="001B185E"/>
    <w:rsid w:val="001B4B20"/>
    <w:rsid w:val="001C59FC"/>
    <w:rsid w:val="001E28A8"/>
    <w:rsid w:val="001E54FC"/>
    <w:rsid w:val="001E5820"/>
    <w:rsid w:val="001E6289"/>
    <w:rsid w:val="001F2CA1"/>
    <w:rsid w:val="001F7259"/>
    <w:rsid w:val="001F78D7"/>
    <w:rsid w:val="00202D55"/>
    <w:rsid w:val="00204151"/>
    <w:rsid w:val="0020505B"/>
    <w:rsid w:val="00216D1A"/>
    <w:rsid w:val="00245AB7"/>
    <w:rsid w:val="0024698C"/>
    <w:rsid w:val="00251EC0"/>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0AB2"/>
    <w:rsid w:val="00331A47"/>
    <w:rsid w:val="00335782"/>
    <w:rsid w:val="00342B4D"/>
    <w:rsid w:val="00355575"/>
    <w:rsid w:val="00357E1A"/>
    <w:rsid w:val="0036078D"/>
    <w:rsid w:val="00365037"/>
    <w:rsid w:val="00365377"/>
    <w:rsid w:val="0037387D"/>
    <w:rsid w:val="003817B6"/>
    <w:rsid w:val="0038647F"/>
    <w:rsid w:val="00393FA4"/>
    <w:rsid w:val="0039533D"/>
    <w:rsid w:val="003A1AA1"/>
    <w:rsid w:val="003A2808"/>
    <w:rsid w:val="003C0065"/>
    <w:rsid w:val="003C66D9"/>
    <w:rsid w:val="003D3207"/>
    <w:rsid w:val="003E2E2A"/>
    <w:rsid w:val="003E3F4F"/>
    <w:rsid w:val="003E42FF"/>
    <w:rsid w:val="00405724"/>
    <w:rsid w:val="00405C48"/>
    <w:rsid w:val="004100C3"/>
    <w:rsid w:val="00411F72"/>
    <w:rsid w:val="00414DD2"/>
    <w:rsid w:val="0041549C"/>
    <w:rsid w:val="00426CB3"/>
    <w:rsid w:val="00430502"/>
    <w:rsid w:val="00432BCA"/>
    <w:rsid w:val="00433362"/>
    <w:rsid w:val="00434FAB"/>
    <w:rsid w:val="00442966"/>
    <w:rsid w:val="00445F2A"/>
    <w:rsid w:val="004515D8"/>
    <w:rsid w:val="00453AE6"/>
    <w:rsid w:val="004578C5"/>
    <w:rsid w:val="004643DF"/>
    <w:rsid w:val="004719B8"/>
    <w:rsid w:val="00482C12"/>
    <w:rsid w:val="00483473"/>
    <w:rsid w:val="0048594B"/>
    <w:rsid w:val="00491D56"/>
    <w:rsid w:val="004A1C6D"/>
    <w:rsid w:val="004B182E"/>
    <w:rsid w:val="004B695B"/>
    <w:rsid w:val="004E328D"/>
    <w:rsid w:val="004E4EEB"/>
    <w:rsid w:val="004E520E"/>
    <w:rsid w:val="004E7140"/>
    <w:rsid w:val="004F37B4"/>
    <w:rsid w:val="005028E3"/>
    <w:rsid w:val="00504FC6"/>
    <w:rsid w:val="00510C3B"/>
    <w:rsid w:val="00510C7E"/>
    <w:rsid w:val="00511F52"/>
    <w:rsid w:val="0052016A"/>
    <w:rsid w:val="00520C6E"/>
    <w:rsid w:val="00526FE4"/>
    <w:rsid w:val="00532D6F"/>
    <w:rsid w:val="00536049"/>
    <w:rsid w:val="00536FF0"/>
    <w:rsid w:val="00543E37"/>
    <w:rsid w:val="0054777C"/>
    <w:rsid w:val="005570AF"/>
    <w:rsid w:val="00562D87"/>
    <w:rsid w:val="00564525"/>
    <w:rsid w:val="00566EEC"/>
    <w:rsid w:val="00572311"/>
    <w:rsid w:val="00573797"/>
    <w:rsid w:val="00573ED9"/>
    <w:rsid w:val="005823D2"/>
    <w:rsid w:val="005833B6"/>
    <w:rsid w:val="00590B12"/>
    <w:rsid w:val="00591188"/>
    <w:rsid w:val="0059240C"/>
    <w:rsid w:val="005A01DC"/>
    <w:rsid w:val="005A7BA2"/>
    <w:rsid w:val="005B7DC1"/>
    <w:rsid w:val="005C4B85"/>
    <w:rsid w:val="005E68F9"/>
    <w:rsid w:val="005F35DF"/>
    <w:rsid w:val="005F47C3"/>
    <w:rsid w:val="005F75BE"/>
    <w:rsid w:val="006012A4"/>
    <w:rsid w:val="006035BA"/>
    <w:rsid w:val="00605968"/>
    <w:rsid w:val="006111BF"/>
    <w:rsid w:val="00612FA9"/>
    <w:rsid w:val="006179D1"/>
    <w:rsid w:val="006229C3"/>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357F0"/>
    <w:rsid w:val="00740ABF"/>
    <w:rsid w:val="007464A9"/>
    <w:rsid w:val="007561A0"/>
    <w:rsid w:val="00760401"/>
    <w:rsid w:val="007613DA"/>
    <w:rsid w:val="007654C4"/>
    <w:rsid w:val="007671F4"/>
    <w:rsid w:val="00776BAD"/>
    <w:rsid w:val="007771F5"/>
    <w:rsid w:val="00787A63"/>
    <w:rsid w:val="007907E1"/>
    <w:rsid w:val="00797948"/>
    <w:rsid w:val="007979D8"/>
    <w:rsid w:val="007A1EA9"/>
    <w:rsid w:val="007A3435"/>
    <w:rsid w:val="007A5337"/>
    <w:rsid w:val="007A5885"/>
    <w:rsid w:val="007A6C2E"/>
    <w:rsid w:val="007B3E87"/>
    <w:rsid w:val="007C14C9"/>
    <w:rsid w:val="007C43E9"/>
    <w:rsid w:val="007D21BC"/>
    <w:rsid w:val="007D6492"/>
    <w:rsid w:val="007D706A"/>
    <w:rsid w:val="007D795B"/>
    <w:rsid w:val="007E521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2A59"/>
    <w:rsid w:val="008661DA"/>
    <w:rsid w:val="00866905"/>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2283A"/>
    <w:rsid w:val="0092438F"/>
    <w:rsid w:val="0093080E"/>
    <w:rsid w:val="00936AD0"/>
    <w:rsid w:val="0094088E"/>
    <w:rsid w:val="00944B62"/>
    <w:rsid w:val="0095626C"/>
    <w:rsid w:val="0096256E"/>
    <w:rsid w:val="009651EE"/>
    <w:rsid w:val="00966C88"/>
    <w:rsid w:val="00972E11"/>
    <w:rsid w:val="009736CD"/>
    <w:rsid w:val="00977451"/>
    <w:rsid w:val="00981E02"/>
    <w:rsid w:val="00982A9D"/>
    <w:rsid w:val="00985742"/>
    <w:rsid w:val="009865E2"/>
    <w:rsid w:val="00990BA0"/>
    <w:rsid w:val="0099123C"/>
    <w:rsid w:val="009958E6"/>
    <w:rsid w:val="00997838"/>
    <w:rsid w:val="009B07E1"/>
    <w:rsid w:val="009B39A2"/>
    <w:rsid w:val="009C29D3"/>
    <w:rsid w:val="009C34F8"/>
    <w:rsid w:val="009D4948"/>
    <w:rsid w:val="009E52FE"/>
    <w:rsid w:val="009F37F8"/>
    <w:rsid w:val="00A0199B"/>
    <w:rsid w:val="00A07169"/>
    <w:rsid w:val="00A36CC6"/>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E54E6"/>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642"/>
    <w:rsid w:val="00B61915"/>
    <w:rsid w:val="00B62608"/>
    <w:rsid w:val="00B72FD7"/>
    <w:rsid w:val="00B75213"/>
    <w:rsid w:val="00B7664A"/>
    <w:rsid w:val="00B870DA"/>
    <w:rsid w:val="00B93CA7"/>
    <w:rsid w:val="00B960C8"/>
    <w:rsid w:val="00BA5D96"/>
    <w:rsid w:val="00BB7764"/>
    <w:rsid w:val="00BC09D6"/>
    <w:rsid w:val="00BD163C"/>
    <w:rsid w:val="00BD6839"/>
    <w:rsid w:val="00BE7617"/>
    <w:rsid w:val="00BE7C33"/>
    <w:rsid w:val="00BF06B7"/>
    <w:rsid w:val="00BF7B1A"/>
    <w:rsid w:val="00C057F1"/>
    <w:rsid w:val="00C10AB3"/>
    <w:rsid w:val="00C11C9E"/>
    <w:rsid w:val="00C14731"/>
    <w:rsid w:val="00C1490A"/>
    <w:rsid w:val="00C227D2"/>
    <w:rsid w:val="00C263D5"/>
    <w:rsid w:val="00C36B0F"/>
    <w:rsid w:val="00C457F8"/>
    <w:rsid w:val="00C53A30"/>
    <w:rsid w:val="00C66394"/>
    <w:rsid w:val="00C770E3"/>
    <w:rsid w:val="00C83D57"/>
    <w:rsid w:val="00CA76D4"/>
    <w:rsid w:val="00CB07BE"/>
    <w:rsid w:val="00CC1B20"/>
    <w:rsid w:val="00CD1E6D"/>
    <w:rsid w:val="00CD2A4A"/>
    <w:rsid w:val="00CD333B"/>
    <w:rsid w:val="00CD683A"/>
    <w:rsid w:val="00D078B6"/>
    <w:rsid w:val="00D12727"/>
    <w:rsid w:val="00D15D06"/>
    <w:rsid w:val="00D26B9A"/>
    <w:rsid w:val="00D40A5B"/>
    <w:rsid w:val="00D41DC4"/>
    <w:rsid w:val="00D432A0"/>
    <w:rsid w:val="00D43C79"/>
    <w:rsid w:val="00D46923"/>
    <w:rsid w:val="00D51CE6"/>
    <w:rsid w:val="00D54050"/>
    <w:rsid w:val="00D6143E"/>
    <w:rsid w:val="00D66639"/>
    <w:rsid w:val="00D72D05"/>
    <w:rsid w:val="00D73A3D"/>
    <w:rsid w:val="00D73E59"/>
    <w:rsid w:val="00D833B4"/>
    <w:rsid w:val="00D8677E"/>
    <w:rsid w:val="00D86909"/>
    <w:rsid w:val="00DA366B"/>
    <w:rsid w:val="00DA5D61"/>
    <w:rsid w:val="00DB7C36"/>
    <w:rsid w:val="00DC3D1F"/>
    <w:rsid w:val="00DD09EE"/>
    <w:rsid w:val="00DE47F7"/>
    <w:rsid w:val="00DE56ED"/>
    <w:rsid w:val="00DE7147"/>
    <w:rsid w:val="00DF0350"/>
    <w:rsid w:val="00E04CD0"/>
    <w:rsid w:val="00E11341"/>
    <w:rsid w:val="00E144CE"/>
    <w:rsid w:val="00E341CA"/>
    <w:rsid w:val="00E42F7C"/>
    <w:rsid w:val="00E508C9"/>
    <w:rsid w:val="00E516EE"/>
    <w:rsid w:val="00E55773"/>
    <w:rsid w:val="00E55C78"/>
    <w:rsid w:val="00E55DA2"/>
    <w:rsid w:val="00E60ADD"/>
    <w:rsid w:val="00E62E84"/>
    <w:rsid w:val="00E6334A"/>
    <w:rsid w:val="00E65209"/>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412"/>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4C3C"/>
    <w:rsid w:val="00F36C13"/>
    <w:rsid w:val="00F40E35"/>
    <w:rsid w:val="00F474BB"/>
    <w:rsid w:val="00F55731"/>
    <w:rsid w:val="00F6051B"/>
    <w:rsid w:val="00F639CF"/>
    <w:rsid w:val="00F704A5"/>
    <w:rsid w:val="00F74900"/>
    <w:rsid w:val="00F83C98"/>
    <w:rsid w:val="00F95DC1"/>
    <w:rsid w:val="00F9682A"/>
    <w:rsid w:val="00FA0871"/>
    <w:rsid w:val="00FA0E44"/>
    <w:rsid w:val="00FA0F95"/>
    <w:rsid w:val="00FA4749"/>
    <w:rsid w:val="00FA49BF"/>
    <w:rsid w:val="00FA6819"/>
    <w:rsid w:val="00FB27D0"/>
    <w:rsid w:val="00FB4052"/>
    <w:rsid w:val="00FB690E"/>
    <w:rsid w:val="00FD036A"/>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E008866-429B-45C6-81D5-4CA9EB39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1535</Words>
  <Characters>8752</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255</vt:lpstr>
      <vt:lpstr>פרק 255</vt:lpstr>
    </vt:vector>
  </TitlesOfParts>
  <Company/>
  <LinksUpToDate>false</LinksUpToDate>
  <CharactersWithSpaces>10267</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7733256</vt:i4>
      </vt:variant>
      <vt:variant>
        <vt:i4>0</vt:i4>
      </vt:variant>
      <vt:variant>
        <vt:i4>0</vt:i4>
      </vt:variant>
      <vt:variant>
        <vt:i4>5</vt:i4>
      </vt:variant>
      <vt:variant>
        <vt:lpwstr>http://www.nevo.co.il/Law_word/law06/tak-6898.pdf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העיריות (חובת שיתוף פעולה תעשייתי), תש"ע-2010</vt:lpwstr>
  </property>
  <property fmtid="{D5CDD505-2E9C-101B-9397-08002B2CF9AE}" pid="4" name="LAWNUMBER">
    <vt:lpwstr>0328</vt:lpwstr>
  </property>
  <property fmtid="{D5CDD505-2E9C-101B-9397-08002B2CF9AE}" pid="5" name="TYPE">
    <vt:lpwstr>01</vt:lpwstr>
  </property>
  <property fmtid="{D5CDD505-2E9C-101B-9397-08002B2CF9AE}" pid="6" name="CHNAME">
    <vt:lpwstr>עיריות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NOSE41">
    <vt:lpwstr/>
  </property>
  <property fmtid="{D5CDD505-2E9C-101B-9397-08002B2CF9AE}" pid="54" name="NOSE11">
    <vt:lpwstr>רשויות ומשפט מנהלי</vt:lpwstr>
  </property>
  <property fmtid="{D5CDD505-2E9C-101B-9397-08002B2CF9AE}" pid="55" name="NOSE21">
    <vt:lpwstr>רשויות מקומיות</vt:lpwstr>
  </property>
  <property fmtid="{D5CDD505-2E9C-101B-9397-08002B2CF9AE}" pid="56" name="NOSE31">
    <vt:lpwstr>עיריות</vt:lpwstr>
  </property>
  <property fmtid="{D5CDD505-2E9C-101B-9397-08002B2CF9AE}" pid="57" name="NOSE12">
    <vt:lpwstr/>
  </property>
  <property fmtid="{D5CDD505-2E9C-101B-9397-08002B2CF9AE}" pid="58" name="NOSE22">
    <vt:lpwstr/>
  </property>
  <property fmtid="{D5CDD505-2E9C-101B-9397-08002B2CF9AE}" pid="59" name="NOSE32">
    <vt:lpwstr/>
  </property>
  <property fmtid="{D5CDD505-2E9C-101B-9397-08002B2CF9AE}" pid="60" name="NOSE42">
    <vt:lpwstr/>
  </property>
  <property fmtid="{D5CDD505-2E9C-101B-9397-08002B2CF9AE}" pid="61" name="MEKOR_NAME1">
    <vt:lpwstr>פקודת העיריות</vt:lpwstr>
  </property>
  <property fmtid="{D5CDD505-2E9C-101B-9397-08002B2CF9AE}" pid="62" name="MEKOR_SAIF1">
    <vt:lpwstr>198X;347X</vt:lpwstr>
  </property>
  <property fmtid="{D5CDD505-2E9C-101B-9397-08002B2CF9AE}" pid="63" name="MEKORSAMCHUT">
    <vt:lpwstr/>
  </property>
  <property fmtid="{D5CDD505-2E9C-101B-9397-08002B2CF9AE}" pid="64" name="LINKK1">
    <vt:lpwstr>http://www.nevo.co.il/Law_word/law06/tak-6898.pdf;‎רשומות – תקנות כלליות#פורסמו ק"ת תש"ע ‏מס' 6898#מיום 21.6.2010 עמ' 1226‏</vt:lpwstr>
  </property>
</Properties>
</file>