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18C" w:rsidRDefault="00A8718C" w:rsidP="000305FB">
      <w:pPr>
        <w:pStyle w:val="big-header"/>
        <w:ind w:left="0" w:right="1134"/>
        <w:rPr>
          <w:rFonts w:cs="FrankRuehl"/>
          <w:sz w:val="32"/>
        </w:rPr>
      </w:pPr>
      <w:r>
        <w:rPr>
          <w:rFonts w:cs="FrankRuehl"/>
          <w:sz w:val="32"/>
          <w:rtl/>
        </w:rPr>
        <w:t>תקנות העיריות (</w:t>
      </w:r>
      <w:r w:rsidR="000327E8">
        <w:rPr>
          <w:rFonts w:cs="FrankRuehl" w:hint="cs"/>
          <w:sz w:val="32"/>
          <w:rtl/>
        </w:rPr>
        <w:t>תקנים ותקציב שנתי ללשכת מבקר העירייה), תשע"ח-2018</w:t>
      </w:r>
    </w:p>
    <w:p w:rsidR="00DD6B68" w:rsidRPr="00DD6B68" w:rsidRDefault="00DD6B68" w:rsidP="00DD6B68">
      <w:pPr>
        <w:spacing w:line="320" w:lineRule="auto"/>
        <w:jc w:val="left"/>
        <w:rPr>
          <w:rFonts w:cs="FrankRuehl"/>
          <w:szCs w:val="26"/>
          <w:rtl/>
        </w:rPr>
      </w:pPr>
    </w:p>
    <w:p w:rsidR="00DD6B68" w:rsidRDefault="00DD6B68" w:rsidP="00DD6B68">
      <w:pPr>
        <w:spacing w:line="320" w:lineRule="auto"/>
        <w:jc w:val="left"/>
        <w:rPr>
          <w:rtl/>
        </w:rPr>
      </w:pPr>
    </w:p>
    <w:p w:rsidR="00DD6B68" w:rsidRPr="00DD6B68" w:rsidRDefault="00DD6B68" w:rsidP="00DD6B68">
      <w:pPr>
        <w:spacing w:line="320" w:lineRule="auto"/>
        <w:jc w:val="left"/>
        <w:rPr>
          <w:rFonts w:cs="Miriam"/>
          <w:szCs w:val="22"/>
          <w:rtl/>
        </w:rPr>
      </w:pPr>
      <w:r w:rsidRPr="00DD6B68">
        <w:rPr>
          <w:rFonts w:cs="Miriam"/>
          <w:szCs w:val="22"/>
          <w:rtl/>
        </w:rPr>
        <w:t>רשויות ומשפט מנהלי</w:t>
      </w:r>
      <w:r w:rsidRPr="00DD6B68">
        <w:rPr>
          <w:rFonts w:cs="FrankRuehl"/>
          <w:szCs w:val="26"/>
          <w:rtl/>
        </w:rPr>
        <w:t xml:space="preserve"> – רשויות מקומיות – עיריות</w:t>
      </w:r>
    </w:p>
    <w:p w:rsidR="00A8718C" w:rsidRDefault="00A8718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87897" w:rsidRPr="00387897" w:rsidTr="00387897">
        <w:tblPrEx>
          <w:tblCellMar>
            <w:top w:w="0" w:type="dxa"/>
            <w:bottom w:w="0" w:type="dxa"/>
          </w:tblCellMar>
        </w:tblPrEx>
        <w:tc>
          <w:tcPr>
            <w:tcW w:w="1247" w:type="dxa"/>
          </w:tcPr>
          <w:p w:rsidR="00387897" w:rsidRPr="00387897" w:rsidRDefault="00387897" w:rsidP="00387897">
            <w:pPr>
              <w:spacing w:line="240" w:lineRule="auto"/>
              <w:jc w:val="left"/>
              <w:rPr>
                <w:rFonts w:cs="Frankruhel"/>
                <w:sz w:val="24"/>
                <w:rtl/>
              </w:rPr>
            </w:pPr>
            <w:r>
              <w:rPr>
                <w:sz w:val="24"/>
                <w:rtl/>
              </w:rPr>
              <w:t xml:space="preserve">סעיף 1 </w:t>
            </w:r>
          </w:p>
        </w:tc>
        <w:tc>
          <w:tcPr>
            <w:tcW w:w="5669" w:type="dxa"/>
          </w:tcPr>
          <w:p w:rsidR="00387897" w:rsidRPr="00387897" w:rsidRDefault="00387897" w:rsidP="00387897">
            <w:pPr>
              <w:spacing w:line="240" w:lineRule="auto"/>
              <w:jc w:val="left"/>
              <w:rPr>
                <w:rFonts w:cs="Frankruhel"/>
                <w:sz w:val="24"/>
                <w:rtl/>
              </w:rPr>
            </w:pPr>
            <w:r>
              <w:rPr>
                <w:sz w:val="24"/>
                <w:rtl/>
              </w:rPr>
              <w:t>הגדרות</w:t>
            </w:r>
          </w:p>
        </w:tc>
        <w:tc>
          <w:tcPr>
            <w:tcW w:w="567" w:type="dxa"/>
          </w:tcPr>
          <w:p w:rsidR="00387897" w:rsidRPr="00387897" w:rsidRDefault="00387897" w:rsidP="00387897">
            <w:pPr>
              <w:spacing w:line="240" w:lineRule="auto"/>
              <w:jc w:val="left"/>
              <w:rPr>
                <w:rStyle w:val="Hyperlink"/>
                <w:rtl/>
              </w:rPr>
            </w:pPr>
            <w:hyperlink w:anchor="Seif1" w:tooltip="הגדרות" w:history="1">
              <w:r w:rsidRPr="00387897">
                <w:rPr>
                  <w:rStyle w:val="Hyperlink"/>
                </w:rPr>
                <w:t>Go</w:t>
              </w:r>
            </w:hyperlink>
          </w:p>
        </w:tc>
        <w:tc>
          <w:tcPr>
            <w:tcW w:w="850" w:type="dxa"/>
          </w:tcPr>
          <w:p w:rsidR="00387897" w:rsidRPr="00387897" w:rsidRDefault="00387897" w:rsidP="0038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87897" w:rsidRPr="00387897" w:rsidTr="00387897">
        <w:tblPrEx>
          <w:tblCellMar>
            <w:top w:w="0" w:type="dxa"/>
            <w:bottom w:w="0" w:type="dxa"/>
          </w:tblCellMar>
        </w:tblPrEx>
        <w:tc>
          <w:tcPr>
            <w:tcW w:w="1247" w:type="dxa"/>
          </w:tcPr>
          <w:p w:rsidR="00387897" w:rsidRPr="00387897" w:rsidRDefault="00387897" w:rsidP="00387897">
            <w:pPr>
              <w:spacing w:line="240" w:lineRule="auto"/>
              <w:jc w:val="left"/>
              <w:rPr>
                <w:rFonts w:cs="Frankruhel"/>
                <w:sz w:val="24"/>
                <w:rtl/>
              </w:rPr>
            </w:pPr>
            <w:r>
              <w:rPr>
                <w:sz w:val="24"/>
                <w:rtl/>
              </w:rPr>
              <w:t xml:space="preserve">סעיף 2 </w:t>
            </w:r>
          </w:p>
        </w:tc>
        <w:tc>
          <w:tcPr>
            <w:tcW w:w="5669" w:type="dxa"/>
          </w:tcPr>
          <w:p w:rsidR="00387897" w:rsidRPr="00387897" w:rsidRDefault="00387897" w:rsidP="00387897">
            <w:pPr>
              <w:spacing w:line="240" w:lineRule="auto"/>
              <w:jc w:val="left"/>
              <w:rPr>
                <w:rFonts w:cs="Frankruhel"/>
                <w:sz w:val="24"/>
                <w:rtl/>
              </w:rPr>
            </w:pPr>
            <w:r>
              <w:rPr>
                <w:sz w:val="24"/>
                <w:rtl/>
              </w:rPr>
              <w:t>מינוי עובדים ללשכת המבקר</w:t>
            </w:r>
          </w:p>
        </w:tc>
        <w:tc>
          <w:tcPr>
            <w:tcW w:w="567" w:type="dxa"/>
          </w:tcPr>
          <w:p w:rsidR="00387897" w:rsidRPr="00387897" w:rsidRDefault="00387897" w:rsidP="00387897">
            <w:pPr>
              <w:spacing w:line="240" w:lineRule="auto"/>
              <w:jc w:val="left"/>
              <w:rPr>
                <w:rStyle w:val="Hyperlink"/>
                <w:rtl/>
              </w:rPr>
            </w:pPr>
            <w:hyperlink w:anchor="Seif2" w:tooltip="מינוי עובדים ללשכת המבקר" w:history="1">
              <w:r w:rsidRPr="00387897">
                <w:rPr>
                  <w:rStyle w:val="Hyperlink"/>
                </w:rPr>
                <w:t>Go</w:t>
              </w:r>
            </w:hyperlink>
          </w:p>
        </w:tc>
        <w:tc>
          <w:tcPr>
            <w:tcW w:w="850" w:type="dxa"/>
          </w:tcPr>
          <w:p w:rsidR="00387897" w:rsidRPr="00387897" w:rsidRDefault="00387897" w:rsidP="0038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87897" w:rsidRPr="00387897" w:rsidTr="00387897">
        <w:tblPrEx>
          <w:tblCellMar>
            <w:top w:w="0" w:type="dxa"/>
            <w:bottom w:w="0" w:type="dxa"/>
          </w:tblCellMar>
        </w:tblPrEx>
        <w:tc>
          <w:tcPr>
            <w:tcW w:w="1247" w:type="dxa"/>
          </w:tcPr>
          <w:p w:rsidR="00387897" w:rsidRPr="00387897" w:rsidRDefault="00387897" w:rsidP="00387897">
            <w:pPr>
              <w:spacing w:line="240" w:lineRule="auto"/>
              <w:jc w:val="left"/>
              <w:rPr>
                <w:rFonts w:cs="Frankruhel"/>
                <w:sz w:val="24"/>
                <w:rtl/>
              </w:rPr>
            </w:pPr>
            <w:r>
              <w:rPr>
                <w:sz w:val="24"/>
                <w:rtl/>
              </w:rPr>
              <w:t xml:space="preserve">סעיף 3 </w:t>
            </w:r>
          </w:p>
        </w:tc>
        <w:tc>
          <w:tcPr>
            <w:tcW w:w="5669" w:type="dxa"/>
          </w:tcPr>
          <w:p w:rsidR="00387897" w:rsidRPr="00387897" w:rsidRDefault="00387897" w:rsidP="00387897">
            <w:pPr>
              <w:spacing w:line="240" w:lineRule="auto"/>
              <w:jc w:val="left"/>
              <w:rPr>
                <w:rFonts w:cs="Frankruhel"/>
                <w:sz w:val="24"/>
                <w:rtl/>
              </w:rPr>
            </w:pPr>
            <w:r>
              <w:rPr>
                <w:sz w:val="24"/>
                <w:rtl/>
              </w:rPr>
              <w:t>תקציב לשכת המבקר</w:t>
            </w:r>
          </w:p>
        </w:tc>
        <w:tc>
          <w:tcPr>
            <w:tcW w:w="567" w:type="dxa"/>
          </w:tcPr>
          <w:p w:rsidR="00387897" w:rsidRPr="00387897" w:rsidRDefault="00387897" w:rsidP="00387897">
            <w:pPr>
              <w:spacing w:line="240" w:lineRule="auto"/>
              <w:jc w:val="left"/>
              <w:rPr>
                <w:rStyle w:val="Hyperlink"/>
                <w:rtl/>
              </w:rPr>
            </w:pPr>
            <w:hyperlink w:anchor="Seif3" w:tooltip="תקציב לשכת המבקר" w:history="1">
              <w:r w:rsidRPr="00387897">
                <w:rPr>
                  <w:rStyle w:val="Hyperlink"/>
                </w:rPr>
                <w:t>Go</w:t>
              </w:r>
            </w:hyperlink>
          </w:p>
        </w:tc>
        <w:tc>
          <w:tcPr>
            <w:tcW w:w="850" w:type="dxa"/>
          </w:tcPr>
          <w:p w:rsidR="00387897" w:rsidRPr="00387897" w:rsidRDefault="00387897" w:rsidP="0038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7897" w:rsidRPr="00387897" w:rsidTr="00387897">
        <w:tblPrEx>
          <w:tblCellMar>
            <w:top w:w="0" w:type="dxa"/>
            <w:bottom w:w="0" w:type="dxa"/>
          </w:tblCellMar>
        </w:tblPrEx>
        <w:tc>
          <w:tcPr>
            <w:tcW w:w="1247" w:type="dxa"/>
          </w:tcPr>
          <w:p w:rsidR="00387897" w:rsidRPr="00387897" w:rsidRDefault="00387897" w:rsidP="00387897">
            <w:pPr>
              <w:spacing w:line="240" w:lineRule="auto"/>
              <w:jc w:val="left"/>
              <w:rPr>
                <w:rFonts w:cs="Frankruhel"/>
                <w:sz w:val="24"/>
                <w:rtl/>
              </w:rPr>
            </w:pPr>
            <w:r>
              <w:rPr>
                <w:sz w:val="24"/>
                <w:rtl/>
              </w:rPr>
              <w:t xml:space="preserve">סעיף 4 </w:t>
            </w:r>
          </w:p>
        </w:tc>
        <w:tc>
          <w:tcPr>
            <w:tcW w:w="5669" w:type="dxa"/>
          </w:tcPr>
          <w:p w:rsidR="00387897" w:rsidRPr="00387897" w:rsidRDefault="00387897" w:rsidP="00387897">
            <w:pPr>
              <w:spacing w:line="240" w:lineRule="auto"/>
              <w:jc w:val="left"/>
              <w:rPr>
                <w:rFonts w:cs="Frankruhel"/>
                <w:sz w:val="24"/>
                <w:rtl/>
              </w:rPr>
            </w:pPr>
            <w:r>
              <w:rPr>
                <w:sz w:val="24"/>
                <w:rtl/>
              </w:rPr>
              <w:t>תחילה</w:t>
            </w:r>
          </w:p>
        </w:tc>
        <w:tc>
          <w:tcPr>
            <w:tcW w:w="567" w:type="dxa"/>
          </w:tcPr>
          <w:p w:rsidR="00387897" w:rsidRPr="00387897" w:rsidRDefault="00387897" w:rsidP="00387897">
            <w:pPr>
              <w:spacing w:line="240" w:lineRule="auto"/>
              <w:jc w:val="left"/>
              <w:rPr>
                <w:rStyle w:val="Hyperlink"/>
                <w:rtl/>
              </w:rPr>
            </w:pPr>
            <w:hyperlink w:anchor="Seif4" w:tooltip="תחילה" w:history="1">
              <w:r w:rsidRPr="00387897">
                <w:rPr>
                  <w:rStyle w:val="Hyperlink"/>
                </w:rPr>
                <w:t>Go</w:t>
              </w:r>
            </w:hyperlink>
          </w:p>
        </w:tc>
        <w:tc>
          <w:tcPr>
            <w:tcW w:w="850" w:type="dxa"/>
          </w:tcPr>
          <w:p w:rsidR="00387897" w:rsidRPr="00387897" w:rsidRDefault="00387897" w:rsidP="003878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A8718C" w:rsidRDefault="00A8718C">
      <w:pPr>
        <w:pStyle w:val="big-header"/>
        <w:ind w:left="0" w:right="1134"/>
        <w:rPr>
          <w:rFonts w:cs="FrankRuehl"/>
          <w:sz w:val="32"/>
          <w:rtl/>
        </w:rPr>
      </w:pPr>
    </w:p>
    <w:p w:rsidR="00A8718C" w:rsidRDefault="00A8718C" w:rsidP="00DD6B68">
      <w:pPr>
        <w:pStyle w:val="big-header"/>
        <w:ind w:left="0" w:right="1134"/>
        <w:rPr>
          <w:rStyle w:val="default"/>
          <w:rFonts w:cs="FrankRuehl" w:hint="cs"/>
          <w:rtl/>
        </w:rPr>
      </w:pPr>
      <w:r>
        <w:rPr>
          <w:rtl/>
        </w:rPr>
        <w:br w:type="page"/>
      </w:r>
      <w:r w:rsidR="000327E8">
        <w:rPr>
          <w:rFonts w:cs="FrankRuehl"/>
          <w:sz w:val="32"/>
          <w:rtl/>
        </w:rPr>
        <w:lastRenderedPageBreak/>
        <w:t>תקנות העיריות (</w:t>
      </w:r>
      <w:r w:rsidR="000327E8">
        <w:rPr>
          <w:rFonts w:cs="FrankRuehl" w:hint="cs"/>
          <w:sz w:val="32"/>
          <w:rtl/>
        </w:rPr>
        <w:t>תקנים ותקציב שנתי ללשכת מבקר העירייה), תשע"ח-2018</w:t>
      </w:r>
      <w:r w:rsidR="000305FB">
        <w:rPr>
          <w:rStyle w:val="a6"/>
          <w:rFonts w:cs="FrankRuehl"/>
          <w:sz w:val="32"/>
          <w:rtl/>
        </w:rPr>
        <w:footnoteReference w:customMarkFollows="1" w:id="1"/>
        <w:t>*</w:t>
      </w:r>
    </w:p>
    <w:p w:rsidR="00A8718C" w:rsidRDefault="00A8718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w:t>
      </w:r>
      <w:r w:rsidR="000327E8">
        <w:rPr>
          <w:rStyle w:val="default"/>
          <w:rFonts w:cs="FrankRuehl" w:hint="cs"/>
          <w:rtl/>
        </w:rPr>
        <w:t xml:space="preserve">170(ה), 170א(ה) ו-347 לפקודת העיריות (להלן </w:t>
      </w:r>
      <w:r w:rsidR="000327E8">
        <w:rPr>
          <w:rStyle w:val="default"/>
          <w:rFonts w:cs="FrankRuehl"/>
          <w:rtl/>
        </w:rPr>
        <w:t>–</w:t>
      </w:r>
      <w:r w:rsidR="000327E8">
        <w:rPr>
          <w:rStyle w:val="default"/>
          <w:rFonts w:cs="FrankRuehl" w:hint="cs"/>
          <w:rtl/>
        </w:rPr>
        <w:t xml:space="preserve"> הפקודה), ובאישור הוועדה לביקורת המדינה של הכנסת</w:t>
      </w:r>
      <w:r>
        <w:rPr>
          <w:rStyle w:val="default"/>
          <w:rFonts w:cs="FrankRuehl" w:hint="cs"/>
          <w:rtl/>
        </w:rPr>
        <w:t>, אני מתקין תקנות אלה:</w:t>
      </w:r>
    </w:p>
    <w:p w:rsidR="00A8718C" w:rsidRDefault="00A8718C">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4.7pt;z-index:251656192" o:allowincell="f" filled="f" stroked="f" strokecolor="lime" strokeweight=".25pt">
            <v:textbox inset="0,0,0,0">
              <w:txbxContent>
                <w:p w:rsidR="00164FE4" w:rsidRDefault="00164FE4" w:rsidP="000305FB">
                  <w:pPr>
                    <w:spacing w:line="160" w:lineRule="exact"/>
                    <w:jc w:val="left"/>
                    <w:rPr>
                      <w:rFonts w:cs="Miriam"/>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0327E8">
        <w:rPr>
          <w:rStyle w:val="default"/>
          <w:rFonts w:cs="FrankRuehl" w:hint="cs"/>
          <w:rtl/>
        </w:rPr>
        <w:t xml:space="preserve">בתקנות אלה </w:t>
      </w:r>
      <w:r w:rsidR="000327E8">
        <w:rPr>
          <w:rStyle w:val="default"/>
          <w:rFonts w:cs="FrankRuehl"/>
          <w:rtl/>
        </w:rPr>
        <w:t>–</w:t>
      </w:r>
    </w:p>
    <w:p w:rsidR="000327E8" w:rsidRDefault="000327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"אלש"ח" </w:t>
      </w:r>
      <w:r>
        <w:rPr>
          <w:rStyle w:val="default"/>
          <w:rFonts w:cs="FrankRuehl"/>
          <w:rtl/>
        </w:rPr>
        <w:t>–</w:t>
      </w:r>
      <w:r>
        <w:rPr>
          <w:rStyle w:val="default"/>
          <w:rFonts w:cs="FrankRuehl" w:hint="cs"/>
          <w:rtl/>
        </w:rPr>
        <w:t xml:space="preserve"> אלפי שקלים חדשים;</w:t>
      </w:r>
    </w:p>
    <w:p w:rsidR="000327E8" w:rsidRDefault="000327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"מלש"ח" </w:t>
      </w:r>
      <w:r>
        <w:rPr>
          <w:rStyle w:val="default"/>
          <w:rFonts w:cs="FrankRuehl"/>
          <w:rtl/>
        </w:rPr>
        <w:t>–</w:t>
      </w:r>
      <w:r>
        <w:rPr>
          <w:rStyle w:val="default"/>
          <w:rFonts w:cs="FrankRuehl" w:hint="cs"/>
          <w:rtl/>
        </w:rPr>
        <w:t xml:space="preserve"> מיליוני שקלים חדשים;</w:t>
      </w:r>
    </w:p>
    <w:p w:rsidR="000327E8" w:rsidRDefault="000327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"מספר תושבים" </w:t>
      </w:r>
      <w:r>
        <w:rPr>
          <w:rStyle w:val="default"/>
          <w:rFonts w:cs="FrankRuehl"/>
          <w:rtl/>
        </w:rPr>
        <w:t>–</w:t>
      </w:r>
      <w:r>
        <w:rPr>
          <w:rStyle w:val="default"/>
          <w:rFonts w:cs="FrankRuehl" w:hint="cs"/>
          <w:rtl/>
        </w:rPr>
        <w:t xml:space="preserve"> כמשמעותו בסעיף 19 לפקודה;</w:t>
      </w:r>
    </w:p>
    <w:p w:rsidR="000327E8" w:rsidRDefault="000327E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4F1E6B">
        <w:rPr>
          <w:rStyle w:val="default"/>
          <w:rFonts w:cs="FrankRuehl" w:hint="cs"/>
          <w:rtl/>
        </w:rPr>
        <w:t xml:space="preserve">תקציב שנתי של לשכת מבקר עירייה" </w:t>
      </w:r>
      <w:r w:rsidR="004F1E6B">
        <w:rPr>
          <w:rStyle w:val="default"/>
          <w:rFonts w:cs="FrankRuehl"/>
          <w:rtl/>
        </w:rPr>
        <w:t>–</w:t>
      </w:r>
      <w:r w:rsidR="004F1E6B">
        <w:rPr>
          <w:rStyle w:val="default"/>
          <w:rFonts w:cs="FrankRuehl" w:hint="cs"/>
          <w:rtl/>
        </w:rPr>
        <w:t xml:space="preserve"> לרבות שכר המבקר ועובדי לשכת המבקר;</w:t>
      </w:r>
    </w:p>
    <w:p w:rsidR="004F1E6B" w:rsidRDefault="004F1E6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"תקציב שנתי של עירייה" </w:t>
      </w:r>
      <w:r>
        <w:rPr>
          <w:rStyle w:val="default"/>
          <w:rFonts w:cs="FrankRuehl"/>
          <w:rtl/>
        </w:rPr>
        <w:t>–</w:t>
      </w:r>
      <w:r>
        <w:rPr>
          <w:rStyle w:val="default"/>
          <w:rFonts w:cs="FrankRuehl" w:hint="cs"/>
          <w:rtl/>
        </w:rPr>
        <w:t xml:space="preserve"> תקציב שנתי רגיל של עירייה למעט הכנסות לכיסוי הגירעון המצטבר של העירייה והכנסות שנרשמו בשל הנחה מארנונה.</w:t>
      </w:r>
    </w:p>
    <w:p w:rsidR="00A8718C" w:rsidRDefault="00A8718C">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6pt;z-index:251657216" o:allowincell="f" filled="f" stroked="f" strokecolor="lime" strokeweight=".25pt">
            <v:textbox inset="0,0,0,0">
              <w:txbxContent>
                <w:p w:rsidR="00164FE4" w:rsidRDefault="00164FE4" w:rsidP="000305FB">
                  <w:pPr>
                    <w:spacing w:line="160" w:lineRule="exact"/>
                    <w:jc w:val="left"/>
                    <w:rPr>
                      <w:rFonts w:cs="Miriam"/>
                      <w:noProof/>
                      <w:sz w:val="18"/>
                      <w:szCs w:val="18"/>
                      <w:rtl/>
                    </w:rPr>
                  </w:pPr>
                  <w:r>
                    <w:rPr>
                      <w:rFonts w:cs="Miriam" w:hint="cs"/>
                      <w:sz w:val="18"/>
                      <w:szCs w:val="18"/>
                      <w:rtl/>
                    </w:rPr>
                    <w:t>מינוי עובדים ללשכת המבקר</w:t>
                  </w:r>
                </w:p>
              </w:txbxContent>
            </v:textbox>
            <w10:anchorlock/>
          </v:rect>
        </w:pict>
      </w:r>
      <w:r>
        <w:rPr>
          <w:rStyle w:val="big-number"/>
          <w:rFonts w:cs="Miriam"/>
          <w:rtl/>
        </w:rPr>
        <w:t>2.</w:t>
      </w:r>
      <w:r>
        <w:rPr>
          <w:rStyle w:val="big-number"/>
          <w:rFonts w:cs="Miriam"/>
          <w:rtl/>
        </w:rPr>
        <w:tab/>
      </w:r>
      <w:r w:rsidR="004F1E6B">
        <w:rPr>
          <w:rStyle w:val="default"/>
          <w:rFonts w:cs="FrankRuehl" w:hint="cs"/>
          <w:rtl/>
        </w:rPr>
        <w:t>ראש העירייה בהסכמת מבקר העירייה ימנה ללשכות מבקר העירייה עובדים נוספים על המבקר כאמור בסעיף 170(ה) לפקודה לכל הפחות לפי התקנים שבפסקאות (1) ו-(2) לפי הנמוך מביניהם:</w:t>
      </w:r>
    </w:p>
    <w:p w:rsidR="004F1E6B" w:rsidRDefault="004F1E6B" w:rsidP="004F1E6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בעירייה שמספר תושביה </w:t>
      </w:r>
      <w:r>
        <w:rPr>
          <w:rStyle w:val="default"/>
          <w:rFonts w:cs="FrankRuehl"/>
          <w:rtl/>
        </w:rPr>
        <w:t>–</w:t>
      </w:r>
    </w:p>
    <w:p w:rsidR="004F1E6B" w:rsidRDefault="004F1E6B" w:rsidP="00D6032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עד 40,000 </w:t>
      </w:r>
      <w:r>
        <w:rPr>
          <w:rStyle w:val="default"/>
          <w:rFonts w:cs="FrankRuehl"/>
          <w:rtl/>
        </w:rPr>
        <w:t>–</w:t>
      </w:r>
      <w:r>
        <w:rPr>
          <w:rStyle w:val="default"/>
          <w:rFonts w:cs="FrankRuehl" w:hint="cs"/>
          <w:rtl/>
        </w:rPr>
        <w:t xml:space="preserve"> עובד ביקורת אחד בהיקף של מחצית משרה;</w:t>
      </w:r>
    </w:p>
    <w:p w:rsidR="004F1E6B" w:rsidRDefault="004F1E6B" w:rsidP="00D6032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עולה על 40,000 ואינו עולה על 100,000 </w:t>
      </w:r>
      <w:r>
        <w:rPr>
          <w:rStyle w:val="default"/>
          <w:rFonts w:cs="FrankRuehl"/>
          <w:rtl/>
        </w:rPr>
        <w:t>–</w:t>
      </w:r>
      <w:r>
        <w:rPr>
          <w:rStyle w:val="default"/>
          <w:rFonts w:cs="FrankRuehl" w:hint="cs"/>
          <w:rtl/>
        </w:rPr>
        <w:t xml:space="preserve"> עובד ביקורת אחד בהיקף של משרה מלאה;</w:t>
      </w:r>
    </w:p>
    <w:p w:rsidR="004F1E6B" w:rsidRDefault="004F1E6B" w:rsidP="00D60321">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עולה על 100,000 ואינו עולה על 150,000 </w:t>
      </w:r>
      <w:r>
        <w:rPr>
          <w:rStyle w:val="default"/>
          <w:rFonts w:cs="FrankRuehl"/>
          <w:rtl/>
        </w:rPr>
        <w:t>–</w:t>
      </w:r>
      <w:r>
        <w:rPr>
          <w:rStyle w:val="default"/>
          <w:rFonts w:cs="FrankRuehl" w:hint="cs"/>
          <w:rtl/>
        </w:rPr>
        <w:t xml:space="preserve"> שלושה עובדי ביקורת במשרה מלאה;</w:t>
      </w:r>
    </w:p>
    <w:p w:rsidR="004F1E6B" w:rsidRDefault="004F1E6B" w:rsidP="00D60321">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עולה על 150,000 ואינו עולה על 200,000 </w:t>
      </w:r>
      <w:r>
        <w:rPr>
          <w:rStyle w:val="default"/>
          <w:rFonts w:cs="FrankRuehl"/>
          <w:rtl/>
        </w:rPr>
        <w:t>–</w:t>
      </w:r>
      <w:r>
        <w:rPr>
          <w:rStyle w:val="default"/>
          <w:rFonts w:cs="FrankRuehl" w:hint="cs"/>
          <w:rtl/>
        </w:rPr>
        <w:t xml:space="preserve"> ארבעה עובדי ביקורת במשרה מלאה;</w:t>
      </w:r>
    </w:p>
    <w:p w:rsidR="004F1E6B" w:rsidRDefault="004F1E6B" w:rsidP="00D60321">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עולה על 200,000 ואינו עולה על 250,000 </w:t>
      </w:r>
      <w:r>
        <w:rPr>
          <w:rStyle w:val="default"/>
          <w:rFonts w:cs="FrankRuehl"/>
          <w:rtl/>
        </w:rPr>
        <w:t>–</w:t>
      </w:r>
      <w:r>
        <w:rPr>
          <w:rStyle w:val="default"/>
          <w:rFonts w:cs="FrankRuehl" w:hint="cs"/>
          <w:rtl/>
        </w:rPr>
        <w:t xml:space="preserve"> שישה עובדי ביקורת במשרה מלאה;</w:t>
      </w:r>
    </w:p>
    <w:p w:rsidR="004F1E6B" w:rsidRDefault="004F1E6B" w:rsidP="00D60321">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עולה על 250,000 ואינו עולה על 300,000 </w:t>
      </w:r>
      <w:r>
        <w:rPr>
          <w:rStyle w:val="default"/>
          <w:rFonts w:cs="FrankRuehl"/>
          <w:rtl/>
        </w:rPr>
        <w:t>–</w:t>
      </w:r>
      <w:r>
        <w:rPr>
          <w:rStyle w:val="default"/>
          <w:rFonts w:cs="FrankRuehl" w:hint="cs"/>
          <w:rtl/>
        </w:rPr>
        <w:t xml:space="preserve"> שבעה עובדי ביקורת במשרה מלאה;</w:t>
      </w:r>
    </w:p>
    <w:p w:rsidR="004F1E6B" w:rsidRDefault="004F1E6B" w:rsidP="00D60321">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עולה על 300,000 ואינו עולה על 400,000 </w:t>
      </w:r>
      <w:r>
        <w:rPr>
          <w:rStyle w:val="default"/>
          <w:rFonts w:cs="FrankRuehl"/>
          <w:rtl/>
        </w:rPr>
        <w:t>–</w:t>
      </w:r>
      <w:r>
        <w:rPr>
          <w:rStyle w:val="default"/>
          <w:rFonts w:cs="FrankRuehl" w:hint="cs"/>
          <w:rtl/>
        </w:rPr>
        <w:t xml:space="preserve"> שמונה עובדי ביקורת במשרה מלאה;</w:t>
      </w:r>
    </w:p>
    <w:p w:rsidR="004F1E6B" w:rsidRDefault="004F1E6B" w:rsidP="00D60321">
      <w:pPr>
        <w:pStyle w:val="P00"/>
        <w:spacing w:before="72"/>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 xml:space="preserve">עולה על 400,000 ואינו עולה על 500,000 </w:t>
      </w:r>
      <w:r w:rsidR="00F66FB8">
        <w:rPr>
          <w:rStyle w:val="default"/>
          <w:rFonts w:cs="FrankRuehl"/>
          <w:rtl/>
        </w:rPr>
        <w:t>–</w:t>
      </w:r>
      <w:r>
        <w:rPr>
          <w:rStyle w:val="default"/>
          <w:rFonts w:cs="FrankRuehl" w:hint="cs"/>
          <w:rtl/>
        </w:rPr>
        <w:t xml:space="preserve"> </w:t>
      </w:r>
      <w:r w:rsidR="00F66FB8">
        <w:rPr>
          <w:rStyle w:val="default"/>
          <w:rFonts w:cs="FrankRuehl" w:hint="cs"/>
          <w:rtl/>
        </w:rPr>
        <w:t>תשעה עובדי ביקורת במשרה מלאה;</w:t>
      </w:r>
    </w:p>
    <w:p w:rsidR="00F66FB8" w:rsidRDefault="00F66FB8" w:rsidP="00D60321">
      <w:pPr>
        <w:pStyle w:val="P00"/>
        <w:spacing w:before="72"/>
        <w:ind w:left="1021"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 xml:space="preserve">עולה על 500,000 ואינו עולה על 600,000 </w:t>
      </w:r>
      <w:r>
        <w:rPr>
          <w:rStyle w:val="default"/>
          <w:rFonts w:cs="FrankRuehl"/>
          <w:rtl/>
        </w:rPr>
        <w:t>–</w:t>
      </w:r>
      <w:r>
        <w:rPr>
          <w:rStyle w:val="default"/>
          <w:rFonts w:cs="FrankRuehl" w:hint="cs"/>
          <w:rtl/>
        </w:rPr>
        <w:t xml:space="preserve"> עשרה עובדי ביקורת במשרה מלאה;</w:t>
      </w:r>
    </w:p>
    <w:p w:rsidR="00F66FB8" w:rsidRDefault="00F66FB8" w:rsidP="00D60321">
      <w:pPr>
        <w:pStyle w:val="P00"/>
        <w:spacing w:before="72"/>
        <w:ind w:left="1021" w:right="1134"/>
        <w:rPr>
          <w:rStyle w:val="default"/>
          <w:rFonts w:cs="FrankRuehl"/>
          <w:rtl/>
        </w:rPr>
      </w:pPr>
      <w:r>
        <w:rPr>
          <w:rStyle w:val="default"/>
          <w:rFonts w:cs="FrankRuehl" w:hint="cs"/>
          <w:rtl/>
        </w:rPr>
        <w:t>(י)</w:t>
      </w:r>
      <w:r>
        <w:rPr>
          <w:rStyle w:val="default"/>
          <w:rFonts w:cs="FrankRuehl"/>
          <w:rtl/>
        </w:rPr>
        <w:tab/>
      </w:r>
      <w:r>
        <w:rPr>
          <w:rStyle w:val="default"/>
          <w:rFonts w:cs="FrankRuehl" w:hint="cs"/>
          <w:rtl/>
        </w:rPr>
        <w:t xml:space="preserve">עולה על 600,000 ואינו עולה על 700,000 </w:t>
      </w:r>
      <w:r>
        <w:rPr>
          <w:rStyle w:val="default"/>
          <w:rFonts w:cs="FrankRuehl"/>
          <w:rtl/>
        </w:rPr>
        <w:t>–</w:t>
      </w:r>
      <w:r>
        <w:rPr>
          <w:rStyle w:val="default"/>
          <w:rFonts w:cs="FrankRuehl" w:hint="cs"/>
          <w:rtl/>
        </w:rPr>
        <w:t xml:space="preserve"> אחד עשר עובדי ביקורת במשרה מלאה;</w:t>
      </w:r>
    </w:p>
    <w:p w:rsidR="00F66FB8" w:rsidRDefault="00F66FB8" w:rsidP="00D60321">
      <w:pPr>
        <w:pStyle w:val="P00"/>
        <w:spacing w:before="72"/>
        <w:ind w:left="1021" w:right="1134"/>
        <w:rPr>
          <w:rStyle w:val="default"/>
          <w:rFonts w:cs="FrankRuehl"/>
          <w:rtl/>
        </w:rPr>
      </w:pPr>
      <w:r>
        <w:rPr>
          <w:rStyle w:val="default"/>
          <w:rFonts w:cs="FrankRuehl" w:hint="cs"/>
          <w:rtl/>
        </w:rPr>
        <w:t>(יא)</w:t>
      </w:r>
      <w:r>
        <w:rPr>
          <w:rStyle w:val="default"/>
          <w:rFonts w:cs="FrankRuehl"/>
          <w:rtl/>
        </w:rPr>
        <w:tab/>
      </w:r>
      <w:r>
        <w:rPr>
          <w:rStyle w:val="default"/>
          <w:rFonts w:cs="FrankRuehl" w:hint="cs"/>
          <w:rtl/>
        </w:rPr>
        <w:t xml:space="preserve">עולה על 700,000 ואינו עולה על 800,000 </w:t>
      </w:r>
      <w:r>
        <w:rPr>
          <w:rStyle w:val="default"/>
          <w:rFonts w:cs="FrankRuehl"/>
          <w:rtl/>
        </w:rPr>
        <w:t>–</w:t>
      </w:r>
      <w:r>
        <w:rPr>
          <w:rStyle w:val="default"/>
          <w:rFonts w:cs="FrankRuehl" w:hint="cs"/>
          <w:rtl/>
        </w:rPr>
        <w:t xml:space="preserve"> שנים עשר עובדי ביקורת במשרה מלאה;</w:t>
      </w:r>
    </w:p>
    <w:p w:rsidR="00F66FB8" w:rsidRDefault="00D60321" w:rsidP="00D60321">
      <w:pPr>
        <w:pStyle w:val="P00"/>
        <w:spacing w:before="72"/>
        <w:ind w:left="1021" w:right="1134"/>
        <w:rPr>
          <w:rStyle w:val="default"/>
          <w:rFonts w:cs="FrankRuehl"/>
          <w:rtl/>
        </w:rPr>
      </w:pPr>
      <w:r>
        <w:rPr>
          <w:rStyle w:val="default"/>
          <w:rFonts w:cs="FrankRuehl" w:hint="cs"/>
          <w:rtl/>
        </w:rPr>
        <w:t>(יב)</w:t>
      </w:r>
      <w:r>
        <w:rPr>
          <w:rStyle w:val="default"/>
          <w:rFonts w:cs="FrankRuehl"/>
          <w:rtl/>
        </w:rPr>
        <w:tab/>
      </w:r>
      <w:r>
        <w:rPr>
          <w:rStyle w:val="default"/>
          <w:rFonts w:cs="FrankRuehl" w:hint="cs"/>
          <w:rtl/>
        </w:rPr>
        <w:t xml:space="preserve">עולה על 800,000 ואינו עולה על 900,000 </w:t>
      </w:r>
      <w:r>
        <w:rPr>
          <w:rStyle w:val="default"/>
          <w:rFonts w:cs="FrankRuehl"/>
          <w:rtl/>
        </w:rPr>
        <w:t>–</w:t>
      </w:r>
      <w:r>
        <w:rPr>
          <w:rStyle w:val="default"/>
          <w:rFonts w:cs="FrankRuehl" w:hint="cs"/>
          <w:rtl/>
        </w:rPr>
        <w:t xml:space="preserve"> שלושה עשר עובדי ביקורת במשרה מלאה;</w:t>
      </w:r>
    </w:p>
    <w:p w:rsidR="00D60321" w:rsidRDefault="00D60321" w:rsidP="00D60321">
      <w:pPr>
        <w:pStyle w:val="P00"/>
        <w:spacing w:before="72"/>
        <w:ind w:left="1021" w:right="1134"/>
        <w:rPr>
          <w:rStyle w:val="default"/>
          <w:rFonts w:cs="FrankRuehl"/>
          <w:rtl/>
        </w:rPr>
      </w:pPr>
      <w:r>
        <w:rPr>
          <w:rStyle w:val="default"/>
          <w:rFonts w:cs="FrankRuehl" w:hint="cs"/>
          <w:rtl/>
        </w:rPr>
        <w:t>(יג)</w:t>
      </w:r>
      <w:r>
        <w:rPr>
          <w:rStyle w:val="default"/>
          <w:rFonts w:cs="FrankRuehl"/>
          <w:rtl/>
        </w:rPr>
        <w:tab/>
      </w:r>
      <w:r>
        <w:rPr>
          <w:rStyle w:val="default"/>
          <w:rFonts w:cs="FrankRuehl" w:hint="cs"/>
          <w:rtl/>
        </w:rPr>
        <w:t xml:space="preserve">עולה על 900,000 ואינו עולה על 1,000,000 </w:t>
      </w:r>
      <w:r>
        <w:rPr>
          <w:rStyle w:val="default"/>
          <w:rFonts w:cs="FrankRuehl"/>
          <w:rtl/>
        </w:rPr>
        <w:t>–</w:t>
      </w:r>
      <w:r>
        <w:rPr>
          <w:rStyle w:val="default"/>
          <w:rFonts w:cs="FrankRuehl" w:hint="cs"/>
          <w:rtl/>
        </w:rPr>
        <w:t xml:space="preserve"> ארבעה עשר עובדי ביקורת במשרה מלאה;</w:t>
      </w:r>
    </w:p>
    <w:p w:rsidR="00D60321" w:rsidRDefault="00D60321" w:rsidP="00D60321">
      <w:pPr>
        <w:pStyle w:val="P00"/>
        <w:spacing w:before="72"/>
        <w:ind w:left="1021" w:right="1134"/>
        <w:rPr>
          <w:rStyle w:val="default"/>
          <w:rFonts w:cs="FrankRuehl"/>
          <w:rtl/>
        </w:rPr>
      </w:pPr>
      <w:r>
        <w:rPr>
          <w:rStyle w:val="default"/>
          <w:rFonts w:cs="FrankRuehl" w:hint="cs"/>
          <w:rtl/>
        </w:rPr>
        <w:t>(יד)</w:t>
      </w:r>
      <w:r>
        <w:rPr>
          <w:rStyle w:val="default"/>
          <w:rFonts w:cs="FrankRuehl"/>
          <w:rtl/>
        </w:rPr>
        <w:tab/>
      </w:r>
      <w:r>
        <w:rPr>
          <w:rStyle w:val="default"/>
          <w:rFonts w:cs="FrankRuehl" w:hint="cs"/>
          <w:rtl/>
        </w:rPr>
        <w:t xml:space="preserve">עולה על 1,000,000 </w:t>
      </w:r>
      <w:r>
        <w:rPr>
          <w:rStyle w:val="default"/>
          <w:rFonts w:cs="FrankRuehl"/>
          <w:rtl/>
        </w:rPr>
        <w:t>–</w:t>
      </w:r>
      <w:r>
        <w:rPr>
          <w:rStyle w:val="default"/>
          <w:rFonts w:cs="FrankRuehl" w:hint="cs"/>
          <w:rtl/>
        </w:rPr>
        <w:t xml:space="preserve"> חמישה עשר עובדי ביקורת במשרה מלאה;</w:t>
      </w:r>
    </w:p>
    <w:p w:rsidR="00D60321" w:rsidRDefault="00D60321" w:rsidP="004F1E6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בעירייה שתקציבה השנתי </w:t>
      </w:r>
      <w:r>
        <w:rPr>
          <w:rStyle w:val="default"/>
          <w:rFonts w:cs="FrankRuehl"/>
          <w:rtl/>
        </w:rPr>
        <w:t>–</w:t>
      </w:r>
    </w:p>
    <w:p w:rsidR="00D60321" w:rsidRDefault="00D60321" w:rsidP="00D60321">
      <w:pPr>
        <w:pStyle w:val="P00"/>
        <w:spacing w:before="72"/>
        <w:ind w:left="1021" w:right="1134"/>
        <w:rPr>
          <w:rStyle w:val="default"/>
          <w:rFonts w:cs="FrankRuehl"/>
          <w:rtl/>
        </w:rPr>
      </w:pPr>
      <w:r>
        <w:rPr>
          <w:rStyle w:val="default"/>
          <w:rFonts w:cs="FrankRuehl" w:hint="cs"/>
          <w:rtl/>
        </w:rPr>
        <w:lastRenderedPageBreak/>
        <w:t>(א)</w:t>
      </w:r>
      <w:r>
        <w:rPr>
          <w:rStyle w:val="default"/>
          <w:rFonts w:cs="FrankRuehl"/>
          <w:rtl/>
        </w:rPr>
        <w:tab/>
      </w:r>
      <w:r>
        <w:rPr>
          <w:rStyle w:val="default"/>
          <w:rFonts w:cs="FrankRuehl" w:hint="cs"/>
          <w:rtl/>
        </w:rPr>
        <w:t xml:space="preserve">עד 150 מלש"ח </w:t>
      </w:r>
      <w:r>
        <w:rPr>
          <w:rStyle w:val="default"/>
          <w:rFonts w:cs="FrankRuehl"/>
          <w:rtl/>
        </w:rPr>
        <w:t>–</w:t>
      </w:r>
      <w:r>
        <w:rPr>
          <w:rStyle w:val="default"/>
          <w:rFonts w:cs="FrankRuehl" w:hint="cs"/>
          <w:rtl/>
        </w:rPr>
        <w:t xml:space="preserve"> עובד ביקורת בהיקף של חצי משרה;</w:t>
      </w:r>
    </w:p>
    <w:p w:rsidR="00D60321" w:rsidRDefault="00D60321" w:rsidP="00D6032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עולה על 150 מלש"ח ואינו עולה על 400 מלש"ח </w:t>
      </w:r>
      <w:r>
        <w:rPr>
          <w:rStyle w:val="default"/>
          <w:rFonts w:cs="FrankRuehl"/>
          <w:rtl/>
        </w:rPr>
        <w:t>–</w:t>
      </w:r>
      <w:r>
        <w:rPr>
          <w:rStyle w:val="default"/>
          <w:rFonts w:cs="FrankRuehl" w:hint="cs"/>
          <w:rtl/>
        </w:rPr>
        <w:t xml:space="preserve"> עובד ביקורת בהיקף של משרה מלאה;</w:t>
      </w:r>
    </w:p>
    <w:p w:rsidR="00D60321" w:rsidRDefault="00D60321" w:rsidP="00D60321">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עולה על 400 מלש"ח ואינו עולה על 600 מלש"ח </w:t>
      </w:r>
      <w:r>
        <w:rPr>
          <w:rStyle w:val="default"/>
          <w:rFonts w:cs="FrankRuehl"/>
          <w:rtl/>
        </w:rPr>
        <w:t>–</w:t>
      </w:r>
      <w:r>
        <w:rPr>
          <w:rStyle w:val="default"/>
          <w:rFonts w:cs="FrankRuehl" w:hint="cs"/>
          <w:rtl/>
        </w:rPr>
        <w:t xml:space="preserve"> עובד ביקורת בהיקף של משרה מלאה ועוד עובד ביקורת בהיקף של מחצית המשרה;</w:t>
      </w:r>
    </w:p>
    <w:p w:rsidR="00D60321" w:rsidRDefault="00D60321" w:rsidP="00D60321">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עולה על 600 מלש"ח ואינו עולה על 800 מלש"ח </w:t>
      </w:r>
      <w:r>
        <w:rPr>
          <w:rStyle w:val="default"/>
          <w:rFonts w:cs="FrankRuehl"/>
          <w:rtl/>
        </w:rPr>
        <w:t>–</w:t>
      </w:r>
      <w:r>
        <w:rPr>
          <w:rStyle w:val="default"/>
          <w:rFonts w:cs="FrankRuehl" w:hint="cs"/>
          <w:rtl/>
        </w:rPr>
        <w:t xml:space="preserve"> שלושה </w:t>
      </w:r>
      <w:r w:rsidR="00FC6527">
        <w:rPr>
          <w:rStyle w:val="default"/>
          <w:rFonts w:cs="FrankRuehl" w:hint="cs"/>
          <w:rtl/>
        </w:rPr>
        <w:t>עובדי ביקורת במשרה מלאה;</w:t>
      </w:r>
    </w:p>
    <w:p w:rsidR="00FC6527" w:rsidRDefault="00FC6527" w:rsidP="00D60321">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עולה על 800 מלש"ח ואינו עולה על 1,000 מלש"ח </w:t>
      </w:r>
      <w:r>
        <w:rPr>
          <w:rStyle w:val="default"/>
          <w:rFonts w:cs="FrankRuehl"/>
          <w:rtl/>
        </w:rPr>
        <w:t>–</w:t>
      </w:r>
      <w:r>
        <w:rPr>
          <w:rStyle w:val="default"/>
          <w:rFonts w:cs="FrankRuehl" w:hint="cs"/>
          <w:rtl/>
        </w:rPr>
        <w:t xml:space="preserve"> ארבעה עובדי ביקורת במשרה מלאה;</w:t>
      </w:r>
    </w:p>
    <w:p w:rsidR="00FC6527" w:rsidRDefault="00FC6527" w:rsidP="00D60321">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עולה על 1,000 מלש"ח ואינו עולה על 1,300 מלש"ח </w:t>
      </w:r>
      <w:r>
        <w:rPr>
          <w:rStyle w:val="default"/>
          <w:rFonts w:cs="FrankRuehl"/>
          <w:rtl/>
        </w:rPr>
        <w:t>–</w:t>
      </w:r>
      <w:r>
        <w:rPr>
          <w:rStyle w:val="default"/>
          <w:rFonts w:cs="FrankRuehl" w:hint="cs"/>
          <w:rtl/>
        </w:rPr>
        <w:t xml:space="preserve"> חמישה עובדי ביקורת במשרה מלאה;</w:t>
      </w:r>
    </w:p>
    <w:p w:rsidR="00FC6527" w:rsidRDefault="00FC6527" w:rsidP="00D60321">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עולה על 1,300 מלש"ח ואינו עולה על 1,700 מלש"ח </w:t>
      </w:r>
      <w:r>
        <w:rPr>
          <w:rStyle w:val="default"/>
          <w:rFonts w:cs="FrankRuehl"/>
          <w:rtl/>
        </w:rPr>
        <w:t>–</w:t>
      </w:r>
      <w:r>
        <w:rPr>
          <w:rStyle w:val="default"/>
          <w:rFonts w:cs="FrankRuehl" w:hint="cs"/>
          <w:rtl/>
        </w:rPr>
        <w:t xml:space="preserve"> שישה עובדי ביקורת במשרה מלאה;</w:t>
      </w:r>
    </w:p>
    <w:p w:rsidR="00FC6527" w:rsidRDefault="00FC6527" w:rsidP="00D60321">
      <w:pPr>
        <w:pStyle w:val="P00"/>
        <w:spacing w:before="72"/>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 xml:space="preserve">עולה על 1,700 מלש"ח ואינו עולה על 2,000 מלש"ח </w:t>
      </w:r>
      <w:r>
        <w:rPr>
          <w:rStyle w:val="default"/>
          <w:rFonts w:cs="FrankRuehl"/>
          <w:rtl/>
        </w:rPr>
        <w:t>–</w:t>
      </w:r>
      <w:r>
        <w:rPr>
          <w:rStyle w:val="default"/>
          <w:rFonts w:cs="FrankRuehl" w:hint="cs"/>
          <w:rtl/>
        </w:rPr>
        <w:t xml:space="preserve"> שבעה עובדי ביקורת במשרה מלאה;</w:t>
      </w:r>
    </w:p>
    <w:p w:rsidR="00FC6527" w:rsidRDefault="00FC6527" w:rsidP="00D60321">
      <w:pPr>
        <w:pStyle w:val="P00"/>
        <w:spacing w:before="72"/>
        <w:ind w:left="1021"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 xml:space="preserve">עולה על 2,000 מלש"ח ואינו עולה על 2,500 מלש"ח </w:t>
      </w:r>
      <w:r>
        <w:rPr>
          <w:rStyle w:val="default"/>
          <w:rFonts w:cs="FrankRuehl"/>
          <w:rtl/>
        </w:rPr>
        <w:t>–</w:t>
      </w:r>
      <w:r>
        <w:rPr>
          <w:rStyle w:val="default"/>
          <w:rFonts w:cs="FrankRuehl" w:hint="cs"/>
          <w:rtl/>
        </w:rPr>
        <w:t xml:space="preserve"> שמונה עובדי ביקורת במשרה מלאה;</w:t>
      </w:r>
    </w:p>
    <w:p w:rsidR="00FC6527" w:rsidRDefault="00FC6527" w:rsidP="00D60321">
      <w:pPr>
        <w:pStyle w:val="P00"/>
        <w:spacing w:before="72"/>
        <w:ind w:left="1021" w:right="1134"/>
        <w:rPr>
          <w:rStyle w:val="default"/>
          <w:rFonts w:cs="FrankRuehl"/>
          <w:rtl/>
        </w:rPr>
      </w:pPr>
      <w:r>
        <w:rPr>
          <w:rStyle w:val="default"/>
          <w:rFonts w:cs="FrankRuehl" w:hint="cs"/>
          <w:rtl/>
        </w:rPr>
        <w:t>(י)</w:t>
      </w:r>
      <w:r>
        <w:rPr>
          <w:rStyle w:val="default"/>
          <w:rFonts w:cs="FrankRuehl"/>
          <w:rtl/>
        </w:rPr>
        <w:tab/>
      </w:r>
      <w:r>
        <w:rPr>
          <w:rStyle w:val="default"/>
          <w:rFonts w:cs="FrankRuehl" w:hint="cs"/>
          <w:rtl/>
        </w:rPr>
        <w:t xml:space="preserve">עולה על 2,500 מלש"ח ואינו עולה על 3,000 מלש"ח </w:t>
      </w:r>
      <w:r>
        <w:rPr>
          <w:rStyle w:val="default"/>
          <w:rFonts w:cs="FrankRuehl"/>
          <w:rtl/>
        </w:rPr>
        <w:t>–</w:t>
      </w:r>
      <w:r>
        <w:rPr>
          <w:rStyle w:val="default"/>
          <w:rFonts w:cs="FrankRuehl" w:hint="cs"/>
          <w:rtl/>
        </w:rPr>
        <w:t xml:space="preserve"> תשעה עובדי ביקורת במשרה מלאה;</w:t>
      </w:r>
    </w:p>
    <w:p w:rsidR="00FC6527" w:rsidRDefault="00FC6527" w:rsidP="00D60321">
      <w:pPr>
        <w:pStyle w:val="P00"/>
        <w:spacing w:before="72"/>
        <w:ind w:left="1021" w:right="1134"/>
        <w:rPr>
          <w:rStyle w:val="default"/>
          <w:rFonts w:cs="FrankRuehl"/>
          <w:rtl/>
        </w:rPr>
      </w:pPr>
      <w:r>
        <w:rPr>
          <w:rStyle w:val="default"/>
          <w:rFonts w:cs="FrankRuehl" w:hint="cs"/>
          <w:rtl/>
        </w:rPr>
        <w:t>(יא)</w:t>
      </w:r>
      <w:r>
        <w:rPr>
          <w:rStyle w:val="default"/>
          <w:rFonts w:cs="FrankRuehl"/>
          <w:rtl/>
        </w:rPr>
        <w:tab/>
      </w:r>
      <w:r>
        <w:rPr>
          <w:rStyle w:val="default"/>
          <w:rFonts w:cs="FrankRuehl" w:hint="cs"/>
          <w:rtl/>
        </w:rPr>
        <w:t xml:space="preserve">עולה על 3,000 מלש"ח ואינו עולה על 3,500 מלש"ח </w:t>
      </w:r>
      <w:r>
        <w:rPr>
          <w:rStyle w:val="default"/>
          <w:rFonts w:cs="FrankRuehl"/>
          <w:rtl/>
        </w:rPr>
        <w:t>–</w:t>
      </w:r>
      <w:r>
        <w:rPr>
          <w:rStyle w:val="default"/>
          <w:rFonts w:cs="FrankRuehl" w:hint="cs"/>
          <w:rtl/>
        </w:rPr>
        <w:t xml:space="preserve"> עשרה עובדי ביקורת במשרה מלאה;</w:t>
      </w:r>
    </w:p>
    <w:p w:rsidR="00FC6527" w:rsidRDefault="00FC6527" w:rsidP="00D60321">
      <w:pPr>
        <w:pStyle w:val="P00"/>
        <w:spacing w:before="72"/>
        <w:ind w:left="1021" w:right="1134"/>
        <w:rPr>
          <w:rStyle w:val="default"/>
          <w:rFonts w:cs="FrankRuehl"/>
          <w:rtl/>
        </w:rPr>
      </w:pPr>
      <w:r>
        <w:rPr>
          <w:rStyle w:val="default"/>
          <w:rFonts w:cs="FrankRuehl" w:hint="cs"/>
          <w:rtl/>
        </w:rPr>
        <w:t>(יב)</w:t>
      </w:r>
      <w:r>
        <w:rPr>
          <w:rStyle w:val="default"/>
          <w:rFonts w:cs="FrankRuehl"/>
          <w:rtl/>
        </w:rPr>
        <w:tab/>
      </w:r>
      <w:r>
        <w:rPr>
          <w:rStyle w:val="default"/>
          <w:rFonts w:cs="FrankRuehl" w:hint="cs"/>
          <w:rtl/>
        </w:rPr>
        <w:t xml:space="preserve">עולה על 3,500 מלש"ח ואינו עולה על 4,000 מלש"ח </w:t>
      </w:r>
      <w:r>
        <w:rPr>
          <w:rStyle w:val="default"/>
          <w:rFonts w:cs="FrankRuehl"/>
          <w:rtl/>
        </w:rPr>
        <w:t>–</w:t>
      </w:r>
      <w:r>
        <w:rPr>
          <w:rStyle w:val="default"/>
          <w:rFonts w:cs="FrankRuehl" w:hint="cs"/>
          <w:rtl/>
        </w:rPr>
        <w:t xml:space="preserve"> אחד עשר עובדי ביקורת במשרה מלאה;</w:t>
      </w:r>
    </w:p>
    <w:p w:rsidR="00FC6527" w:rsidRDefault="00FC6527" w:rsidP="00D60321">
      <w:pPr>
        <w:pStyle w:val="P00"/>
        <w:spacing w:before="72"/>
        <w:ind w:left="1021" w:right="1134"/>
        <w:rPr>
          <w:rStyle w:val="default"/>
          <w:rFonts w:cs="FrankRuehl"/>
          <w:rtl/>
        </w:rPr>
      </w:pPr>
      <w:r>
        <w:rPr>
          <w:rStyle w:val="default"/>
          <w:rFonts w:cs="FrankRuehl" w:hint="cs"/>
          <w:rtl/>
        </w:rPr>
        <w:t>(יג)</w:t>
      </w:r>
      <w:r>
        <w:rPr>
          <w:rStyle w:val="default"/>
          <w:rFonts w:cs="FrankRuehl"/>
          <w:rtl/>
        </w:rPr>
        <w:tab/>
      </w:r>
      <w:r>
        <w:rPr>
          <w:rStyle w:val="default"/>
          <w:rFonts w:cs="FrankRuehl" w:hint="cs"/>
          <w:rtl/>
        </w:rPr>
        <w:t xml:space="preserve">עולה על 4,000 מלש"ח ואינו עולה על 4,500 מלש"ח </w:t>
      </w:r>
      <w:r>
        <w:rPr>
          <w:rStyle w:val="default"/>
          <w:rFonts w:cs="FrankRuehl"/>
          <w:rtl/>
        </w:rPr>
        <w:t>–</w:t>
      </w:r>
      <w:r>
        <w:rPr>
          <w:rStyle w:val="default"/>
          <w:rFonts w:cs="FrankRuehl" w:hint="cs"/>
          <w:rtl/>
        </w:rPr>
        <w:t xml:space="preserve"> שנים עשר עובדי ביקורת במשרה מלאה;</w:t>
      </w:r>
    </w:p>
    <w:p w:rsidR="00FC6527" w:rsidRDefault="00FC6527" w:rsidP="00D60321">
      <w:pPr>
        <w:pStyle w:val="P00"/>
        <w:spacing w:before="72"/>
        <w:ind w:left="1021" w:right="1134"/>
        <w:rPr>
          <w:rStyle w:val="default"/>
          <w:rFonts w:cs="FrankRuehl"/>
          <w:rtl/>
        </w:rPr>
      </w:pPr>
      <w:r>
        <w:rPr>
          <w:rStyle w:val="default"/>
          <w:rFonts w:cs="FrankRuehl" w:hint="cs"/>
          <w:rtl/>
        </w:rPr>
        <w:t>(יד)</w:t>
      </w:r>
      <w:r>
        <w:rPr>
          <w:rStyle w:val="default"/>
          <w:rFonts w:cs="FrankRuehl"/>
          <w:rtl/>
        </w:rPr>
        <w:tab/>
      </w:r>
      <w:r>
        <w:rPr>
          <w:rStyle w:val="default"/>
          <w:rFonts w:cs="FrankRuehl" w:hint="cs"/>
          <w:rtl/>
        </w:rPr>
        <w:t xml:space="preserve">עולה על 4,500 מלש"ח ואינו עולה על 5,000 מלש"ח </w:t>
      </w:r>
      <w:r>
        <w:rPr>
          <w:rStyle w:val="default"/>
          <w:rFonts w:cs="FrankRuehl"/>
          <w:rtl/>
        </w:rPr>
        <w:t>–</w:t>
      </w:r>
      <w:r>
        <w:rPr>
          <w:rStyle w:val="default"/>
          <w:rFonts w:cs="FrankRuehl" w:hint="cs"/>
          <w:rtl/>
        </w:rPr>
        <w:t xml:space="preserve"> שלושה עשר עובדי ביקורת במשרה מלאה;</w:t>
      </w:r>
    </w:p>
    <w:p w:rsidR="00FC6527" w:rsidRDefault="00FC6527" w:rsidP="00D60321">
      <w:pPr>
        <w:pStyle w:val="P00"/>
        <w:spacing w:before="72"/>
        <w:ind w:left="1021" w:right="1134"/>
        <w:rPr>
          <w:rStyle w:val="default"/>
          <w:rFonts w:cs="FrankRuehl"/>
          <w:rtl/>
        </w:rPr>
      </w:pPr>
      <w:r>
        <w:rPr>
          <w:rStyle w:val="default"/>
          <w:rFonts w:cs="FrankRuehl" w:hint="cs"/>
          <w:rtl/>
        </w:rPr>
        <w:t>(טו)</w:t>
      </w:r>
      <w:r>
        <w:rPr>
          <w:rStyle w:val="default"/>
          <w:rFonts w:cs="FrankRuehl"/>
          <w:rtl/>
        </w:rPr>
        <w:tab/>
      </w:r>
      <w:r>
        <w:rPr>
          <w:rStyle w:val="default"/>
          <w:rFonts w:cs="FrankRuehl" w:hint="cs"/>
          <w:rtl/>
        </w:rPr>
        <w:t xml:space="preserve">עולה על 5,000 מלש"ח ואינו עולה על 5,500 מלש"ח </w:t>
      </w:r>
      <w:r>
        <w:rPr>
          <w:rStyle w:val="default"/>
          <w:rFonts w:cs="FrankRuehl"/>
          <w:rtl/>
        </w:rPr>
        <w:t>–</w:t>
      </w:r>
      <w:r>
        <w:rPr>
          <w:rStyle w:val="default"/>
          <w:rFonts w:cs="FrankRuehl" w:hint="cs"/>
          <w:rtl/>
        </w:rPr>
        <w:t xml:space="preserve"> ארבעה עשר עובדי ביקורת במשרה מלאה;</w:t>
      </w:r>
    </w:p>
    <w:p w:rsidR="00FC6527" w:rsidRDefault="00FC6527" w:rsidP="00D60321">
      <w:pPr>
        <w:pStyle w:val="P00"/>
        <w:spacing w:before="72"/>
        <w:ind w:left="1021" w:right="1134"/>
        <w:rPr>
          <w:rStyle w:val="default"/>
          <w:rFonts w:cs="FrankRuehl" w:hint="cs"/>
          <w:rtl/>
        </w:rPr>
      </w:pPr>
      <w:r>
        <w:rPr>
          <w:rStyle w:val="default"/>
          <w:rFonts w:cs="FrankRuehl" w:hint="cs"/>
          <w:rtl/>
        </w:rPr>
        <w:t>(טז)</w:t>
      </w:r>
      <w:r>
        <w:rPr>
          <w:rStyle w:val="default"/>
          <w:rFonts w:cs="FrankRuehl"/>
          <w:rtl/>
        </w:rPr>
        <w:tab/>
      </w:r>
      <w:r>
        <w:rPr>
          <w:rStyle w:val="default"/>
          <w:rFonts w:cs="FrankRuehl" w:hint="cs"/>
          <w:rtl/>
        </w:rPr>
        <w:t xml:space="preserve">עולה על 5,500 מלש"ח </w:t>
      </w:r>
      <w:r>
        <w:rPr>
          <w:rStyle w:val="default"/>
          <w:rFonts w:cs="FrankRuehl"/>
          <w:rtl/>
        </w:rPr>
        <w:t>–</w:t>
      </w:r>
      <w:r>
        <w:rPr>
          <w:rStyle w:val="default"/>
          <w:rFonts w:cs="FrankRuehl" w:hint="cs"/>
          <w:rtl/>
        </w:rPr>
        <w:t xml:space="preserve"> חמישה עשר עובדי ביקורת במשרה מלאה.</w:t>
      </w:r>
    </w:p>
    <w:p w:rsidR="00A8718C" w:rsidRDefault="00A8718C">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4.75pt;z-index:251658240" o:allowincell="f" filled="f" stroked="f" strokecolor="lime" strokeweight=".25pt">
            <v:textbox style="mso-next-textbox:#_x0000_s1028" inset="0,0,0,0">
              <w:txbxContent>
                <w:p w:rsidR="00164FE4" w:rsidRDefault="00164FE4">
                  <w:pPr>
                    <w:spacing w:line="160" w:lineRule="exact"/>
                    <w:jc w:val="left"/>
                    <w:rPr>
                      <w:rFonts w:cs="Miriam"/>
                      <w:noProof/>
                      <w:sz w:val="18"/>
                      <w:szCs w:val="18"/>
                      <w:rtl/>
                    </w:rPr>
                  </w:pPr>
                  <w:r>
                    <w:rPr>
                      <w:rFonts w:cs="Miriam" w:hint="cs"/>
                      <w:sz w:val="18"/>
                      <w:szCs w:val="18"/>
                      <w:rtl/>
                    </w:rPr>
                    <w:t>תקציב לשכת המבקר</w:t>
                  </w:r>
                </w:p>
              </w:txbxContent>
            </v:textbox>
            <w10:anchorlock/>
          </v:rect>
        </w:pict>
      </w:r>
      <w:r>
        <w:rPr>
          <w:rStyle w:val="big-number"/>
          <w:rFonts w:cs="Miriam"/>
          <w:rtl/>
        </w:rPr>
        <w:t>3.</w:t>
      </w:r>
      <w:r>
        <w:rPr>
          <w:rStyle w:val="big-number"/>
          <w:rFonts w:cs="Miriam"/>
          <w:rtl/>
        </w:rPr>
        <w:tab/>
      </w:r>
      <w:r w:rsidR="00655A96">
        <w:rPr>
          <w:rStyle w:val="default"/>
          <w:rFonts w:cs="FrankRuehl" w:hint="cs"/>
          <w:rtl/>
        </w:rPr>
        <w:t>היקף התקציב השנתי של לשכת מבקר עירייה כפי שיכין ויגיש מבקר העיריה לראש העירייה ועל פי סעיף 170א(ה) לפקודה, לא יפחת משיעור קבוע באחוזים מהתקציב השנתי של העירייה לפי המפורט להלן:</w:t>
      </w:r>
    </w:p>
    <w:p w:rsidR="00655A96" w:rsidRDefault="00655A96" w:rsidP="00655A9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בעירייה שמספר תושביה עד 40,000 תושבים </w:t>
      </w:r>
      <w:r>
        <w:rPr>
          <w:rStyle w:val="default"/>
          <w:rFonts w:cs="FrankRuehl"/>
          <w:rtl/>
        </w:rPr>
        <w:t>–</w:t>
      </w:r>
    </w:p>
    <w:p w:rsidR="00655A96" w:rsidRDefault="00655A96" w:rsidP="00655A9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תקציבה השנתי אינו עולה על 100 מלש"ח </w:t>
      </w:r>
      <w:r>
        <w:rPr>
          <w:rStyle w:val="default"/>
          <w:rFonts w:cs="FrankRuehl"/>
          <w:rtl/>
        </w:rPr>
        <w:t>–</w:t>
      </w:r>
      <w:r>
        <w:rPr>
          <w:rStyle w:val="default"/>
          <w:rFonts w:cs="FrankRuehl" w:hint="cs"/>
          <w:rtl/>
        </w:rPr>
        <w:t xml:space="preserve"> סכום שלא יפחת מ-0.75%, ובלבד שלא יפחת מ-690 אלש"ח;</w:t>
      </w:r>
    </w:p>
    <w:p w:rsidR="00655A96" w:rsidRDefault="00655A96" w:rsidP="00655A9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תקציבה השנתי עולה על 100 מלש"ח ואינו עולה על 150 מלש"ח </w:t>
      </w:r>
      <w:r>
        <w:rPr>
          <w:rStyle w:val="default"/>
          <w:rFonts w:cs="FrankRuehl"/>
          <w:rtl/>
        </w:rPr>
        <w:t>–</w:t>
      </w:r>
      <w:r>
        <w:rPr>
          <w:rStyle w:val="default"/>
          <w:rFonts w:cs="FrankRuehl" w:hint="cs"/>
          <w:rtl/>
        </w:rPr>
        <w:t xml:space="preserve"> סכום שלא יפחת מ-0.533% ובלבד שלא יפחת מ-750 אלש"ח;</w:t>
      </w:r>
    </w:p>
    <w:p w:rsidR="00655A96" w:rsidRDefault="00655A96" w:rsidP="00655A96">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תקציבה השנתי עולה על 150 מלש"ח ואינו עולה על 200 מלש"ח </w:t>
      </w:r>
      <w:r>
        <w:rPr>
          <w:rStyle w:val="default"/>
          <w:rFonts w:cs="FrankRuehl"/>
          <w:rtl/>
        </w:rPr>
        <w:t>–</w:t>
      </w:r>
      <w:r>
        <w:rPr>
          <w:rStyle w:val="default"/>
          <w:rFonts w:cs="FrankRuehl" w:hint="cs"/>
          <w:rtl/>
        </w:rPr>
        <w:t xml:space="preserve"> סכום שלא יפחת מ-0.45% ובלבד שלא יפחת מ-800 אלש"ח;</w:t>
      </w:r>
    </w:p>
    <w:p w:rsidR="00655A96" w:rsidRDefault="00655A96" w:rsidP="00655A96">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תקציבה השנתי עולה על 200 מלש"ח </w:t>
      </w:r>
      <w:r>
        <w:rPr>
          <w:rStyle w:val="default"/>
          <w:rFonts w:cs="FrankRuehl"/>
          <w:rtl/>
        </w:rPr>
        <w:t>–</w:t>
      </w:r>
      <w:r>
        <w:rPr>
          <w:rStyle w:val="default"/>
          <w:rFonts w:cs="FrankRuehl" w:hint="cs"/>
          <w:rtl/>
        </w:rPr>
        <w:t xml:space="preserve"> סכום שלא יפחת מ-0.16% ובלבד שלא יפחת מ-900 אלש"ח;</w:t>
      </w:r>
    </w:p>
    <w:p w:rsidR="00655A96" w:rsidRDefault="00655A96" w:rsidP="00655A9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בעירייה שמספר תושביה עולה על 40,000 אך לא עולה על 100,000 </w:t>
      </w:r>
      <w:r>
        <w:rPr>
          <w:rStyle w:val="default"/>
          <w:rFonts w:cs="FrankRuehl"/>
          <w:rtl/>
        </w:rPr>
        <w:t>–</w:t>
      </w:r>
    </w:p>
    <w:p w:rsidR="00655A96" w:rsidRDefault="00655A96" w:rsidP="00655A9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תקציבה השנתי אינו עולה על 170 מלש"ח סכום שלא יפחת מ-0.588%</w:t>
      </w:r>
      <w:r w:rsidR="0084375F">
        <w:rPr>
          <w:rStyle w:val="default"/>
          <w:rFonts w:cs="FrankRuehl" w:hint="cs"/>
          <w:rtl/>
        </w:rPr>
        <w:t>, ובלבד שלא יפחת מ-950 אלש"ח;</w:t>
      </w:r>
    </w:p>
    <w:p w:rsidR="0084375F" w:rsidRDefault="0084375F" w:rsidP="00655A9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E05407">
        <w:rPr>
          <w:rStyle w:val="default"/>
          <w:rFonts w:cs="FrankRuehl" w:hint="cs"/>
          <w:rtl/>
        </w:rPr>
        <w:t xml:space="preserve">תקציבה השנתי עולה על 170 מלש"ח ואינו עולה על 335 מלש"ח </w:t>
      </w:r>
      <w:r w:rsidR="00E05407">
        <w:rPr>
          <w:rStyle w:val="default"/>
          <w:rFonts w:cs="FrankRuehl"/>
          <w:rtl/>
        </w:rPr>
        <w:t>–</w:t>
      </w:r>
      <w:r w:rsidR="00E05407">
        <w:rPr>
          <w:rStyle w:val="default"/>
          <w:rFonts w:cs="FrankRuehl" w:hint="cs"/>
          <w:rtl/>
        </w:rPr>
        <w:t xml:space="preserve"> סכום שלא יפחת מ-0.313% ובלבד שלא יפחת מ-1,000 אלש"ח;</w:t>
      </w:r>
    </w:p>
    <w:p w:rsidR="00E05407" w:rsidRDefault="00E05407" w:rsidP="00E05407">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תקציבה השנתי עולה על 335 מלש"ח ואינו עולה על 500 מלש"ח </w:t>
      </w:r>
      <w:r>
        <w:rPr>
          <w:rStyle w:val="default"/>
          <w:rFonts w:cs="FrankRuehl"/>
          <w:rtl/>
        </w:rPr>
        <w:t>–</w:t>
      </w:r>
      <w:r>
        <w:rPr>
          <w:rStyle w:val="default"/>
          <w:rFonts w:cs="FrankRuehl" w:hint="cs"/>
          <w:rtl/>
        </w:rPr>
        <w:t xml:space="preserve"> סכום שלא יפחת מ-0.23% ובלבד שלא יפחת מ-1,050 אלש"ח;</w:t>
      </w:r>
    </w:p>
    <w:p w:rsidR="00E05407" w:rsidRDefault="00E05407" w:rsidP="00E05407">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תקציבה השנתי עולה על 500 מלש"ח </w:t>
      </w:r>
      <w:r>
        <w:rPr>
          <w:rStyle w:val="default"/>
          <w:rFonts w:cs="FrankRuehl"/>
          <w:rtl/>
        </w:rPr>
        <w:t>–</w:t>
      </w:r>
      <w:r>
        <w:rPr>
          <w:rStyle w:val="default"/>
          <w:rFonts w:cs="FrankRuehl" w:hint="cs"/>
          <w:rtl/>
        </w:rPr>
        <w:t xml:space="preserve"> סכום שלא יפחת מ-0.16% ובלבד שלא יפחת מ-1,150 אלש"ח;</w:t>
      </w:r>
    </w:p>
    <w:p w:rsidR="00E05407" w:rsidRDefault="00E05407" w:rsidP="00E0540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בעירייה שמספר תושביה עולה על 100,000 אך לא עולה על 150,000 </w:t>
      </w:r>
      <w:r>
        <w:rPr>
          <w:rStyle w:val="default"/>
          <w:rFonts w:cs="FrankRuehl"/>
          <w:rtl/>
        </w:rPr>
        <w:t>–</w:t>
      </w:r>
    </w:p>
    <w:p w:rsidR="00E05407" w:rsidRDefault="00E05407" w:rsidP="00E0540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910DB9">
        <w:rPr>
          <w:rStyle w:val="default"/>
          <w:rFonts w:cs="FrankRuehl" w:hint="cs"/>
          <w:rtl/>
        </w:rPr>
        <w:t xml:space="preserve">תקציבה השנתי אינו עולה על 500 מלש"ח </w:t>
      </w:r>
      <w:r w:rsidR="00910DB9">
        <w:rPr>
          <w:rStyle w:val="default"/>
          <w:rFonts w:cs="FrankRuehl"/>
          <w:rtl/>
        </w:rPr>
        <w:t>–</w:t>
      </w:r>
      <w:r w:rsidR="00910DB9">
        <w:rPr>
          <w:rStyle w:val="default"/>
          <w:rFonts w:cs="FrankRuehl" w:hint="cs"/>
          <w:rtl/>
        </w:rPr>
        <w:t xml:space="preserve"> סכום שלא יפחת מ-0.25%, ובלבד שלא יפחת מ-1,200 אלש"ח;</w:t>
      </w:r>
    </w:p>
    <w:p w:rsidR="00910DB9" w:rsidRDefault="00910DB9" w:rsidP="00910DB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תקציבה השנתי עולה על 500 מלש"ח ואינו עולה על 650 מלש"ח </w:t>
      </w:r>
      <w:r>
        <w:rPr>
          <w:rStyle w:val="default"/>
          <w:rFonts w:cs="FrankRuehl"/>
          <w:rtl/>
        </w:rPr>
        <w:t>–</w:t>
      </w:r>
      <w:r>
        <w:rPr>
          <w:rStyle w:val="default"/>
          <w:rFonts w:cs="FrankRuehl" w:hint="cs"/>
          <w:rtl/>
        </w:rPr>
        <w:t xml:space="preserve"> סכום שלא יפחת מ-0.207% ובלבד שלא יפחת מ-1,250 אלש"ח;</w:t>
      </w:r>
    </w:p>
    <w:p w:rsidR="00910DB9" w:rsidRDefault="00910DB9" w:rsidP="00910DB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תקציבה השנתי עולה על 650 מלש"ח ואינו עולה על 800 מלש"ח </w:t>
      </w:r>
      <w:r>
        <w:rPr>
          <w:rStyle w:val="default"/>
          <w:rFonts w:cs="FrankRuehl"/>
          <w:rtl/>
        </w:rPr>
        <w:t>–</w:t>
      </w:r>
      <w:r>
        <w:rPr>
          <w:rStyle w:val="default"/>
          <w:rFonts w:cs="FrankRuehl" w:hint="cs"/>
          <w:rtl/>
        </w:rPr>
        <w:t xml:space="preserve"> סכום שלא יפחת מ-0.175% ובלבד שלא יפחת מ-1,350 אלש"ח;</w:t>
      </w:r>
    </w:p>
    <w:p w:rsidR="00910DB9" w:rsidRDefault="00910DB9" w:rsidP="00910DB9">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תקציבה השנתי עולה על 800 מלש"ח </w:t>
      </w:r>
      <w:r>
        <w:rPr>
          <w:rStyle w:val="default"/>
          <w:rFonts w:cs="FrankRuehl"/>
          <w:rtl/>
        </w:rPr>
        <w:t>–</w:t>
      </w:r>
      <w:r>
        <w:rPr>
          <w:rStyle w:val="default"/>
          <w:rFonts w:cs="FrankRuehl" w:hint="cs"/>
          <w:rtl/>
        </w:rPr>
        <w:t xml:space="preserve"> סכום שלא יפחת מ-0.16% ובלבד שלא יפחת מ-1,400 אלש"ח;</w:t>
      </w:r>
    </w:p>
    <w:p w:rsidR="00910DB9" w:rsidRDefault="00910DB9" w:rsidP="00910DB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בעירייה שמספר תושביה עולה על 150,000 אך אינו עולה על 200,000 </w:t>
      </w:r>
      <w:r>
        <w:rPr>
          <w:rStyle w:val="default"/>
          <w:rFonts w:cs="FrankRuehl"/>
          <w:rtl/>
        </w:rPr>
        <w:t>–</w:t>
      </w:r>
    </w:p>
    <w:p w:rsidR="00910DB9" w:rsidRDefault="00910DB9" w:rsidP="00910DB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תקציבה השנתי אינו עולה על 550 מלש"ח </w:t>
      </w:r>
      <w:r>
        <w:rPr>
          <w:rStyle w:val="default"/>
          <w:rFonts w:cs="FrankRuehl"/>
          <w:rtl/>
        </w:rPr>
        <w:t>–</w:t>
      </w:r>
      <w:r>
        <w:rPr>
          <w:rStyle w:val="default"/>
          <w:rFonts w:cs="FrankRuehl" w:hint="cs"/>
          <w:rtl/>
        </w:rPr>
        <w:t xml:space="preserve"> סכום שלא יפחת מ-0.291%, ובלבד שלא יפחת מ-1,500 אלש"ח;</w:t>
      </w:r>
    </w:p>
    <w:p w:rsidR="00910DB9" w:rsidRDefault="00910DB9" w:rsidP="00910DB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תקציבה השנתי עולה על 550 מלש"ח ואינו עולה על 650 מלש"ח </w:t>
      </w:r>
      <w:r>
        <w:rPr>
          <w:rStyle w:val="default"/>
          <w:rFonts w:cs="FrankRuehl"/>
          <w:rtl/>
        </w:rPr>
        <w:t>–</w:t>
      </w:r>
      <w:r>
        <w:rPr>
          <w:rStyle w:val="default"/>
          <w:rFonts w:cs="FrankRuehl" w:hint="cs"/>
          <w:rtl/>
        </w:rPr>
        <w:t xml:space="preserve"> סכום שלא יפחת מ-0.262% ובלבד שלא יפחת מ-1,600 אלש"ח;</w:t>
      </w:r>
    </w:p>
    <w:p w:rsidR="00910DB9" w:rsidRDefault="00910DB9" w:rsidP="00910DB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תקציבה השנתי עולה על 650 מלש"ח ואינו עולה על 750 מלש"ח </w:t>
      </w:r>
      <w:r>
        <w:rPr>
          <w:rStyle w:val="default"/>
          <w:rFonts w:cs="FrankRuehl"/>
          <w:rtl/>
        </w:rPr>
        <w:t>–</w:t>
      </w:r>
      <w:r>
        <w:rPr>
          <w:rStyle w:val="default"/>
          <w:rFonts w:cs="FrankRuehl" w:hint="cs"/>
          <w:rtl/>
        </w:rPr>
        <w:t xml:space="preserve"> סכום שלא יפחת מ-0.24% ובלבד שלא יפחת מ-1,700 אלש"ח;</w:t>
      </w:r>
    </w:p>
    <w:p w:rsidR="00910DB9" w:rsidRDefault="00910DB9" w:rsidP="00910DB9">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תקציבה השנתי עולה על 750 מלש"ח </w:t>
      </w:r>
      <w:r>
        <w:rPr>
          <w:rStyle w:val="default"/>
          <w:rFonts w:cs="FrankRuehl"/>
          <w:rtl/>
        </w:rPr>
        <w:t>–</w:t>
      </w:r>
      <w:r>
        <w:rPr>
          <w:rStyle w:val="default"/>
          <w:rFonts w:cs="FrankRuehl" w:hint="cs"/>
          <w:rtl/>
        </w:rPr>
        <w:t xml:space="preserve"> סכום שלא יפחת מ-0.16% ובלבד שלא יפחת מ-1,800 אלש"ח;</w:t>
      </w:r>
    </w:p>
    <w:p w:rsidR="00910DB9" w:rsidRDefault="00910DB9" w:rsidP="00910DB9">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בעירייה שמספר תושביה עולה על 200,000 אך אינו עולה על 250,000 </w:t>
      </w:r>
      <w:r>
        <w:rPr>
          <w:rStyle w:val="default"/>
          <w:rFonts w:cs="FrankRuehl"/>
          <w:rtl/>
        </w:rPr>
        <w:t>–</w:t>
      </w:r>
    </w:p>
    <w:p w:rsidR="00910DB9" w:rsidRDefault="00910DB9" w:rsidP="00910DB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תקציבה השנתי אינו עולה על 1,000 מלש"ח </w:t>
      </w:r>
      <w:r>
        <w:rPr>
          <w:rStyle w:val="default"/>
          <w:rFonts w:cs="FrankRuehl"/>
          <w:rtl/>
        </w:rPr>
        <w:t>–</w:t>
      </w:r>
      <w:r>
        <w:rPr>
          <w:rStyle w:val="default"/>
          <w:rFonts w:cs="FrankRuehl" w:hint="cs"/>
          <w:rtl/>
        </w:rPr>
        <w:t xml:space="preserve"> סכום שלא יפחת מ-0.19%, ובלבד שלא יפחת מ-1,800 אלש"ח;</w:t>
      </w:r>
    </w:p>
    <w:p w:rsidR="00910DB9" w:rsidRDefault="00910DB9" w:rsidP="00910DB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תקציבה השנתי עולה על 1,000 מלש"ח ואינו עולה על 1,150 מלש"ח </w:t>
      </w:r>
      <w:r>
        <w:rPr>
          <w:rStyle w:val="default"/>
          <w:rFonts w:cs="FrankRuehl"/>
          <w:rtl/>
        </w:rPr>
        <w:t>–</w:t>
      </w:r>
      <w:r>
        <w:rPr>
          <w:rStyle w:val="default"/>
          <w:rFonts w:cs="FrankRuehl" w:hint="cs"/>
          <w:rtl/>
        </w:rPr>
        <w:t xml:space="preserve"> סכום שלא יפחת מ-0.174% ובלבד שלא יפחת מ-1,900 אלש"ח;</w:t>
      </w:r>
    </w:p>
    <w:p w:rsidR="00910DB9" w:rsidRDefault="00910DB9" w:rsidP="00910DB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תקציבה השנתי עולה על 1,150 מלש"ח ואינו עולה על 1,300 מלש"ח </w:t>
      </w:r>
      <w:r>
        <w:rPr>
          <w:rStyle w:val="default"/>
          <w:rFonts w:cs="FrankRuehl"/>
          <w:rtl/>
        </w:rPr>
        <w:t>–</w:t>
      </w:r>
      <w:r>
        <w:rPr>
          <w:rStyle w:val="default"/>
          <w:rFonts w:cs="FrankRuehl" w:hint="cs"/>
          <w:rtl/>
        </w:rPr>
        <w:t xml:space="preserve"> סכום שלא יפחת מ-0.162% ובלבד שלא יפחת מ-2,000 אלש"ח;</w:t>
      </w:r>
    </w:p>
    <w:p w:rsidR="00910DB9" w:rsidRDefault="00910DB9" w:rsidP="00910DB9">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תקציבה השנתי עולה על 1,300 מלש"ח </w:t>
      </w:r>
      <w:r>
        <w:rPr>
          <w:rStyle w:val="default"/>
          <w:rFonts w:cs="FrankRuehl"/>
          <w:rtl/>
        </w:rPr>
        <w:t>–</w:t>
      </w:r>
      <w:r>
        <w:rPr>
          <w:rStyle w:val="default"/>
          <w:rFonts w:cs="FrankRuehl" w:hint="cs"/>
          <w:rtl/>
        </w:rPr>
        <w:t xml:space="preserve"> סכום שלא יפחת מ-0.16% ובלבד שלא יפחת מ-2,100 אלש"ח;</w:t>
      </w:r>
    </w:p>
    <w:p w:rsidR="00356E63" w:rsidRDefault="00356E63" w:rsidP="00356E63">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בעירייה שמספר תושביה עולה על 2</w:t>
      </w:r>
      <w:r w:rsidR="00137474">
        <w:rPr>
          <w:rStyle w:val="default"/>
          <w:rFonts w:cs="FrankRuehl" w:hint="cs"/>
          <w:rtl/>
        </w:rPr>
        <w:t>5</w:t>
      </w:r>
      <w:r>
        <w:rPr>
          <w:rStyle w:val="default"/>
          <w:rFonts w:cs="FrankRuehl" w:hint="cs"/>
          <w:rtl/>
        </w:rPr>
        <w:t xml:space="preserve">0,000 </w:t>
      </w:r>
      <w:r w:rsidR="00164FE4">
        <w:rPr>
          <w:rStyle w:val="default"/>
          <w:rFonts w:cs="FrankRuehl" w:hint="cs"/>
          <w:rtl/>
        </w:rPr>
        <w:t>ו</w:t>
      </w:r>
      <w:r>
        <w:rPr>
          <w:rStyle w:val="default"/>
          <w:rFonts w:cs="FrankRuehl" w:hint="cs"/>
          <w:rtl/>
        </w:rPr>
        <w:t xml:space="preserve">אינו עולה על </w:t>
      </w:r>
      <w:r w:rsidR="00137474">
        <w:rPr>
          <w:rStyle w:val="default"/>
          <w:rFonts w:cs="FrankRuehl" w:hint="cs"/>
          <w:rtl/>
        </w:rPr>
        <w:t>300</w:t>
      </w:r>
      <w:r>
        <w:rPr>
          <w:rStyle w:val="default"/>
          <w:rFonts w:cs="FrankRuehl" w:hint="cs"/>
          <w:rtl/>
        </w:rPr>
        <w:t xml:space="preserve">,000 </w:t>
      </w:r>
      <w:r>
        <w:rPr>
          <w:rStyle w:val="default"/>
          <w:rFonts w:cs="FrankRuehl"/>
          <w:rtl/>
        </w:rPr>
        <w:t>–</w:t>
      </w:r>
    </w:p>
    <w:p w:rsidR="00356E63" w:rsidRDefault="00356E63" w:rsidP="00356E6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תקציבה השנתי אינו עולה על 1,</w:t>
      </w:r>
      <w:r w:rsidR="000D6F8D">
        <w:rPr>
          <w:rStyle w:val="default"/>
          <w:rFonts w:cs="FrankRuehl" w:hint="cs"/>
          <w:rtl/>
        </w:rPr>
        <w:t>450</w:t>
      </w:r>
      <w:r>
        <w:rPr>
          <w:rStyle w:val="default"/>
          <w:rFonts w:cs="FrankRuehl" w:hint="cs"/>
          <w:rtl/>
        </w:rPr>
        <w:t xml:space="preserve"> מלש"ח </w:t>
      </w:r>
      <w:r>
        <w:rPr>
          <w:rStyle w:val="default"/>
          <w:rFonts w:cs="FrankRuehl"/>
          <w:rtl/>
        </w:rPr>
        <w:t>–</w:t>
      </w:r>
      <w:r>
        <w:rPr>
          <w:rStyle w:val="default"/>
          <w:rFonts w:cs="FrankRuehl" w:hint="cs"/>
          <w:rtl/>
        </w:rPr>
        <w:t xml:space="preserve"> סכום שלא יפחת מ-0.</w:t>
      </w:r>
      <w:r w:rsidR="000D6F8D">
        <w:rPr>
          <w:rStyle w:val="default"/>
          <w:rFonts w:cs="FrankRuehl" w:hint="cs"/>
          <w:rtl/>
        </w:rPr>
        <w:t>172</w:t>
      </w:r>
      <w:r>
        <w:rPr>
          <w:rStyle w:val="default"/>
          <w:rFonts w:cs="FrankRuehl" w:hint="cs"/>
          <w:rtl/>
        </w:rPr>
        <w:t>%, ובלבד שלא יפחת מ-</w:t>
      </w:r>
      <w:r w:rsidR="000D6F8D">
        <w:rPr>
          <w:rStyle w:val="default"/>
          <w:rFonts w:cs="FrankRuehl" w:hint="cs"/>
          <w:rtl/>
        </w:rPr>
        <w:t>2,3</w:t>
      </w:r>
      <w:r>
        <w:rPr>
          <w:rStyle w:val="default"/>
          <w:rFonts w:cs="FrankRuehl" w:hint="cs"/>
          <w:rtl/>
        </w:rPr>
        <w:t>00 אלש"ח;</w:t>
      </w:r>
    </w:p>
    <w:p w:rsidR="00356E63" w:rsidRDefault="00356E63" w:rsidP="00356E6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תקציבה השנתי עולה על 1,</w:t>
      </w:r>
      <w:r w:rsidR="000D6F8D">
        <w:rPr>
          <w:rStyle w:val="default"/>
          <w:rFonts w:cs="FrankRuehl" w:hint="cs"/>
          <w:rtl/>
        </w:rPr>
        <w:t>450</w:t>
      </w:r>
      <w:r>
        <w:rPr>
          <w:rStyle w:val="default"/>
          <w:rFonts w:cs="FrankRuehl" w:hint="cs"/>
          <w:rtl/>
        </w:rPr>
        <w:t xml:space="preserve"> מלש"ח ואינו עולה על 1,</w:t>
      </w:r>
      <w:r w:rsidR="000D6F8D">
        <w:rPr>
          <w:rStyle w:val="default"/>
          <w:rFonts w:cs="FrankRuehl" w:hint="cs"/>
          <w:rtl/>
        </w:rPr>
        <w:t>600</w:t>
      </w:r>
      <w:r>
        <w:rPr>
          <w:rStyle w:val="default"/>
          <w:rFonts w:cs="FrankRuehl" w:hint="cs"/>
          <w:rtl/>
        </w:rPr>
        <w:t xml:space="preserve"> מלש"ח </w:t>
      </w:r>
      <w:r>
        <w:rPr>
          <w:rStyle w:val="default"/>
          <w:rFonts w:cs="FrankRuehl"/>
          <w:rtl/>
        </w:rPr>
        <w:t>–</w:t>
      </w:r>
      <w:r>
        <w:rPr>
          <w:rStyle w:val="default"/>
          <w:rFonts w:cs="FrankRuehl" w:hint="cs"/>
          <w:rtl/>
        </w:rPr>
        <w:t xml:space="preserve"> סכום שלא יפחת מ-0.</w:t>
      </w:r>
      <w:r w:rsidR="000D6F8D">
        <w:rPr>
          <w:rStyle w:val="default"/>
          <w:rFonts w:cs="FrankRuehl" w:hint="cs"/>
          <w:rtl/>
        </w:rPr>
        <w:t>162</w:t>
      </w:r>
      <w:r>
        <w:rPr>
          <w:rStyle w:val="default"/>
          <w:rFonts w:cs="FrankRuehl" w:hint="cs"/>
          <w:rtl/>
        </w:rPr>
        <w:t>% ובלבד שלא יפחת מ-</w:t>
      </w:r>
      <w:r w:rsidR="000D6F8D">
        <w:rPr>
          <w:rStyle w:val="default"/>
          <w:rFonts w:cs="FrankRuehl" w:hint="cs"/>
          <w:rtl/>
        </w:rPr>
        <w:t>2,5</w:t>
      </w:r>
      <w:r>
        <w:rPr>
          <w:rStyle w:val="default"/>
          <w:rFonts w:cs="FrankRuehl" w:hint="cs"/>
          <w:rtl/>
        </w:rPr>
        <w:t>00 אלש"ח;</w:t>
      </w:r>
    </w:p>
    <w:p w:rsidR="00356E63" w:rsidRDefault="00356E63" w:rsidP="00356E63">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תקציבה השנתי עולה על 1,</w:t>
      </w:r>
      <w:r w:rsidR="00164FE4">
        <w:rPr>
          <w:rStyle w:val="default"/>
          <w:rFonts w:cs="FrankRuehl" w:hint="cs"/>
          <w:rtl/>
        </w:rPr>
        <w:t>600</w:t>
      </w:r>
      <w:r>
        <w:rPr>
          <w:rStyle w:val="default"/>
          <w:rFonts w:cs="FrankRuehl" w:hint="cs"/>
          <w:rtl/>
        </w:rPr>
        <w:t xml:space="preserve"> מלש"ח ואינו עולה על 1,</w:t>
      </w:r>
      <w:r w:rsidR="00164FE4">
        <w:rPr>
          <w:rStyle w:val="default"/>
          <w:rFonts w:cs="FrankRuehl" w:hint="cs"/>
          <w:rtl/>
        </w:rPr>
        <w:t>750</w:t>
      </w:r>
      <w:r>
        <w:rPr>
          <w:rStyle w:val="default"/>
          <w:rFonts w:cs="FrankRuehl" w:hint="cs"/>
          <w:rtl/>
        </w:rPr>
        <w:t xml:space="preserve"> מלש"ח </w:t>
      </w:r>
      <w:r>
        <w:rPr>
          <w:rStyle w:val="default"/>
          <w:rFonts w:cs="FrankRuehl"/>
          <w:rtl/>
        </w:rPr>
        <w:t>–</w:t>
      </w:r>
      <w:r>
        <w:rPr>
          <w:rStyle w:val="default"/>
          <w:rFonts w:cs="FrankRuehl" w:hint="cs"/>
          <w:rtl/>
        </w:rPr>
        <w:t xml:space="preserve"> סכום שלא יפחת מ-0.</w:t>
      </w:r>
      <w:r w:rsidR="00164FE4">
        <w:rPr>
          <w:rStyle w:val="default"/>
          <w:rFonts w:cs="FrankRuehl" w:hint="cs"/>
          <w:rtl/>
        </w:rPr>
        <w:t>154</w:t>
      </w:r>
      <w:r>
        <w:rPr>
          <w:rStyle w:val="default"/>
          <w:rFonts w:cs="FrankRuehl" w:hint="cs"/>
          <w:rtl/>
        </w:rPr>
        <w:t>% ובלבד שלא יפחת מ-2,</w:t>
      </w:r>
      <w:r w:rsidR="00164FE4">
        <w:rPr>
          <w:rStyle w:val="default"/>
          <w:rFonts w:cs="FrankRuehl" w:hint="cs"/>
          <w:rtl/>
        </w:rPr>
        <w:t>6</w:t>
      </w:r>
      <w:r>
        <w:rPr>
          <w:rStyle w:val="default"/>
          <w:rFonts w:cs="FrankRuehl" w:hint="cs"/>
          <w:rtl/>
        </w:rPr>
        <w:t>00 אלש"ח;</w:t>
      </w:r>
    </w:p>
    <w:p w:rsidR="00356E63" w:rsidRDefault="00356E63" w:rsidP="00356E63">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תקציבה השנתי עולה על 1,</w:t>
      </w:r>
      <w:r w:rsidR="00164FE4">
        <w:rPr>
          <w:rStyle w:val="default"/>
          <w:rFonts w:cs="FrankRuehl" w:hint="cs"/>
          <w:rtl/>
        </w:rPr>
        <w:t>750</w:t>
      </w:r>
      <w:r>
        <w:rPr>
          <w:rStyle w:val="default"/>
          <w:rFonts w:cs="FrankRuehl" w:hint="cs"/>
          <w:rtl/>
        </w:rPr>
        <w:t xml:space="preserve"> מלש"ח </w:t>
      </w:r>
      <w:r>
        <w:rPr>
          <w:rStyle w:val="default"/>
          <w:rFonts w:cs="FrankRuehl"/>
          <w:rtl/>
        </w:rPr>
        <w:t>–</w:t>
      </w:r>
      <w:r>
        <w:rPr>
          <w:rStyle w:val="default"/>
          <w:rFonts w:cs="FrankRuehl" w:hint="cs"/>
          <w:rtl/>
        </w:rPr>
        <w:t xml:space="preserve"> סכום שלא יפחת מ-0.16% ובלבד שלא יפחת מ-2,</w:t>
      </w:r>
      <w:r w:rsidR="00164FE4">
        <w:rPr>
          <w:rStyle w:val="default"/>
          <w:rFonts w:cs="FrankRuehl" w:hint="cs"/>
          <w:rtl/>
        </w:rPr>
        <w:t>7</w:t>
      </w:r>
      <w:r>
        <w:rPr>
          <w:rStyle w:val="default"/>
          <w:rFonts w:cs="FrankRuehl" w:hint="cs"/>
          <w:rtl/>
        </w:rPr>
        <w:t>00 אלש"ח;</w:t>
      </w:r>
    </w:p>
    <w:p w:rsidR="00164FE4" w:rsidRDefault="00164FE4" w:rsidP="00164FE4">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בעירייה שמספר תושביה עולה על 300,000 ואינו עולה על 400,000 </w:t>
      </w:r>
      <w:r>
        <w:rPr>
          <w:rStyle w:val="default"/>
          <w:rFonts w:cs="FrankRuehl"/>
          <w:rtl/>
        </w:rPr>
        <w:t>–</w:t>
      </w:r>
    </w:p>
    <w:p w:rsidR="00164FE4" w:rsidRDefault="00164FE4" w:rsidP="00164FE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תקציבה השנתי אינו עולה על 1,900 מלש"ח </w:t>
      </w:r>
      <w:r>
        <w:rPr>
          <w:rStyle w:val="default"/>
          <w:rFonts w:cs="FrankRuehl"/>
          <w:rtl/>
        </w:rPr>
        <w:t>–</w:t>
      </w:r>
      <w:r>
        <w:rPr>
          <w:rStyle w:val="default"/>
          <w:rFonts w:cs="FrankRuehl" w:hint="cs"/>
          <w:rtl/>
        </w:rPr>
        <w:t xml:space="preserve"> סכום שלא יפחת מ-0.144%, ובלבד שלא יפחת מ-2,700 אלש"ח;</w:t>
      </w:r>
    </w:p>
    <w:p w:rsidR="00164FE4" w:rsidRDefault="00164FE4" w:rsidP="00164FE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תקציבה השנתי עולה על 1,900 מלש"ח ואינו עולה על 2,200 מלש"ח </w:t>
      </w:r>
      <w:r>
        <w:rPr>
          <w:rStyle w:val="default"/>
          <w:rFonts w:cs="FrankRuehl"/>
          <w:rtl/>
        </w:rPr>
        <w:t>–</w:t>
      </w:r>
      <w:r>
        <w:rPr>
          <w:rStyle w:val="default"/>
          <w:rFonts w:cs="FrankRuehl" w:hint="cs"/>
          <w:rtl/>
        </w:rPr>
        <w:t xml:space="preserve"> סכום שלא יפחת מ-0.129% ובלבד שלא יפחת מ-2,750 אלש"ח;</w:t>
      </w:r>
    </w:p>
    <w:p w:rsidR="00164FE4" w:rsidRDefault="00164FE4" w:rsidP="00164FE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תקציבה השנתי עולה על 2,200 מלש"ח ואינו עולה על 2,500 מלש"ח </w:t>
      </w:r>
      <w:r>
        <w:rPr>
          <w:rStyle w:val="default"/>
          <w:rFonts w:cs="FrankRuehl"/>
          <w:rtl/>
        </w:rPr>
        <w:t>–</w:t>
      </w:r>
      <w:r>
        <w:rPr>
          <w:rStyle w:val="default"/>
          <w:rFonts w:cs="FrankRuehl" w:hint="cs"/>
          <w:rtl/>
        </w:rPr>
        <w:t xml:space="preserve"> סכום שלא יפחת מ-0.12% ובלבד שלא יפחת מ-2,850 אלש"ח;</w:t>
      </w:r>
    </w:p>
    <w:p w:rsidR="00164FE4" w:rsidRDefault="00164FE4" w:rsidP="00164FE4">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תקציבה השנתי עולה על 2,500 מלש"ח </w:t>
      </w:r>
      <w:r>
        <w:rPr>
          <w:rStyle w:val="default"/>
          <w:rFonts w:cs="FrankRuehl"/>
          <w:rtl/>
        </w:rPr>
        <w:t>–</w:t>
      </w:r>
      <w:r>
        <w:rPr>
          <w:rStyle w:val="default"/>
          <w:rFonts w:cs="FrankRuehl" w:hint="cs"/>
          <w:rtl/>
        </w:rPr>
        <w:t xml:space="preserve"> סכום שלא יפחת מ-0.16% ובלבד שלא יפחת מ-3,000 אלש"ח;</w:t>
      </w:r>
    </w:p>
    <w:p w:rsidR="00164FE4" w:rsidRDefault="00164FE4" w:rsidP="00164FE4">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בעירייה שמספר תושביה עולה על 400,000 ואינו עולה על 500,000 </w:t>
      </w:r>
      <w:r>
        <w:rPr>
          <w:rStyle w:val="default"/>
          <w:rFonts w:cs="FrankRuehl"/>
          <w:rtl/>
        </w:rPr>
        <w:t>–</w:t>
      </w:r>
    </w:p>
    <w:p w:rsidR="00164FE4" w:rsidRDefault="00164FE4" w:rsidP="00164FE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תקציבה השנתי אינו עולה על 2,000 מלש"ח </w:t>
      </w:r>
      <w:r>
        <w:rPr>
          <w:rStyle w:val="default"/>
          <w:rFonts w:cs="FrankRuehl"/>
          <w:rtl/>
        </w:rPr>
        <w:t>–</w:t>
      </w:r>
      <w:r>
        <w:rPr>
          <w:rStyle w:val="default"/>
          <w:rFonts w:cs="FrankRuehl" w:hint="cs"/>
          <w:rtl/>
        </w:rPr>
        <w:t xml:space="preserve"> סכום שלא יפחת מ-0.155%, ובלבד שלא יפחת מ-3,000 אלש"ח;</w:t>
      </w:r>
    </w:p>
    <w:p w:rsidR="00164FE4" w:rsidRDefault="00164FE4" w:rsidP="00164FE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תקציבה השנתי עולה על 2,000 מלש"ח ואינו עולה על 3,000 מלש"ח </w:t>
      </w:r>
      <w:r>
        <w:rPr>
          <w:rStyle w:val="default"/>
          <w:rFonts w:cs="FrankRuehl"/>
          <w:rtl/>
        </w:rPr>
        <w:t>–</w:t>
      </w:r>
      <w:r>
        <w:rPr>
          <w:rStyle w:val="default"/>
          <w:rFonts w:cs="FrankRuehl" w:hint="cs"/>
          <w:rtl/>
        </w:rPr>
        <w:t xml:space="preserve"> סכום שלא יפחת מ-0.11% ובלבד שלא יפחת מ-3,100 אלש"ח;</w:t>
      </w:r>
    </w:p>
    <w:p w:rsidR="00164FE4" w:rsidRDefault="00164FE4" w:rsidP="00164FE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תקציבה השנתי עולה על 3,000 מלש"ח ואינו עולה על 4,000 מלש"ח </w:t>
      </w:r>
      <w:r>
        <w:rPr>
          <w:rStyle w:val="default"/>
          <w:rFonts w:cs="FrankRuehl"/>
          <w:rtl/>
        </w:rPr>
        <w:t>–</w:t>
      </w:r>
      <w:r>
        <w:rPr>
          <w:rStyle w:val="default"/>
          <w:rFonts w:cs="FrankRuehl" w:hint="cs"/>
          <w:rtl/>
        </w:rPr>
        <w:t xml:space="preserve"> סכום שלא יפחת מ-0.125% ובלבד שלא יפחת מ-3,300 אלש"ח;</w:t>
      </w:r>
    </w:p>
    <w:p w:rsidR="00164FE4" w:rsidRDefault="00164FE4" w:rsidP="00164FE4">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תקציבה השנתי עולה על 4,000 מלש"ח </w:t>
      </w:r>
      <w:r>
        <w:rPr>
          <w:rStyle w:val="default"/>
          <w:rFonts w:cs="FrankRuehl"/>
          <w:rtl/>
        </w:rPr>
        <w:t>–</w:t>
      </w:r>
      <w:r>
        <w:rPr>
          <w:rStyle w:val="default"/>
          <w:rFonts w:cs="FrankRuehl" w:hint="cs"/>
          <w:rtl/>
        </w:rPr>
        <w:t xml:space="preserve"> סכום שלא יפחת מ-0.16% ובלבד שלא יפחת מ-5,000 אלש"ח;</w:t>
      </w:r>
    </w:p>
    <w:p w:rsidR="00164FE4" w:rsidRDefault="00164FE4" w:rsidP="00164FE4">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בעירייה שמספר תושביה עולה על 500,000 ואינו עולה על 750,000 </w:t>
      </w:r>
      <w:r>
        <w:rPr>
          <w:rStyle w:val="default"/>
          <w:rFonts w:cs="FrankRuehl"/>
          <w:rtl/>
        </w:rPr>
        <w:t>–</w:t>
      </w:r>
    </w:p>
    <w:p w:rsidR="00164FE4" w:rsidRDefault="00164FE4" w:rsidP="00164FE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תקציבה השנתי אינו עולה על 2,000 מלש"ח </w:t>
      </w:r>
      <w:r>
        <w:rPr>
          <w:rStyle w:val="default"/>
          <w:rFonts w:cs="FrankRuehl"/>
          <w:rtl/>
        </w:rPr>
        <w:t>–</w:t>
      </w:r>
      <w:r>
        <w:rPr>
          <w:rStyle w:val="default"/>
          <w:rFonts w:cs="FrankRuehl" w:hint="cs"/>
          <w:rtl/>
        </w:rPr>
        <w:t xml:space="preserve"> סכום שלא יפחת מ-0.215%, ובלבד שלא יפחת מ-3,200 אלש"ח;</w:t>
      </w:r>
    </w:p>
    <w:p w:rsidR="00164FE4" w:rsidRDefault="00164FE4" w:rsidP="00164FE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תקציבה השנתי עולה על 2,000 מלש"ח ואינו עולה על 3,000 מלש"ח </w:t>
      </w:r>
      <w:r>
        <w:rPr>
          <w:rStyle w:val="default"/>
          <w:rFonts w:cs="FrankRuehl"/>
          <w:rtl/>
        </w:rPr>
        <w:t>–</w:t>
      </w:r>
      <w:r>
        <w:rPr>
          <w:rStyle w:val="default"/>
          <w:rFonts w:cs="FrankRuehl" w:hint="cs"/>
          <w:rtl/>
        </w:rPr>
        <w:t xml:space="preserve"> סכום שלא יפחת מ-0.20% ובלבד שלא יפחת מ-4,300 אלש"ח;</w:t>
      </w:r>
    </w:p>
    <w:p w:rsidR="00164FE4" w:rsidRDefault="00164FE4" w:rsidP="00164FE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תקציבה השנתי עולה על 3,000 מלש"ח ואינו עולה על 4,000 מלש"ח </w:t>
      </w:r>
      <w:r>
        <w:rPr>
          <w:rStyle w:val="default"/>
          <w:rFonts w:cs="FrankRuehl"/>
          <w:rtl/>
        </w:rPr>
        <w:t>–</w:t>
      </w:r>
      <w:r>
        <w:rPr>
          <w:rStyle w:val="default"/>
          <w:rFonts w:cs="FrankRuehl" w:hint="cs"/>
          <w:rtl/>
        </w:rPr>
        <w:t xml:space="preserve"> סכום שלא יפחת מ-0.172% ובלבד שלא יפחת מ-6,000 אלש"ח;</w:t>
      </w:r>
    </w:p>
    <w:p w:rsidR="00164FE4" w:rsidRDefault="00164FE4" w:rsidP="00164FE4">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תקציבה השנתי עולה על 4,000 מלש"ח </w:t>
      </w:r>
      <w:r>
        <w:rPr>
          <w:rStyle w:val="default"/>
          <w:rFonts w:cs="FrankRuehl"/>
          <w:rtl/>
        </w:rPr>
        <w:t>–</w:t>
      </w:r>
      <w:r>
        <w:rPr>
          <w:rStyle w:val="default"/>
          <w:rFonts w:cs="FrankRuehl" w:hint="cs"/>
          <w:rtl/>
        </w:rPr>
        <w:t xml:space="preserve"> סכום שלא יפחת מ-0.163% ובלבד שלא יפחת מ-6,900 אלש"ח;</w:t>
      </w:r>
    </w:p>
    <w:p w:rsidR="00164FE4" w:rsidRDefault="00164FE4" w:rsidP="00164FE4">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בעירייה שמספר תושביה עולה על 750,000 ואינו עולה על 1,000,000 </w:t>
      </w:r>
      <w:r>
        <w:rPr>
          <w:rStyle w:val="default"/>
          <w:rFonts w:cs="FrankRuehl"/>
          <w:rtl/>
        </w:rPr>
        <w:t>–</w:t>
      </w:r>
    </w:p>
    <w:p w:rsidR="00164FE4" w:rsidRDefault="00164FE4" w:rsidP="00164FE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תקציבה השנתי אינו עולה על 2,000 מלש"ח </w:t>
      </w:r>
      <w:r>
        <w:rPr>
          <w:rStyle w:val="default"/>
          <w:rFonts w:cs="FrankRuehl"/>
          <w:rtl/>
        </w:rPr>
        <w:t>–</w:t>
      </w:r>
      <w:r>
        <w:rPr>
          <w:rStyle w:val="default"/>
          <w:rFonts w:cs="FrankRuehl" w:hint="cs"/>
          <w:rtl/>
        </w:rPr>
        <w:t xml:space="preserve"> סכום שלא יפחת מ-0.235%, ובלבד שלא יפחת מ-3,400 אלש"ח;</w:t>
      </w:r>
    </w:p>
    <w:p w:rsidR="00164FE4" w:rsidRDefault="00164FE4" w:rsidP="00164FE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תקציבה השנתי עולה על 2,000 מלש"ח ואינו עולה על 3,000 מלש"ח </w:t>
      </w:r>
      <w:r>
        <w:rPr>
          <w:rStyle w:val="default"/>
          <w:rFonts w:cs="FrankRuehl"/>
          <w:rtl/>
        </w:rPr>
        <w:t>–</w:t>
      </w:r>
      <w:r>
        <w:rPr>
          <w:rStyle w:val="default"/>
          <w:rFonts w:cs="FrankRuehl" w:hint="cs"/>
          <w:rtl/>
        </w:rPr>
        <w:t xml:space="preserve"> סכום שלא יפחת מ-0.22% ובלבד שלא יפחת מ-4,700 אלש"ח;</w:t>
      </w:r>
    </w:p>
    <w:p w:rsidR="00164FE4" w:rsidRDefault="00164FE4" w:rsidP="00164FE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תקציבה השנתי עולה על 3,000 מלש"ח ואינו עולה על 4,000 מלש"ח </w:t>
      </w:r>
      <w:r>
        <w:rPr>
          <w:rStyle w:val="default"/>
          <w:rFonts w:cs="FrankRuehl"/>
          <w:rtl/>
        </w:rPr>
        <w:t>–</w:t>
      </w:r>
      <w:r>
        <w:rPr>
          <w:rStyle w:val="default"/>
          <w:rFonts w:cs="FrankRuehl" w:hint="cs"/>
          <w:rtl/>
        </w:rPr>
        <w:t xml:space="preserve"> סכום שלא יפחת מ-0.197% ובלבד שלא יפחת מ-6,600 אלש"ח;</w:t>
      </w:r>
    </w:p>
    <w:p w:rsidR="00164FE4" w:rsidRDefault="00164FE4" w:rsidP="00164FE4">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תקציבה השנתי עולה על 4,000 מלש"ח </w:t>
      </w:r>
      <w:r>
        <w:rPr>
          <w:rStyle w:val="default"/>
          <w:rFonts w:cs="FrankRuehl"/>
          <w:rtl/>
        </w:rPr>
        <w:t>–</w:t>
      </w:r>
      <w:r>
        <w:rPr>
          <w:rStyle w:val="default"/>
          <w:rFonts w:cs="FrankRuehl" w:hint="cs"/>
          <w:rtl/>
        </w:rPr>
        <w:t xml:space="preserve"> סכום שלא יפחת מ-0.192% ובלבד שלא יפחת מ-7,900 אלש"ח;</w:t>
      </w:r>
    </w:p>
    <w:p w:rsidR="00164FE4" w:rsidRDefault="00164FE4" w:rsidP="00164FE4">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בעירייה שמספר תושביה עולה על 1,000,000 </w:t>
      </w:r>
      <w:r>
        <w:rPr>
          <w:rStyle w:val="default"/>
          <w:rFonts w:cs="FrankRuehl"/>
          <w:rtl/>
        </w:rPr>
        <w:t>–</w:t>
      </w:r>
    </w:p>
    <w:p w:rsidR="00164FE4" w:rsidRDefault="00164FE4" w:rsidP="00164FE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תקציבה השנתי אינו עולה על 2,000 מלש"ח </w:t>
      </w:r>
      <w:r>
        <w:rPr>
          <w:rStyle w:val="default"/>
          <w:rFonts w:cs="FrankRuehl"/>
          <w:rtl/>
        </w:rPr>
        <w:t>–</w:t>
      </w:r>
      <w:r>
        <w:rPr>
          <w:rStyle w:val="default"/>
          <w:rFonts w:cs="FrankRuehl" w:hint="cs"/>
          <w:rtl/>
        </w:rPr>
        <w:t xml:space="preserve"> סכום שלא יפחת מ-0.</w:t>
      </w:r>
      <w:r w:rsidR="00991EAC">
        <w:rPr>
          <w:rStyle w:val="default"/>
          <w:rFonts w:cs="FrankRuehl" w:hint="cs"/>
          <w:rtl/>
        </w:rPr>
        <w:t>265</w:t>
      </w:r>
      <w:r>
        <w:rPr>
          <w:rStyle w:val="default"/>
          <w:rFonts w:cs="FrankRuehl" w:hint="cs"/>
          <w:rtl/>
        </w:rPr>
        <w:t>%, ובלבד שלא יפחת מ-3,</w:t>
      </w:r>
      <w:r w:rsidR="00991EAC">
        <w:rPr>
          <w:rStyle w:val="default"/>
          <w:rFonts w:cs="FrankRuehl" w:hint="cs"/>
          <w:rtl/>
        </w:rPr>
        <w:t>6</w:t>
      </w:r>
      <w:r>
        <w:rPr>
          <w:rStyle w:val="default"/>
          <w:rFonts w:cs="FrankRuehl" w:hint="cs"/>
          <w:rtl/>
        </w:rPr>
        <w:t>00 אלש"ח;</w:t>
      </w:r>
    </w:p>
    <w:p w:rsidR="00164FE4" w:rsidRDefault="00164FE4" w:rsidP="00164FE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תקציבה השנתי עולה על 2,000 מלש"ח ואינו עולה על 3,000 מלש"ח </w:t>
      </w:r>
      <w:r>
        <w:rPr>
          <w:rStyle w:val="default"/>
          <w:rFonts w:cs="FrankRuehl"/>
          <w:rtl/>
        </w:rPr>
        <w:t>–</w:t>
      </w:r>
      <w:r>
        <w:rPr>
          <w:rStyle w:val="default"/>
          <w:rFonts w:cs="FrankRuehl" w:hint="cs"/>
          <w:rtl/>
        </w:rPr>
        <w:t xml:space="preserve"> סכום שלא יפחת מ-0.</w:t>
      </w:r>
      <w:r w:rsidR="00991EAC">
        <w:rPr>
          <w:rStyle w:val="default"/>
          <w:rFonts w:cs="FrankRuehl" w:hint="cs"/>
          <w:rtl/>
        </w:rPr>
        <w:t>24</w:t>
      </w:r>
      <w:r>
        <w:rPr>
          <w:rStyle w:val="default"/>
          <w:rFonts w:cs="FrankRuehl" w:hint="cs"/>
          <w:rtl/>
        </w:rPr>
        <w:t>% ובלבד שלא יפחת מ-</w:t>
      </w:r>
      <w:r w:rsidR="00991EAC">
        <w:rPr>
          <w:rStyle w:val="default"/>
          <w:rFonts w:cs="FrankRuehl" w:hint="cs"/>
          <w:rtl/>
        </w:rPr>
        <w:t>5,3</w:t>
      </w:r>
      <w:r>
        <w:rPr>
          <w:rStyle w:val="default"/>
          <w:rFonts w:cs="FrankRuehl" w:hint="cs"/>
          <w:rtl/>
        </w:rPr>
        <w:t>00 אלש"ח;</w:t>
      </w:r>
    </w:p>
    <w:p w:rsidR="00164FE4" w:rsidRDefault="00164FE4" w:rsidP="00164FE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תקציבה השנתי עולה על 3,000 מלש"ח ואינו עולה על 4,000 מלש"ח </w:t>
      </w:r>
      <w:r>
        <w:rPr>
          <w:rStyle w:val="default"/>
          <w:rFonts w:cs="FrankRuehl"/>
          <w:rtl/>
        </w:rPr>
        <w:t>–</w:t>
      </w:r>
      <w:r>
        <w:rPr>
          <w:rStyle w:val="default"/>
          <w:rFonts w:cs="FrankRuehl" w:hint="cs"/>
          <w:rtl/>
        </w:rPr>
        <w:t xml:space="preserve"> סכום שלא יפחת מ-0.</w:t>
      </w:r>
      <w:r w:rsidR="00991EAC">
        <w:rPr>
          <w:rStyle w:val="default"/>
          <w:rFonts w:cs="FrankRuehl" w:hint="cs"/>
          <w:rtl/>
        </w:rPr>
        <w:t>217</w:t>
      </w:r>
      <w:r>
        <w:rPr>
          <w:rStyle w:val="default"/>
          <w:rFonts w:cs="FrankRuehl" w:hint="cs"/>
          <w:rtl/>
        </w:rPr>
        <w:t>% ובלבד שלא יפחת מ-</w:t>
      </w:r>
      <w:r w:rsidR="00991EAC">
        <w:rPr>
          <w:rStyle w:val="default"/>
          <w:rFonts w:cs="FrankRuehl" w:hint="cs"/>
          <w:rtl/>
        </w:rPr>
        <w:t>7,2</w:t>
      </w:r>
      <w:r>
        <w:rPr>
          <w:rStyle w:val="default"/>
          <w:rFonts w:cs="FrankRuehl" w:hint="cs"/>
          <w:rtl/>
        </w:rPr>
        <w:t>00 אלש"ח;</w:t>
      </w:r>
    </w:p>
    <w:p w:rsidR="00164FE4" w:rsidRDefault="00164FE4" w:rsidP="00164FE4">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תקציבה השנתי עולה על 4,000 מלש"ח </w:t>
      </w:r>
      <w:r>
        <w:rPr>
          <w:rStyle w:val="default"/>
          <w:rFonts w:cs="FrankRuehl"/>
          <w:rtl/>
        </w:rPr>
        <w:t>–</w:t>
      </w:r>
      <w:r>
        <w:rPr>
          <w:rStyle w:val="default"/>
          <w:rFonts w:cs="FrankRuehl" w:hint="cs"/>
          <w:rtl/>
        </w:rPr>
        <w:t xml:space="preserve"> סכום שלא יפחת מ-0.</w:t>
      </w:r>
      <w:r w:rsidR="00991EAC">
        <w:rPr>
          <w:rStyle w:val="default"/>
          <w:rFonts w:cs="FrankRuehl" w:hint="cs"/>
          <w:rtl/>
        </w:rPr>
        <w:t>202</w:t>
      </w:r>
      <w:r>
        <w:rPr>
          <w:rStyle w:val="default"/>
          <w:rFonts w:cs="FrankRuehl" w:hint="cs"/>
          <w:rtl/>
        </w:rPr>
        <w:t>% ובלבד שלא יפחת מ-</w:t>
      </w:r>
      <w:r w:rsidR="00991EAC">
        <w:rPr>
          <w:rStyle w:val="default"/>
          <w:rFonts w:cs="FrankRuehl" w:hint="cs"/>
          <w:rtl/>
        </w:rPr>
        <w:t>8,7</w:t>
      </w:r>
      <w:r>
        <w:rPr>
          <w:rStyle w:val="default"/>
          <w:rFonts w:cs="FrankRuehl" w:hint="cs"/>
          <w:rtl/>
        </w:rPr>
        <w:t>00 אלש"ח</w:t>
      </w:r>
      <w:r w:rsidR="00991EAC">
        <w:rPr>
          <w:rStyle w:val="default"/>
          <w:rFonts w:cs="FrankRuehl" w:hint="cs"/>
          <w:rtl/>
        </w:rPr>
        <w:t>.</w:t>
      </w:r>
    </w:p>
    <w:p w:rsidR="00A8718C" w:rsidRDefault="00A8718C">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1.65pt;z-index:251659264" o:allowincell="f" filled="f" stroked="f" strokecolor="lime" strokeweight=".25pt">
            <v:textbox inset="0,0,0,0">
              <w:txbxContent>
                <w:p w:rsidR="00164FE4" w:rsidRDefault="00991EAC">
                  <w:pPr>
                    <w:spacing w:line="160" w:lineRule="exact"/>
                    <w:jc w:val="left"/>
                    <w:rPr>
                      <w:rFonts w:cs="Miriam"/>
                      <w:noProof/>
                      <w:sz w:val="18"/>
                      <w:szCs w:val="18"/>
                      <w:rtl/>
                    </w:rPr>
                  </w:pPr>
                  <w:r>
                    <w:rPr>
                      <w:rFonts w:cs="Miriam" w:hint="cs"/>
                      <w:sz w:val="18"/>
                      <w:szCs w:val="18"/>
                      <w:rtl/>
                    </w:rPr>
                    <w:t>תחילה</w:t>
                  </w:r>
                </w:p>
              </w:txbxContent>
            </v:textbox>
            <w10:anchorlock/>
          </v:rect>
        </w:pict>
      </w:r>
      <w:r>
        <w:rPr>
          <w:rStyle w:val="big-number"/>
          <w:rFonts w:cs="Miriam"/>
          <w:rtl/>
        </w:rPr>
        <w:t>4.</w:t>
      </w:r>
      <w:r>
        <w:rPr>
          <w:rStyle w:val="big-number"/>
          <w:rFonts w:cs="Miriam"/>
          <w:rtl/>
        </w:rPr>
        <w:tab/>
      </w:r>
      <w:r w:rsidR="00991EAC">
        <w:rPr>
          <w:rStyle w:val="default"/>
          <w:rFonts w:cs="FrankRuehl" w:hint="cs"/>
          <w:rtl/>
        </w:rPr>
        <w:t>תחילתן של תקנות אלה ביום כ"ז באייר התשע"ט (1 ביוני 2019)</w:t>
      </w:r>
      <w:r>
        <w:rPr>
          <w:rStyle w:val="default"/>
          <w:rFonts w:cs="FrankRuehl" w:hint="cs"/>
          <w:rtl/>
        </w:rPr>
        <w:t>.</w:t>
      </w:r>
    </w:p>
    <w:p w:rsidR="000327E8" w:rsidRDefault="000327E8">
      <w:pPr>
        <w:pStyle w:val="P00"/>
        <w:spacing w:before="72"/>
        <w:ind w:left="0" w:right="1134"/>
        <w:rPr>
          <w:rStyle w:val="default"/>
          <w:rFonts w:cs="FrankRuehl"/>
          <w:rtl/>
        </w:rPr>
      </w:pPr>
    </w:p>
    <w:p w:rsidR="000305FB" w:rsidRDefault="000305FB">
      <w:pPr>
        <w:pStyle w:val="P00"/>
        <w:spacing w:before="72"/>
        <w:ind w:left="0" w:right="1134"/>
        <w:rPr>
          <w:rStyle w:val="default"/>
          <w:rFonts w:cs="FrankRuehl" w:hint="cs"/>
          <w:rtl/>
        </w:rPr>
      </w:pPr>
    </w:p>
    <w:p w:rsidR="00A8718C" w:rsidRDefault="00991EAC" w:rsidP="00991EAC">
      <w:pPr>
        <w:pStyle w:val="sig-0"/>
        <w:tabs>
          <w:tab w:val="clear" w:pos="4820"/>
          <w:tab w:val="center" w:pos="5670"/>
        </w:tabs>
        <w:spacing w:before="72"/>
        <w:ind w:left="0" w:right="1134"/>
        <w:rPr>
          <w:rFonts w:cs="FrankRuehl"/>
          <w:sz w:val="26"/>
          <w:rtl/>
        </w:rPr>
      </w:pPr>
      <w:r>
        <w:rPr>
          <w:rFonts w:cs="FrankRuehl" w:hint="cs"/>
          <w:sz w:val="26"/>
          <w:rtl/>
        </w:rPr>
        <w:t>כ"ז בתמוז התשע"ח (10 ביולי 2018</w:t>
      </w:r>
      <w:r w:rsidR="00A8718C">
        <w:rPr>
          <w:rFonts w:cs="FrankRuehl"/>
          <w:sz w:val="26"/>
          <w:rtl/>
        </w:rPr>
        <w:t>)</w:t>
      </w:r>
      <w:r w:rsidR="00A8718C">
        <w:rPr>
          <w:rFonts w:cs="FrankRuehl"/>
          <w:sz w:val="26"/>
          <w:rtl/>
        </w:rPr>
        <w:tab/>
      </w:r>
      <w:r>
        <w:rPr>
          <w:rFonts w:cs="FrankRuehl" w:hint="cs"/>
          <w:sz w:val="26"/>
          <w:rtl/>
        </w:rPr>
        <w:t>אריה מכלוף דרעי</w:t>
      </w:r>
    </w:p>
    <w:p w:rsidR="00A8718C" w:rsidRDefault="00A8718C" w:rsidP="00991EAC">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הפנים</w:t>
      </w:r>
    </w:p>
    <w:p w:rsidR="000327E8" w:rsidRPr="000305FB" w:rsidRDefault="000327E8" w:rsidP="000305FB">
      <w:pPr>
        <w:pStyle w:val="P00"/>
        <w:spacing w:before="72"/>
        <w:ind w:left="0" w:right="1134"/>
        <w:rPr>
          <w:rStyle w:val="default"/>
          <w:rFonts w:cs="FrankRuehl" w:hint="cs"/>
          <w:rtl/>
        </w:rPr>
      </w:pPr>
    </w:p>
    <w:p w:rsidR="000305FB" w:rsidRPr="000305FB" w:rsidRDefault="000305FB" w:rsidP="000305FB">
      <w:pPr>
        <w:pStyle w:val="P00"/>
        <w:spacing w:before="72"/>
        <w:ind w:left="0" w:right="1134"/>
        <w:rPr>
          <w:rStyle w:val="default"/>
          <w:rFonts w:cs="FrankRuehl"/>
          <w:rtl/>
        </w:rPr>
      </w:pPr>
    </w:p>
    <w:p w:rsidR="00A8718C" w:rsidRPr="000305FB" w:rsidRDefault="00A8718C" w:rsidP="000305FB">
      <w:pPr>
        <w:pStyle w:val="P00"/>
        <w:spacing w:before="72"/>
        <w:ind w:left="0" w:right="1134"/>
        <w:rPr>
          <w:rStyle w:val="default"/>
          <w:rFonts w:cs="FrankRuehl"/>
          <w:rtl/>
        </w:rPr>
      </w:pPr>
      <w:bookmarkStart w:id="4" w:name="LawPartEnd"/>
    </w:p>
    <w:bookmarkEnd w:id="4"/>
    <w:p w:rsidR="00387897" w:rsidRDefault="00387897" w:rsidP="000305FB">
      <w:pPr>
        <w:pStyle w:val="P00"/>
        <w:spacing w:before="72"/>
        <w:ind w:left="0" w:right="1134"/>
        <w:rPr>
          <w:rStyle w:val="default"/>
          <w:rFonts w:cs="FrankRuehl"/>
          <w:rtl/>
        </w:rPr>
      </w:pPr>
    </w:p>
    <w:p w:rsidR="00387897" w:rsidRDefault="00387897" w:rsidP="000305FB">
      <w:pPr>
        <w:pStyle w:val="P00"/>
        <w:spacing w:before="72"/>
        <w:ind w:left="0" w:right="1134"/>
        <w:rPr>
          <w:rStyle w:val="default"/>
          <w:rFonts w:cs="FrankRuehl"/>
          <w:rtl/>
        </w:rPr>
      </w:pPr>
    </w:p>
    <w:p w:rsidR="00387897" w:rsidRDefault="00387897" w:rsidP="00387897">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A8718C" w:rsidRPr="00387897" w:rsidRDefault="00A8718C" w:rsidP="00387897">
      <w:pPr>
        <w:pStyle w:val="P00"/>
        <w:spacing w:before="72"/>
        <w:ind w:left="0" w:right="1134"/>
        <w:jc w:val="center"/>
        <w:rPr>
          <w:rStyle w:val="default"/>
          <w:rFonts w:cs="David"/>
          <w:color w:val="0000FF"/>
          <w:szCs w:val="24"/>
          <w:u w:val="single"/>
          <w:rtl/>
        </w:rPr>
      </w:pPr>
    </w:p>
    <w:sectPr w:rsidR="00A8718C" w:rsidRPr="0038789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1B2F" w:rsidRDefault="00BB1B2F">
      <w:r>
        <w:separator/>
      </w:r>
    </w:p>
  </w:endnote>
  <w:endnote w:type="continuationSeparator" w:id="0">
    <w:p w:rsidR="00BB1B2F" w:rsidRDefault="00BB1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4FE4" w:rsidRDefault="00164FE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64FE4" w:rsidRDefault="00164FE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64FE4" w:rsidRDefault="00164FE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sidRPr="000305FB">
      <w:rPr>
        <w:rFonts w:cs="TopType Jerushalmi"/>
        <w:noProof/>
        <w:color w:val="000000"/>
        <w:sz w:val="14"/>
        <w:szCs w:val="14"/>
        <w:rtl/>
      </w:rPr>
      <w:t>\קישורים\</w:t>
    </w:r>
    <w:r>
      <w:rPr>
        <w:rFonts w:cs="TopType Jerushalmi"/>
        <w:noProof/>
        <w:color w:val="000000"/>
        <w:sz w:val="14"/>
        <w:szCs w:val="14"/>
      </w:rPr>
      <w:t>P182_042.doc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4FE4" w:rsidRDefault="00164FE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87897">
      <w:rPr>
        <w:rFonts w:hAnsi="FrankRuehl" w:cs="FrankRuehl"/>
        <w:noProof/>
        <w:sz w:val="24"/>
        <w:szCs w:val="24"/>
        <w:rtl/>
      </w:rPr>
      <w:t>5</w:t>
    </w:r>
    <w:r>
      <w:rPr>
        <w:rFonts w:hAnsi="FrankRuehl" w:cs="FrankRuehl"/>
        <w:sz w:val="24"/>
        <w:szCs w:val="24"/>
        <w:rtl/>
      </w:rPr>
      <w:fldChar w:fldCharType="end"/>
    </w:r>
  </w:p>
  <w:p w:rsidR="00164FE4" w:rsidRDefault="00164FE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64FE4" w:rsidRDefault="00164FE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sidRPr="000305FB">
      <w:rPr>
        <w:rFonts w:cs="TopType Jerushalmi"/>
        <w:noProof/>
        <w:color w:val="000000"/>
        <w:sz w:val="14"/>
        <w:szCs w:val="14"/>
        <w:rtl/>
      </w:rPr>
      <w:t>\קישורים\</w:t>
    </w:r>
    <w:r>
      <w:rPr>
        <w:rFonts w:cs="TopType Jerushalmi"/>
        <w:noProof/>
        <w:color w:val="000000"/>
        <w:sz w:val="14"/>
        <w:szCs w:val="14"/>
      </w:rPr>
      <w:t>P182_042.doc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1B2F" w:rsidRDefault="00BB1B2F" w:rsidP="000305FB">
      <w:pPr>
        <w:spacing w:before="60" w:line="240" w:lineRule="auto"/>
        <w:ind w:right="1134"/>
      </w:pPr>
      <w:r>
        <w:separator/>
      </w:r>
    </w:p>
  </w:footnote>
  <w:footnote w:type="continuationSeparator" w:id="0">
    <w:p w:rsidR="00BB1B2F" w:rsidRDefault="00BB1B2F">
      <w:r>
        <w:continuationSeparator/>
      </w:r>
    </w:p>
  </w:footnote>
  <w:footnote w:id="1">
    <w:p w:rsidR="00327A7E" w:rsidRPr="000305FB" w:rsidRDefault="00164FE4" w:rsidP="00327A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0305FB">
        <w:rPr>
          <w:rFonts w:cs="FrankRuehl"/>
          <w:rtl/>
        </w:rPr>
        <w:t xml:space="preserve">* </w:t>
      </w:r>
      <w:r>
        <w:rPr>
          <w:rFonts w:cs="FrankRuehl"/>
          <w:rtl/>
        </w:rPr>
        <w:t>פו</w:t>
      </w:r>
      <w:r>
        <w:rPr>
          <w:rFonts w:cs="FrankRuehl" w:hint="cs"/>
          <w:rtl/>
        </w:rPr>
        <w:t xml:space="preserve">רסמו </w:t>
      </w:r>
      <w:hyperlink r:id="rId1" w:history="1">
        <w:r w:rsidRPr="00327A7E">
          <w:rPr>
            <w:rStyle w:val="Hyperlink"/>
            <w:rFonts w:cs="FrankRuehl" w:hint="cs"/>
            <w:rtl/>
          </w:rPr>
          <w:t>ק"ת תשע"ח מס' 8046</w:t>
        </w:r>
      </w:hyperlink>
      <w:r>
        <w:rPr>
          <w:rFonts w:cs="FrankRuehl" w:hint="cs"/>
          <w:rtl/>
        </w:rPr>
        <w:t xml:space="preserve"> מיום 24.7.2018 עמ' 2536.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4FE4" w:rsidRDefault="00164FE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העיריות (דין וחשבון מבקר העיריה), תשל"ד–1974</w:t>
    </w:r>
  </w:p>
  <w:p w:rsidR="00164FE4" w:rsidRDefault="00164FE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4FE4" w:rsidRDefault="00164FE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4FE4" w:rsidRDefault="00164FE4" w:rsidP="000305F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העיריות (</w:t>
    </w:r>
    <w:r>
      <w:rPr>
        <w:rFonts w:hAnsi="FrankRuehl" w:cs="FrankRuehl" w:hint="cs"/>
        <w:color w:val="000000"/>
        <w:sz w:val="28"/>
        <w:szCs w:val="28"/>
        <w:rtl/>
      </w:rPr>
      <w:t>תקנים ותקציב שנתי ללשכת מבקר העירייה), תשע"ח-2018</w:t>
    </w:r>
  </w:p>
  <w:p w:rsidR="00164FE4" w:rsidRDefault="00164FE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4FE4" w:rsidRDefault="00164FE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4DAA"/>
    <w:rsid w:val="000305FB"/>
    <w:rsid w:val="000327E8"/>
    <w:rsid w:val="000D6F8D"/>
    <w:rsid w:val="00137474"/>
    <w:rsid w:val="00164FE4"/>
    <w:rsid w:val="00327A7E"/>
    <w:rsid w:val="00341E27"/>
    <w:rsid w:val="00356E63"/>
    <w:rsid w:val="00387897"/>
    <w:rsid w:val="0045316B"/>
    <w:rsid w:val="004F1E6B"/>
    <w:rsid w:val="00603CD1"/>
    <w:rsid w:val="00655A96"/>
    <w:rsid w:val="00840D3C"/>
    <w:rsid w:val="0084375F"/>
    <w:rsid w:val="00910DB9"/>
    <w:rsid w:val="00991EAC"/>
    <w:rsid w:val="00A21DD1"/>
    <w:rsid w:val="00A24C18"/>
    <w:rsid w:val="00A8718C"/>
    <w:rsid w:val="00B63C16"/>
    <w:rsid w:val="00BB1B2F"/>
    <w:rsid w:val="00D60321"/>
    <w:rsid w:val="00DD6B68"/>
    <w:rsid w:val="00E05407"/>
    <w:rsid w:val="00F04DAA"/>
    <w:rsid w:val="00F66FB8"/>
    <w:rsid w:val="00FC65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FEA19F9-7393-46D4-A783-1076458A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0305FB"/>
    <w:rPr>
      <w:sz w:val="20"/>
      <w:szCs w:val="20"/>
    </w:rPr>
  </w:style>
  <w:style w:type="character" w:styleId="a6">
    <w:name w:val="footnote reference"/>
    <w:semiHidden/>
    <w:rsid w:val="000305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פרק 182</vt:lpstr>
    </vt:vector>
  </TitlesOfParts>
  <Company/>
  <LinksUpToDate>false</LinksUpToDate>
  <CharactersWithSpaces>9310</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7667726</vt:i4>
      </vt:variant>
      <vt:variant>
        <vt:i4>0</vt:i4>
      </vt:variant>
      <vt:variant>
        <vt:i4>0</vt:i4>
      </vt:variant>
      <vt:variant>
        <vt:i4>5</vt:i4>
      </vt:variant>
      <vt:variant>
        <vt:lpwstr>http://www.nevo.co.il/Law_word/law06/TAK-8046.pdf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עיריות</vt:lpwstr>
  </property>
  <property fmtid="{D5CDD505-2E9C-101B-9397-08002B2CF9AE}" pid="4" name="LAWNAME">
    <vt:lpwstr>תקנות העיריות (תקנים ותקציב שנתי ללשכת מבקר העירייה), תשע"ח-2018</vt:lpwstr>
  </property>
  <property fmtid="{D5CDD505-2E9C-101B-9397-08002B2CF9AE}" pid="5" name="LAWNUMBER">
    <vt:lpwstr>0924</vt:lpwstr>
  </property>
  <property fmtid="{D5CDD505-2E9C-101B-9397-08002B2CF9AE}" pid="6" name="TYPE">
    <vt:lpwstr>01</vt:lpwstr>
  </property>
  <property fmtid="{D5CDD505-2E9C-101B-9397-08002B2CF9AE}" pid="7" name="MEKOR_NAME1">
    <vt:lpwstr>פקודת העיריות</vt:lpwstr>
  </property>
  <property fmtid="{D5CDD505-2E9C-101B-9397-08002B2CF9AE}" pid="8" name="MEKOR_SAIF1">
    <vt:lpwstr>170XהX;170אXהX;347X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עיריות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http://www.nevo.co.il/Law_word/law06/TAK-8046.pdf;‎רשומות - תקנות כלליות#פורסמו ק"ת תשע"ח ‏מס' 8046 #מיום 24.7.2018 עמ' 2536‏</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