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4620A" w:rsidRDefault="0014620A" w:rsidP="006B1A06">
      <w:pPr>
        <w:pStyle w:val="big-header"/>
        <w:ind w:left="0" w:right="1134"/>
        <w:rPr>
          <w:rFonts w:cs="FrankRuehl"/>
          <w:sz w:val="32"/>
        </w:rPr>
      </w:pPr>
      <w:r>
        <w:rPr>
          <w:rFonts w:cs="FrankRuehl"/>
          <w:sz w:val="32"/>
          <w:rtl/>
        </w:rPr>
        <w:t>תקנות העתיקות (דרישת פיצוי), תשמ"ג</w:t>
      </w:r>
      <w:r w:rsidR="006B1A06">
        <w:rPr>
          <w:rFonts w:cs="FrankRuehl" w:hint="cs"/>
          <w:sz w:val="32"/>
          <w:rtl/>
        </w:rPr>
        <w:t>-</w:t>
      </w:r>
      <w:r>
        <w:rPr>
          <w:rFonts w:cs="FrankRuehl"/>
          <w:sz w:val="32"/>
          <w:rtl/>
        </w:rPr>
        <w:t>1983</w:t>
      </w:r>
    </w:p>
    <w:p w:rsidR="00DB125F" w:rsidRPr="00DB125F" w:rsidRDefault="00DB125F" w:rsidP="00DB125F">
      <w:pPr>
        <w:spacing w:line="320" w:lineRule="auto"/>
        <w:jc w:val="left"/>
        <w:rPr>
          <w:rFonts w:cs="FrankRuehl"/>
          <w:szCs w:val="26"/>
          <w:rtl/>
        </w:rPr>
      </w:pPr>
    </w:p>
    <w:p w:rsidR="00DB125F" w:rsidRDefault="00DB125F" w:rsidP="00DB125F">
      <w:pPr>
        <w:spacing w:line="320" w:lineRule="auto"/>
        <w:jc w:val="left"/>
        <w:rPr>
          <w:rtl/>
        </w:rPr>
      </w:pPr>
    </w:p>
    <w:p w:rsidR="00DB125F" w:rsidRPr="00DB125F" w:rsidRDefault="00DB125F" w:rsidP="00DB125F">
      <w:pPr>
        <w:spacing w:line="320" w:lineRule="auto"/>
        <w:jc w:val="left"/>
        <w:rPr>
          <w:rFonts w:cs="Miriam"/>
          <w:szCs w:val="22"/>
          <w:rtl/>
        </w:rPr>
      </w:pPr>
      <w:r w:rsidRPr="00DB125F">
        <w:rPr>
          <w:rFonts w:cs="Miriam"/>
          <w:szCs w:val="22"/>
          <w:rtl/>
        </w:rPr>
        <w:t>רשויות ומשפט מנהלי</w:t>
      </w:r>
      <w:r w:rsidRPr="00DB125F">
        <w:rPr>
          <w:rFonts w:cs="FrankRuehl"/>
          <w:szCs w:val="26"/>
          <w:rtl/>
        </w:rPr>
        <w:t xml:space="preserve"> – עתיקות</w:t>
      </w:r>
    </w:p>
    <w:p w:rsidR="0014620A" w:rsidRDefault="0014620A">
      <w:pPr>
        <w:pStyle w:val="big-header"/>
        <w:ind w:left="0" w:right="1134"/>
        <w:rPr>
          <w:rFonts w:cs="FrankRuehl" w:hint="cs"/>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0" w:tooltip="הגדרות" w:history="1">
              <w:r>
                <w:rPr>
                  <w:rStyle w:val="Hyperlink"/>
                </w:rPr>
                <w:t>Go</w:t>
              </w:r>
            </w:hyperlink>
          </w:p>
        </w:tc>
        <w:tc>
          <w:tcPr>
            <w:tcW w:w="5669" w:type="dxa"/>
          </w:tcPr>
          <w:p w:rsidR="0014620A" w:rsidRDefault="0014620A">
            <w:pPr>
              <w:spacing w:line="240" w:lineRule="auto"/>
              <w:rPr>
                <w:sz w:val="24"/>
                <w:rtl/>
              </w:rPr>
            </w:pPr>
            <w:r>
              <w:rPr>
                <w:sz w:val="24"/>
                <w:rtl/>
              </w:rPr>
              <w:t>הגדרות</w:t>
            </w:r>
          </w:p>
        </w:tc>
        <w:tc>
          <w:tcPr>
            <w:tcW w:w="1247" w:type="dxa"/>
          </w:tcPr>
          <w:p w:rsidR="0014620A" w:rsidRDefault="0014620A">
            <w:pPr>
              <w:spacing w:line="240" w:lineRule="auto"/>
              <w:rPr>
                <w:sz w:val="24"/>
              </w:rPr>
            </w:pPr>
            <w:r>
              <w:rPr>
                <w:sz w:val="24"/>
                <w:rtl/>
              </w:rPr>
              <w:t xml:space="preserve">סעיף 1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1" w:tooltip="הגשת דרישה" w:history="1">
              <w:r>
                <w:rPr>
                  <w:rStyle w:val="Hyperlink"/>
                </w:rPr>
                <w:t>Go</w:t>
              </w:r>
            </w:hyperlink>
          </w:p>
        </w:tc>
        <w:tc>
          <w:tcPr>
            <w:tcW w:w="5669" w:type="dxa"/>
          </w:tcPr>
          <w:p w:rsidR="0014620A" w:rsidRDefault="0014620A">
            <w:pPr>
              <w:spacing w:line="240" w:lineRule="auto"/>
              <w:rPr>
                <w:sz w:val="24"/>
                <w:rtl/>
              </w:rPr>
            </w:pPr>
            <w:r>
              <w:rPr>
                <w:sz w:val="24"/>
                <w:rtl/>
              </w:rPr>
              <w:t>הגשת דרישה</w:t>
            </w:r>
          </w:p>
        </w:tc>
        <w:tc>
          <w:tcPr>
            <w:tcW w:w="1247" w:type="dxa"/>
          </w:tcPr>
          <w:p w:rsidR="0014620A" w:rsidRDefault="0014620A">
            <w:pPr>
              <w:spacing w:line="240" w:lineRule="auto"/>
              <w:rPr>
                <w:sz w:val="24"/>
              </w:rPr>
            </w:pPr>
            <w:r>
              <w:rPr>
                <w:sz w:val="24"/>
                <w:rtl/>
              </w:rPr>
              <w:t xml:space="preserve">סעיף 2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2" w:tooltip="פרטי דרישה" w:history="1">
              <w:r>
                <w:rPr>
                  <w:rStyle w:val="Hyperlink"/>
                </w:rPr>
                <w:t>Go</w:t>
              </w:r>
            </w:hyperlink>
          </w:p>
        </w:tc>
        <w:tc>
          <w:tcPr>
            <w:tcW w:w="5669" w:type="dxa"/>
          </w:tcPr>
          <w:p w:rsidR="0014620A" w:rsidRDefault="0014620A">
            <w:pPr>
              <w:spacing w:line="240" w:lineRule="auto"/>
              <w:rPr>
                <w:sz w:val="24"/>
                <w:rtl/>
              </w:rPr>
            </w:pPr>
            <w:r>
              <w:rPr>
                <w:sz w:val="24"/>
                <w:rtl/>
              </w:rPr>
              <w:t>פרטי דרישה</w:t>
            </w:r>
          </w:p>
        </w:tc>
        <w:tc>
          <w:tcPr>
            <w:tcW w:w="1247" w:type="dxa"/>
          </w:tcPr>
          <w:p w:rsidR="0014620A" w:rsidRDefault="0014620A">
            <w:pPr>
              <w:spacing w:line="240" w:lineRule="auto"/>
              <w:rPr>
                <w:sz w:val="24"/>
              </w:rPr>
            </w:pPr>
            <w:r>
              <w:rPr>
                <w:sz w:val="24"/>
                <w:rtl/>
              </w:rPr>
              <w:t xml:space="preserve">סעיף 3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3" w:tooltip="צירוף מסמכים" w:history="1">
              <w:r>
                <w:rPr>
                  <w:rStyle w:val="Hyperlink"/>
                </w:rPr>
                <w:t>Go</w:t>
              </w:r>
            </w:hyperlink>
          </w:p>
        </w:tc>
        <w:tc>
          <w:tcPr>
            <w:tcW w:w="5669" w:type="dxa"/>
          </w:tcPr>
          <w:p w:rsidR="0014620A" w:rsidRDefault="0014620A">
            <w:pPr>
              <w:spacing w:line="240" w:lineRule="auto"/>
              <w:rPr>
                <w:sz w:val="24"/>
                <w:rtl/>
              </w:rPr>
            </w:pPr>
            <w:r>
              <w:rPr>
                <w:sz w:val="24"/>
                <w:rtl/>
              </w:rPr>
              <w:t>צירוף מסמכים</w:t>
            </w:r>
          </w:p>
        </w:tc>
        <w:tc>
          <w:tcPr>
            <w:tcW w:w="1247" w:type="dxa"/>
          </w:tcPr>
          <w:p w:rsidR="0014620A" w:rsidRDefault="0014620A">
            <w:pPr>
              <w:spacing w:line="240" w:lineRule="auto"/>
              <w:rPr>
                <w:sz w:val="24"/>
              </w:rPr>
            </w:pPr>
            <w:r>
              <w:rPr>
                <w:sz w:val="24"/>
                <w:rtl/>
              </w:rPr>
              <w:t xml:space="preserve">סעיף 4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4" w:tooltip="פנקס דרישות וכרטסת דרישות" w:history="1">
              <w:r>
                <w:rPr>
                  <w:rStyle w:val="Hyperlink"/>
                </w:rPr>
                <w:t>Go</w:t>
              </w:r>
            </w:hyperlink>
          </w:p>
        </w:tc>
        <w:tc>
          <w:tcPr>
            <w:tcW w:w="5669" w:type="dxa"/>
          </w:tcPr>
          <w:p w:rsidR="0014620A" w:rsidRDefault="0014620A">
            <w:pPr>
              <w:spacing w:line="240" w:lineRule="auto"/>
              <w:rPr>
                <w:sz w:val="24"/>
                <w:rtl/>
              </w:rPr>
            </w:pPr>
            <w:r>
              <w:rPr>
                <w:sz w:val="24"/>
                <w:rtl/>
              </w:rPr>
              <w:t>פנקס דרישות וכרטסת דרישות</w:t>
            </w:r>
          </w:p>
        </w:tc>
        <w:tc>
          <w:tcPr>
            <w:tcW w:w="1247" w:type="dxa"/>
          </w:tcPr>
          <w:p w:rsidR="0014620A" w:rsidRDefault="0014620A">
            <w:pPr>
              <w:spacing w:line="240" w:lineRule="auto"/>
              <w:rPr>
                <w:sz w:val="24"/>
              </w:rPr>
            </w:pPr>
            <w:r>
              <w:rPr>
                <w:sz w:val="24"/>
                <w:rtl/>
              </w:rPr>
              <w:t xml:space="preserve">סעיף 5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5" w:tooltip="קבלת הדרישה" w:history="1">
              <w:r>
                <w:rPr>
                  <w:rStyle w:val="Hyperlink"/>
                </w:rPr>
                <w:t>Go</w:t>
              </w:r>
            </w:hyperlink>
          </w:p>
        </w:tc>
        <w:tc>
          <w:tcPr>
            <w:tcW w:w="5669" w:type="dxa"/>
          </w:tcPr>
          <w:p w:rsidR="0014620A" w:rsidRDefault="0014620A">
            <w:pPr>
              <w:spacing w:line="240" w:lineRule="auto"/>
              <w:rPr>
                <w:sz w:val="24"/>
                <w:rtl/>
              </w:rPr>
            </w:pPr>
            <w:r>
              <w:rPr>
                <w:sz w:val="24"/>
                <w:rtl/>
              </w:rPr>
              <w:t>קבלת הדרישה</w:t>
            </w:r>
          </w:p>
        </w:tc>
        <w:tc>
          <w:tcPr>
            <w:tcW w:w="1247" w:type="dxa"/>
          </w:tcPr>
          <w:p w:rsidR="0014620A" w:rsidRDefault="0014620A">
            <w:pPr>
              <w:spacing w:line="240" w:lineRule="auto"/>
              <w:rPr>
                <w:sz w:val="24"/>
              </w:rPr>
            </w:pPr>
            <w:r>
              <w:rPr>
                <w:sz w:val="24"/>
                <w:rtl/>
              </w:rPr>
              <w:t xml:space="preserve">סעיף 6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6" w:tooltip="החלטת המנהל" w:history="1">
              <w:r>
                <w:rPr>
                  <w:rStyle w:val="Hyperlink"/>
                </w:rPr>
                <w:t>Go</w:t>
              </w:r>
            </w:hyperlink>
          </w:p>
        </w:tc>
        <w:tc>
          <w:tcPr>
            <w:tcW w:w="5669" w:type="dxa"/>
          </w:tcPr>
          <w:p w:rsidR="0014620A" w:rsidRDefault="0014620A">
            <w:pPr>
              <w:spacing w:line="240" w:lineRule="auto"/>
              <w:rPr>
                <w:sz w:val="24"/>
                <w:rtl/>
              </w:rPr>
            </w:pPr>
            <w:r>
              <w:rPr>
                <w:sz w:val="24"/>
                <w:rtl/>
              </w:rPr>
              <w:t>החלטת המנהל</w:t>
            </w:r>
          </w:p>
        </w:tc>
        <w:tc>
          <w:tcPr>
            <w:tcW w:w="1247" w:type="dxa"/>
          </w:tcPr>
          <w:p w:rsidR="0014620A" w:rsidRDefault="0014620A">
            <w:pPr>
              <w:spacing w:line="240" w:lineRule="auto"/>
              <w:rPr>
                <w:sz w:val="24"/>
              </w:rPr>
            </w:pPr>
            <w:r>
              <w:rPr>
                <w:sz w:val="24"/>
                <w:rtl/>
              </w:rPr>
              <w:t xml:space="preserve">סעיף 7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6B1A06">
              <w:rPr>
                <w:noProof/>
                <w:sz w:val="24"/>
                <w:rtl/>
              </w:rPr>
              <w:t>2</w:t>
            </w:r>
            <w:r>
              <w:rPr>
                <w:sz w:val="24"/>
                <w:rtl/>
              </w:rPr>
              <w:fldChar w:fldCharType="end"/>
            </w:r>
          </w:p>
        </w:tc>
        <w:tc>
          <w:tcPr>
            <w:tcW w:w="567" w:type="dxa"/>
          </w:tcPr>
          <w:p w:rsidR="0014620A" w:rsidRDefault="0014620A">
            <w:pPr>
              <w:spacing w:line="240" w:lineRule="auto"/>
              <w:rPr>
                <w:sz w:val="24"/>
              </w:rPr>
            </w:pPr>
            <w:hyperlink w:anchor="Seif7" w:tooltip="מועד התשלום למגיש הדרישה" w:history="1">
              <w:r>
                <w:rPr>
                  <w:rStyle w:val="Hyperlink"/>
                </w:rPr>
                <w:t>Go</w:t>
              </w:r>
            </w:hyperlink>
          </w:p>
        </w:tc>
        <w:tc>
          <w:tcPr>
            <w:tcW w:w="5669" w:type="dxa"/>
          </w:tcPr>
          <w:p w:rsidR="0014620A" w:rsidRDefault="0014620A">
            <w:pPr>
              <w:spacing w:line="240" w:lineRule="auto"/>
              <w:rPr>
                <w:sz w:val="24"/>
                <w:rtl/>
              </w:rPr>
            </w:pPr>
            <w:r>
              <w:rPr>
                <w:sz w:val="24"/>
                <w:rtl/>
              </w:rPr>
              <w:t>מועד התשלום למגיש הדרישה</w:t>
            </w:r>
          </w:p>
        </w:tc>
        <w:tc>
          <w:tcPr>
            <w:tcW w:w="1247" w:type="dxa"/>
          </w:tcPr>
          <w:p w:rsidR="0014620A" w:rsidRDefault="0014620A">
            <w:pPr>
              <w:spacing w:line="240" w:lineRule="auto"/>
              <w:rPr>
                <w:sz w:val="24"/>
              </w:rPr>
            </w:pPr>
            <w:r>
              <w:rPr>
                <w:sz w:val="24"/>
                <w:rtl/>
              </w:rPr>
              <w:t xml:space="preserve">סעיף 8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6B1A06">
              <w:rPr>
                <w:noProof/>
                <w:sz w:val="24"/>
                <w:rtl/>
              </w:rPr>
              <w:t>3</w:t>
            </w:r>
            <w:r>
              <w:rPr>
                <w:sz w:val="24"/>
                <w:rtl/>
              </w:rPr>
              <w:fldChar w:fldCharType="end"/>
            </w:r>
          </w:p>
        </w:tc>
        <w:tc>
          <w:tcPr>
            <w:tcW w:w="567" w:type="dxa"/>
          </w:tcPr>
          <w:p w:rsidR="0014620A" w:rsidRDefault="0014620A">
            <w:pPr>
              <w:spacing w:line="240" w:lineRule="auto"/>
              <w:rPr>
                <w:sz w:val="24"/>
              </w:rPr>
            </w:pPr>
            <w:hyperlink w:anchor="Seif8" w:tooltip="תחילה" w:history="1">
              <w:r>
                <w:rPr>
                  <w:rStyle w:val="Hyperlink"/>
                </w:rPr>
                <w:t>Go</w:t>
              </w:r>
            </w:hyperlink>
          </w:p>
        </w:tc>
        <w:tc>
          <w:tcPr>
            <w:tcW w:w="5669" w:type="dxa"/>
          </w:tcPr>
          <w:p w:rsidR="0014620A" w:rsidRDefault="0014620A">
            <w:pPr>
              <w:spacing w:line="240" w:lineRule="auto"/>
              <w:rPr>
                <w:sz w:val="24"/>
                <w:rtl/>
              </w:rPr>
            </w:pPr>
            <w:r>
              <w:rPr>
                <w:sz w:val="24"/>
                <w:rtl/>
              </w:rPr>
              <w:t>תחילה</w:t>
            </w:r>
          </w:p>
        </w:tc>
        <w:tc>
          <w:tcPr>
            <w:tcW w:w="1247" w:type="dxa"/>
          </w:tcPr>
          <w:p w:rsidR="0014620A" w:rsidRDefault="0014620A">
            <w:pPr>
              <w:spacing w:line="240" w:lineRule="auto"/>
              <w:rPr>
                <w:sz w:val="24"/>
              </w:rPr>
            </w:pPr>
            <w:r>
              <w:rPr>
                <w:sz w:val="24"/>
                <w:rtl/>
              </w:rPr>
              <w:t xml:space="preserve">סעיף 9 </w:t>
            </w: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med0</w:instrText>
            </w:r>
            <w:r>
              <w:rPr>
                <w:sz w:val="24"/>
                <w:rtl/>
              </w:rPr>
              <w:instrText xml:space="preserve"> </w:instrText>
            </w:r>
            <w:r>
              <w:rPr>
                <w:sz w:val="24"/>
                <w:rtl/>
              </w:rPr>
              <w:fldChar w:fldCharType="separate"/>
            </w:r>
            <w:r w:rsidR="006B1A06">
              <w:rPr>
                <w:noProof/>
                <w:sz w:val="24"/>
                <w:rtl/>
              </w:rPr>
              <w:t>3</w:t>
            </w:r>
            <w:r>
              <w:rPr>
                <w:sz w:val="24"/>
                <w:rtl/>
              </w:rPr>
              <w:fldChar w:fldCharType="end"/>
            </w:r>
          </w:p>
        </w:tc>
        <w:tc>
          <w:tcPr>
            <w:tcW w:w="567" w:type="dxa"/>
          </w:tcPr>
          <w:p w:rsidR="0014620A" w:rsidRDefault="0014620A">
            <w:pPr>
              <w:spacing w:line="240" w:lineRule="auto"/>
              <w:rPr>
                <w:sz w:val="24"/>
              </w:rPr>
            </w:pPr>
            <w:hyperlink w:anchor="med0" w:tooltip="תוספת ראשונה" w:history="1">
              <w:r>
                <w:rPr>
                  <w:rStyle w:val="Hyperlink"/>
                </w:rPr>
                <w:t>Go</w:t>
              </w:r>
            </w:hyperlink>
          </w:p>
        </w:tc>
        <w:tc>
          <w:tcPr>
            <w:tcW w:w="5669" w:type="dxa"/>
          </w:tcPr>
          <w:p w:rsidR="0014620A" w:rsidRDefault="0014620A">
            <w:pPr>
              <w:spacing w:line="240" w:lineRule="auto"/>
              <w:rPr>
                <w:sz w:val="24"/>
              </w:rPr>
            </w:pPr>
            <w:r>
              <w:rPr>
                <w:sz w:val="24"/>
                <w:rtl/>
              </w:rPr>
              <w:t>תוספת ראשונה</w:t>
            </w:r>
          </w:p>
        </w:tc>
        <w:tc>
          <w:tcPr>
            <w:tcW w:w="1247" w:type="dxa"/>
          </w:tcPr>
          <w:p w:rsidR="0014620A" w:rsidRDefault="0014620A">
            <w:pPr>
              <w:spacing w:line="240" w:lineRule="auto"/>
              <w:rPr>
                <w:sz w:val="24"/>
              </w:rPr>
            </w:pPr>
          </w:p>
        </w:tc>
      </w:tr>
      <w:tr w:rsidR="0014620A">
        <w:tblPrEx>
          <w:tblCellMar>
            <w:top w:w="0" w:type="dxa"/>
            <w:bottom w:w="0" w:type="dxa"/>
          </w:tblCellMar>
        </w:tblPrEx>
        <w:tc>
          <w:tcPr>
            <w:tcW w:w="850" w:type="dxa"/>
          </w:tcPr>
          <w:p w:rsidR="0014620A" w:rsidRDefault="0014620A">
            <w:pPr>
              <w:spacing w:line="240" w:lineRule="auto"/>
              <w:rPr>
                <w:sz w:val="24"/>
              </w:rPr>
            </w:pPr>
            <w:r>
              <w:rPr>
                <w:sz w:val="24"/>
                <w:rtl/>
              </w:rPr>
              <w:fldChar w:fldCharType="begin"/>
            </w:r>
            <w:r>
              <w:rPr>
                <w:sz w:val="24"/>
                <w:rtl/>
              </w:rPr>
              <w:instrText xml:space="preserve"> </w:instrText>
            </w:r>
            <w:r>
              <w:rPr>
                <w:sz w:val="24"/>
              </w:rPr>
              <w:instrText>PAGEREF med1</w:instrText>
            </w:r>
            <w:r>
              <w:rPr>
                <w:sz w:val="24"/>
                <w:rtl/>
              </w:rPr>
              <w:instrText xml:space="preserve"> </w:instrText>
            </w:r>
            <w:r>
              <w:rPr>
                <w:sz w:val="24"/>
                <w:rtl/>
              </w:rPr>
              <w:fldChar w:fldCharType="separate"/>
            </w:r>
            <w:r w:rsidR="006B1A06">
              <w:rPr>
                <w:noProof/>
                <w:sz w:val="24"/>
                <w:rtl/>
              </w:rPr>
              <w:t>3</w:t>
            </w:r>
            <w:r>
              <w:rPr>
                <w:sz w:val="24"/>
                <w:rtl/>
              </w:rPr>
              <w:fldChar w:fldCharType="end"/>
            </w:r>
          </w:p>
        </w:tc>
        <w:tc>
          <w:tcPr>
            <w:tcW w:w="567" w:type="dxa"/>
          </w:tcPr>
          <w:p w:rsidR="0014620A" w:rsidRDefault="0014620A">
            <w:pPr>
              <w:spacing w:line="240" w:lineRule="auto"/>
              <w:rPr>
                <w:sz w:val="24"/>
              </w:rPr>
            </w:pPr>
            <w:hyperlink w:anchor="med1" w:tooltip="תוספת שניה" w:history="1">
              <w:r>
                <w:rPr>
                  <w:rStyle w:val="Hyperlink"/>
                </w:rPr>
                <w:t>Go</w:t>
              </w:r>
            </w:hyperlink>
          </w:p>
        </w:tc>
        <w:tc>
          <w:tcPr>
            <w:tcW w:w="5669" w:type="dxa"/>
          </w:tcPr>
          <w:p w:rsidR="0014620A" w:rsidRDefault="0014620A">
            <w:pPr>
              <w:spacing w:line="240" w:lineRule="auto"/>
              <w:rPr>
                <w:sz w:val="24"/>
              </w:rPr>
            </w:pPr>
            <w:r>
              <w:rPr>
                <w:sz w:val="24"/>
                <w:rtl/>
              </w:rPr>
              <w:t>תוספת שניה</w:t>
            </w:r>
          </w:p>
        </w:tc>
        <w:tc>
          <w:tcPr>
            <w:tcW w:w="1247" w:type="dxa"/>
          </w:tcPr>
          <w:p w:rsidR="0014620A" w:rsidRDefault="0014620A">
            <w:pPr>
              <w:spacing w:line="240" w:lineRule="auto"/>
              <w:rPr>
                <w:sz w:val="24"/>
              </w:rPr>
            </w:pPr>
          </w:p>
        </w:tc>
      </w:tr>
    </w:tbl>
    <w:p w:rsidR="0014620A" w:rsidRDefault="0014620A">
      <w:pPr>
        <w:pStyle w:val="big-header"/>
        <w:ind w:left="0" w:right="1134"/>
        <w:rPr>
          <w:rFonts w:cs="FrankRuehl"/>
          <w:sz w:val="32"/>
          <w:rtl/>
        </w:rPr>
      </w:pPr>
    </w:p>
    <w:p w:rsidR="0014620A" w:rsidRDefault="0014620A" w:rsidP="00DB125F">
      <w:pPr>
        <w:pStyle w:val="big-header"/>
        <w:ind w:left="0" w:right="1134"/>
        <w:rPr>
          <w:rStyle w:val="default"/>
          <w:rFonts w:cs="FrankRuehl" w:hint="cs"/>
          <w:rtl/>
        </w:rPr>
      </w:pPr>
      <w:r>
        <w:rPr>
          <w:rtl/>
        </w:rPr>
        <w:br w:type="page"/>
      </w:r>
      <w:r>
        <w:rPr>
          <w:rFonts w:cs="FrankRuehl"/>
          <w:sz w:val="32"/>
          <w:rtl/>
        </w:rPr>
        <w:lastRenderedPageBreak/>
        <w:t>תק</w:t>
      </w:r>
      <w:r>
        <w:rPr>
          <w:rFonts w:cs="FrankRuehl" w:hint="cs"/>
          <w:sz w:val="32"/>
          <w:rtl/>
        </w:rPr>
        <w:t>נות העתיקות (דרישת פיצוי), תשמ"ג</w:t>
      </w:r>
      <w:r w:rsidR="006B1A06">
        <w:rPr>
          <w:rFonts w:cs="FrankRuehl" w:hint="cs"/>
          <w:sz w:val="32"/>
          <w:rtl/>
        </w:rPr>
        <w:t>-</w:t>
      </w:r>
      <w:r>
        <w:rPr>
          <w:rFonts w:cs="FrankRuehl"/>
          <w:sz w:val="32"/>
          <w:rtl/>
        </w:rPr>
        <w:t>1983</w:t>
      </w:r>
      <w:r w:rsidR="006B1A06">
        <w:rPr>
          <w:rStyle w:val="a6"/>
          <w:rFonts w:cs="FrankRuehl"/>
          <w:sz w:val="32"/>
          <w:rtl/>
        </w:rPr>
        <w:footnoteReference w:customMarkFollows="1" w:id="1"/>
        <w:t>*</w:t>
      </w:r>
    </w:p>
    <w:p w:rsidR="0014620A" w:rsidRDefault="0014620A" w:rsidP="006B1A06">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סמכויותי לפי סעיפים 7(ב) ו-46(א) לחוק העתיקות, תשל"ח</w:t>
      </w:r>
      <w:r w:rsidR="006B1A06">
        <w:rPr>
          <w:rStyle w:val="default"/>
          <w:rFonts w:cs="FrankRuehl" w:hint="cs"/>
          <w:rtl/>
        </w:rPr>
        <w:t>-</w:t>
      </w:r>
      <w:r>
        <w:rPr>
          <w:rStyle w:val="default"/>
          <w:rFonts w:cs="FrankRuehl"/>
          <w:rtl/>
        </w:rPr>
        <w:t>1978 (</w:t>
      </w:r>
      <w:r>
        <w:rPr>
          <w:rStyle w:val="default"/>
          <w:rFonts w:cs="FrankRuehl" w:hint="cs"/>
          <w:rtl/>
        </w:rPr>
        <w:t xml:space="preserve">להלן </w:t>
      </w:r>
      <w:r w:rsidR="006B1A06">
        <w:rPr>
          <w:rStyle w:val="default"/>
          <w:rFonts w:cs="FrankRuehl" w:hint="cs"/>
          <w:rtl/>
        </w:rPr>
        <w:t>-</w:t>
      </w:r>
      <w:r>
        <w:rPr>
          <w:rStyle w:val="default"/>
          <w:rFonts w:cs="FrankRuehl"/>
          <w:rtl/>
        </w:rPr>
        <w:t xml:space="preserve"> </w:t>
      </w:r>
      <w:r>
        <w:rPr>
          <w:rStyle w:val="default"/>
          <w:rFonts w:cs="FrankRuehl" w:hint="cs"/>
          <w:rtl/>
        </w:rPr>
        <w:t>החוק), אני מתקין תקנות אלה:</w:t>
      </w:r>
    </w:p>
    <w:p w:rsidR="0014620A" w:rsidRDefault="0014620A">
      <w:pPr>
        <w:pStyle w:val="P00"/>
        <w:spacing w:before="72"/>
        <w:ind w:left="0" w:right="1134"/>
        <w:rPr>
          <w:rStyle w:val="default"/>
          <w:rFonts w:cs="FrankRuehl" w:hint="cs"/>
          <w:rtl/>
        </w:rPr>
      </w:pPr>
      <w:bookmarkStart w:id="0" w:name="Seif0"/>
      <w:bookmarkEnd w:id="0"/>
      <w:r>
        <w:rPr>
          <w:lang w:val="he-IL"/>
        </w:rPr>
        <w:pict>
          <v:rect id="_x0000_s1026" style="position:absolute;left:0;text-align:left;margin-left:464.5pt;margin-top:8.05pt;width:75.05pt;height:13.45pt;z-index:251653632"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1.</w:t>
      </w:r>
      <w:r>
        <w:rPr>
          <w:rStyle w:val="big-number"/>
          <w:rFonts w:cs="Miriam"/>
          <w:rtl/>
        </w:rPr>
        <w:tab/>
      </w:r>
      <w:r>
        <w:rPr>
          <w:rStyle w:val="default"/>
          <w:rFonts w:cs="FrankRuehl"/>
          <w:rtl/>
        </w:rPr>
        <w:t>בת</w:t>
      </w:r>
      <w:r>
        <w:rPr>
          <w:rStyle w:val="default"/>
          <w:rFonts w:cs="FrankRuehl" w:hint="cs"/>
          <w:rtl/>
        </w:rPr>
        <w:t xml:space="preserve">קנות אלה </w:t>
      </w:r>
      <w:r w:rsidR="006B1A06">
        <w:rPr>
          <w:rStyle w:val="default"/>
          <w:rFonts w:cs="FrankRuehl"/>
          <w:rtl/>
        </w:rPr>
        <w:t>–</w:t>
      </w:r>
    </w:p>
    <w:p w:rsidR="0014620A" w:rsidRDefault="0014620A" w:rsidP="006B1A06">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 xml:space="preserve">רישה" </w:t>
      </w:r>
      <w:r w:rsidR="006B1A06">
        <w:rPr>
          <w:rStyle w:val="default"/>
          <w:rFonts w:cs="FrankRuehl" w:hint="cs"/>
          <w:rtl/>
        </w:rPr>
        <w:t>-</w:t>
      </w:r>
      <w:r>
        <w:rPr>
          <w:rStyle w:val="default"/>
          <w:rFonts w:cs="FrankRuehl"/>
          <w:rtl/>
        </w:rPr>
        <w:t xml:space="preserve"> </w:t>
      </w:r>
      <w:r>
        <w:rPr>
          <w:rStyle w:val="default"/>
          <w:rFonts w:cs="FrankRuehl" w:hint="cs"/>
          <w:rtl/>
        </w:rPr>
        <w:t>דרישה לפיצויים לפי סעיף 7(ב) לחוק;</w:t>
      </w:r>
    </w:p>
    <w:p w:rsidR="0014620A" w:rsidRDefault="0014620A" w:rsidP="006B1A0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ודעה" </w:t>
      </w:r>
      <w:r w:rsidR="006B1A06">
        <w:rPr>
          <w:rStyle w:val="default"/>
          <w:rFonts w:cs="FrankRuehl" w:hint="cs"/>
          <w:rtl/>
        </w:rPr>
        <w:t>-</w:t>
      </w:r>
      <w:r>
        <w:rPr>
          <w:rStyle w:val="default"/>
          <w:rFonts w:cs="FrankRuehl"/>
          <w:rtl/>
        </w:rPr>
        <w:t xml:space="preserve"> </w:t>
      </w:r>
      <w:r>
        <w:rPr>
          <w:rStyle w:val="default"/>
          <w:rFonts w:cs="FrankRuehl" w:hint="cs"/>
          <w:rtl/>
        </w:rPr>
        <w:t>הודעת המנהל לפי סעיף</w:t>
      </w:r>
      <w:r>
        <w:rPr>
          <w:rStyle w:val="default"/>
          <w:rFonts w:cs="FrankRuehl"/>
          <w:rtl/>
        </w:rPr>
        <w:t xml:space="preserve"> 6(ב</w:t>
      </w:r>
      <w:r>
        <w:rPr>
          <w:rStyle w:val="default"/>
          <w:rFonts w:cs="FrankRuehl" w:hint="cs"/>
          <w:rtl/>
        </w:rPr>
        <w:t>) לחוק;</w:t>
      </w:r>
    </w:p>
    <w:p w:rsidR="0014620A" w:rsidRDefault="0014620A" w:rsidP="006B1A06">
      <w:pPr>
        <w:pStyle w:val="P00"/>
        <w:spacing w:before="72"/>
        <w:ind w:left="0" w:right="1134"/>
        <w:rPr>
          <w:rStyle w:val="default"/>
          <w:rFonts w:cs="FrankRuehl"/>
          <w:rtl/>
        </w:rPr>
      </w:pPr>
      <w:r>
        <w:rPr>
          <w:rFonts w:cs="FrankRuehl"/>
          <w:sz w:val="26"/>
          <w:rtl/>
        </w:rPr>
        <w:tab/>
      </w:r>
      <w:r>
        <w:rPr>
          <w:rStyle w:val="default"/>
          <w:rFonts w:cs="FrankRuehl"/>
          <w:rtl/>
        </w:rPr>
        <w:t>"ה</w:t>
      </w:r>
      <w:r>
        <w:rPr>
          <w:rStyle w:val="default"/>
          <w:rFonts w:cs="FrankRuehl" w:hint="cs"/>
          <w:rtl/>
        </w:rPr>
        <w:t xml:space="preserve">מנהל" </w:t>
      </w:r>
      <w:r w:rsidR="006B1A06">
        <w:rPr>
          <w:rStyle w:val="default"/>
          <w:rFonts w:cs="FrankRuehl" w:hint="cs"/>
          <w:rtl/>
        </w:rPr>
        <w:t>-</w:t>
      </w:r>
      <w:r>
        <w:rPr>
          <w:rStyle w:val="default"/>
          <w:rFonts w:cs="FrankRuehl"/>
          <w:rtl/>
        </w:rPr>
        <w:t xml:space="preserve"> </w:t>
      </w:r>
      <w:r>
        <w:rPr>
          <w:rStyle w:val="default"/>
          <w:rFonts w:cs="FrankRuehl" w:hint="cs"/>
          <w:rtl/>
        </w:rPr>
        <w:t>מנהל האגף לרבות מי שהוא הסמיכו לענין תקנות אלה בהודעה שפורסמה ברשומות.</w:t>
      </w:r>
    </w:p>
    <w:p w:rsidR="0014620A" w:rsidRDefault="0014620A">
      <w:pPr>
        <w:pStyle w:val="P00"/>
        <w:spacing w:before="72"/>
        <w:ind w:left="0" w:right="1134"/>
        <w:rPr>
          <w:rStyle w:val="default"/>
          <w:rFonts w:cs="FrankRuehl"/>
          <w:rtl/>
        </w:rPr>
      </w:pPr>
      <w:bookmarkStart w:id="1" w:name="Seif1"/>
      <w:bookmarkEnd w:id="1"/>
      <w:r>
        <w:rPr>
          <w:lang w:val="he-IL"/>
        </w:rPr>
        <w:pict>
          <v:rect id="_x0000_s1027" style="position:absolute;left:0;text-align:left;margin-left:464.5pt;margin-top:8.05pt;width:75.05pt;height:14.55pt;z-index:251654656"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הג</w:t>
                  </w:r>
                  <w:r>
                    <w:rPr>
                      <w:rFonts w:cs="Miriam" w:hint="cs"/>
                      <w:sz w:val="18"/>
                      <w:szCs w:val="18"/>
                      <w:rtl/>
                    </w:rPr>
                    <w:t>שת דרישה</w:t>
                  </w:r>
                </w:p>
              </w:txbxContent>
            </v:textbox>
            <w10:anchorlock/>
          </v:rect>
        </w:pict>
      </w:r>
      <w:r>
        <w:rPr>
          <w:rStyle w:val="big-number"/>
          <w:rFonts w:cs="Miriam"/>
          <w:rtl/>
        </w:rPr>
        <w:t>2.</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ד</w:t>
      </w:r>
      <w:r>
        <w:rPr>
          <w:rStyle w:val="default"/>
          <w:rFonts w:cs="FrankRuehl" w:hint="cs"/>
          <w:rtl/>
        </w:rPr>
        <w:t>רישה תוגש למנהל תוך 30 ימים לאחר יום קבלת ההודעה.</w:t>
      </w:r>
    </w:p>
    <w:p w:rsidR="0014620A" w:rsidRDefault="001462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ד</w:t>
      </w:r>
      <w:r>
        <w:rPr>
          <w:rStyle w:val="default"/>
          <w:rFonts w:cs="FrankRuehl" w:hint="cs"/>
          <w:rtl/>
        </w:rPr>
        <w:t>רישה תימסר למנהל במשרד האגף או תישלח אליו בדואר רשום.</w:t>
      </w:r>
    </w:p>
    <w:p w:rsidR="0014620A" w:rsidRDefault="0014620A">
      <w:pPr>
        <w:pStyle w:val="P00"/>
        <w:spacing w:before="72"/>
        <w:ind w:left="0" w:right="1134"/>
        <w:rPr>
          <w:rStyle w:val="default"/>
          <w:rFonts w:cs="FrankRuehl"/>
          <w:rtl/>
        </w:rPr>
      </w:pPr>
      <w:bookmarkStart w:id="2" w:name="Seif2"/>
      <w:bookmarkEnd w:id="2"/>
      <w:r>
        <w:rPr>
          <w:lang w:val="he-IL"/>
        </w:rPr>
        <w:pict>
          <v:rect id="_x0000_s1028" style="position:absolute;left:0;text-align:left;margin-left:464.5pt;margin-top:8.05pt;width:75.05pt;height:11.6pt;z-index:251655680"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פר</w:t>
                  </w:r>
                  <w:r>
                    <w:rPr>
                      <w:rFonts w:cs="Miriam" w:hint="cs"/>
                      <w:sz w:val="18"/>
                      <w:szCs w:val="18"/>
                      <w:rtl/>
                    </w:rPr>
                    <w:t>טי דרישה</w:t>
                  </w:r>
                </w:p>
              </w:txbxContent>
            </v:textbox>
            <w10:anchorlock/>
          </v:rect>
        </w:pict>
      </w:r>
      <w:r>
        <w:rPr>
          <w:rStyle w:val="big-number"/>
          <w:rFonts w:cs="Miriam"/>
          <w:rtl/>
        </w:rPr>
        <w:t>3.</w:t>
      </w:r>
      <w:r>
        <w:rPr>
          <w:rStyle w:val="big-number"/>
          <w:rFonts w:cs="Miriam"/>
          <w:rtl/>
        </w:rPr>
        <w:tab/>
      </w:r>
      <w:r>
        <w:rPr>
          <w:rStyle w:val="default"/>
          <w:rFonts w:cs="FrankRuehl"/>
          <w:rtl/>
        </w:rPr>
        <w:t>דר</w:t>
      </w:r>
      <w:r>
        <w:rPr>
          <w:rStyle w:val="default"/>
          <w:rFonts w:cs="FrankRuehl" w:hint="cs"/>
          <w:rtl/>
        </w:rPr>
        <w:t>ישה תיערך בשלושה עותקים לפי הטופס שבת</w:t>
      </w:r>
      <w:r>
        <w:rPr>
          <w:rStyle w:val="default"/>
          <w:rFonts w:cs="FrankRuehl"/>
          <w:rtl/>
        </w:rPr>
        <w:t>וס</w:t>
      </w:r>
      <w:r>
        <w:rPr>
          <w:rStyle w:val="default"/>
          <w:rFonts w:cs="FrankRuehl" w:hint="cs"/>
          <w:rtl/>
        </w:rPr>
        <w:t>פת הראשונה ותיחתם בידי מגיש הדרישה או נציגו החוקי.</w:t>
      </w:r>
    </w:p>
    <w:p w:rsidR="0014620A" w:rsidRDefault="0014620A">
      <w:pPr>
        <w:pStyle w:val="P00"/>
        <w:spacing w:before="72"/>
        <w:ind w:left="0" w:right="1134"/>
        <w:rPr>
          <w:rStyle w:val="default"/>
          <w:rFonts w:cs="FrankRuehl"/>
          <w:rtl/>
        </w:rPr>
      </w:pPr>
      <w:bookmarkStart w:id="3" w:name="Seif3"/>
      <w:bookmarkEnd w:id="3"/>
      <w:r>
        <w:rPr>
          <w:lang w:val="he-IL"/>
        </w:rPr>
        <w:pict>
          <v:rect id="_x0000_s1029" style="position:absolute;left:0;text-align:left;margin-left:464.5pt;margin-top:8.05pt;width:75.05pt;height:12.3pt;z-index:251656704"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צי</w:t>
                  </w:r>
                  <w:r>
                    <w:rPr>
                      <w:rFonts w:cs="Miriam" w:hint="cs"/>
                      <w:sz w:val="18"/>
                      <w:szCs w:val="18"/>
                      <w:rtl/>
                    </w:rPr>
                    <w:t>רוף מסמכים</w:t>
                  </w:r>
                </w:p>
              </w:txbxContent>
            </v:textbox>
            <w10:anchorlock/>
          </v:rect>
        </w:pict>
      </w:r>
      <w:r>
        <w:rPr>
          <w:rStyle w:val="big-number"/>
          <w:rFonts w:cs="Miriam"/>
          <w:rtl/>
        </w:rPr>
        <w:t>4.</w:t>
      </w:r>
      <w:r>
        <w:rPr>
          <w:rStyle w:val="big-number"/>
          <w:rFonts w:cs="Miriam"/>
          <w:rtl/>
        </w:rPr>
        <w:tab/>
      </w:r>
      <w:r>
        <w:rPr>
          <w:rStyle w:val="default"/>
          <w:rFonts w:cs="FrankRuehl"/>
          <w:rtl/>
        </w:rPr>
        <w:t>לד</w:t>
      </w:r>
      <w:r>
        <w:rPr>
          <w:rStyle w:val="default"/>
          <w:rFonts w:cs="FrankRuehl" w:hint="cs"/>
          <w:rtl/>
        </w:rPr>
        <w:t>רישה יצורפו מסמכים להוכחת זכותו של מגיש הדרישה במקרקעין שלגביהם ניתנה ה</w:t>
      </w:r>
      <w:r>
        <w:rPr>
          <w:rStyle w:val="default"/>
          <w:rFonts w:cs="FrankRuehl"/>
          <w:rtl/>
        </w:rPr>
        <w:t>ה</w:t>
      </w:r>
      <w:r>
        <w:rPr>
          <w:rStyle w:val="default"/>
          <w:rFonts w:cs="FrankRuehl" w:hint="cs"/>
          <w:rtl/>
        </w:rPr>
        <w:t>ודעה ולהוכחת הנזק שנגרם לו כתוצאה ממתן ההודעה.</w:t>
      </w:r>
    </w:p>
    <w:p w:rsidR="0014620A" w:rsidRDefault="0014620A">
      <w:pPr>
        <w:pStyle w:val="P00"/>
        <w:spacing w:before="72"/>
        <w:ind w:left="0" w:right="1134"/>
        <w:rPr>
          <w:rStyle w:val="default"/>
          <w:rFonts w:cs="FrankRuehl" w:hint="cs"/>
          <w:rtl/>
        </w:rPr>
      </w:pPr>
      <w:bookmarkStart w:id="4" w:name="Seif4"/>
      <w:bookmarkEnd w:id="4"/>
      <w:r>
        <w:rPr>
          <w:lang w:val="he-IL"/>
        </w:rPr>
        <w:pict>
          <v:rect id="_x0000_s1030" style="position:absolute;left:0;text-align:left;margin-left:464.5pt;margin-top:8.05pt;width:75.05pt;height:18.55pt;z-index:251657728" o:allowincell="f" filled="f" stroked="f" strokecolor="lime" strokeweight=".25pt">
            <v:textbox inset="0,0,0,0">
              <w:txbxContent>
                <w:p w:rsidR="0014620A" w:rsidRDefault="0014620A" w:rsidP="006B1A06">
                  <w:pPr>
                    <w:spacing w:line="160" w:lineRule="exact"/>
                    <w:jc w:val="left"/>
                    <w:rPr>
                      <w:rFonts w:cs="Miriam"/>
                      <w:noProof/>
                      <w:sz w:val="18"/>
                      <w:szCs w:val="18"/>
                      <w:rtl/>
                    </w:rPr>
                  </w:pPr>
                  <w:r>
                    <w:rPr>
                      <w:rFonts w:cs="Miriam"/>
                      <w:sz w:val="18"/>
                      <w:szCs w:val="18"/>
                      <w:rtl/>
                    </w:rPr>
                    <w:t>פנ</w:t>
                  </w:r>
                  <w:r>
                    <w:rPr>
                      <w:rFonts w:cs="Miriam" w:hint="cs"/>
                      <w:sz w:val="18"/>
                      <w:szCs w:val="18"/>
                      <w:rtl/>
                    </w:rPr>
                    <w:t>קס דרישות</w:t>
                  </w:r>
                  <w:r w:rsidR="006B1A06">
                    <w:rPr>
                      <w:rFonts w:cs="Miriam" w:hint="cs"/>
                      <w:sz w:val="18"/>
                      <w:szCs w:val="18"/>
                      <w:rtl/>
                    </w:rPr>
                    <w:t xml:space="preserve"> </w:t>
                  </w:r>
                  <w:r>
                    <w:rPr>
                      <w:rFonts w:cs="Miriam"/>
                      <w:sz w:val="18"/>
                      <w:szCs w:val="18"/>
                      <w:rtl/>
                    </w:rPr>
                    <w:t>וכ</w:t>
                  </w:r>
                  <w:r>
                    <w:rPr>
                      <w:rFonts w:cs="Miriam" w:hint="cs"/>
                      <w:sz w:val="18"/>
                      <w:szCs w:val="18"/>
                      <w:rtl/>
                    </w:rPr>
                    <w:t>רטסת דרישות</w:t>
                  </w:r>
                </w:p>
              </w:txbxContent>
            </v:textbox>
            <w10:anchorlock/>
          </v:rect>
        </w:pict>
      </w:r>
      <w:r>
        <w:rPr>
          <w:rStyle w:val="big-number"/>
          <w:rFonts w:cs="Miriam"/>
          <w:rtl/>
        </w:rPr>
        <w:t>5.</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ב</w:t>
      </w:r>
      <w:r>
        <w:rPr>
          <w:rStyle w:val="default"/>
          <w:rFonts w:cs="FrankRuehl" w:hint="cs"/>
          <w:rtl/>
        </w:rPr>
        <w:t xml:space="preserve">אגף ינוהלו </w:t>
      </w:r>
      <w:r w:rsidR="006B1A06">
        <w:rPr>
          <w:rStyle w:val="default"/>
          <w:rFonts w:cs="FrankRuehl"/>
          <w:rtl/>
        </w:rPr>
        <w:t>–</w:t>
      </w:r>
    </w:p>
    <w:p w:rsidR="0014620A" w:rsidRDefault="0014620A">
      <w:pPr>
        <w:pStyle w:val="P22"/>
        <w:spacing w:before="72"/>
        <w:ind w:left="1021" w:right="1134"/>
        <w:rPr>
          <w:rStyle w:val="default"/>
          <w:rFonts w:cs="FrankRuehl"/>
          <w:rtl/>
        </w:rPr>
      </w:pPr>
      <w:r>
        <w:rPr>
          <w:rStyle w:val="default"/>
          <w:rFonts w:cs="FrankRuehl"/>
          <w:rtl/>
        </w:rPr>
        <w:t>(1)</w:t>
      </w:r>
      <w:r>
        <w:rPr>
          <w:rStyle w:val="default"/>
          <w:rFonts w:cs="FrankRuehl"/>
          <w:rtl/>
        </w:rPr>
        <w:tab/>
        <w:t>פ</w:t>
      </w:r>
      <w:r>
        <w:rPr>
          <w:rStyle w:val="default"/>
          <w:rFonts w:cs="FrankRuehl" w:hint="cs"/>
          <w:rtl/>
        </w:rPr>
        <w:t>נקס דרישות, שבו יירשמו הדרישות לפי סדר הגשתן;</w:t>
      </w:r>
    </w:p>
    <w:p w:rsidR="0014620A" w:rsidRDefault="0014620A">
      <w:pPr>
        <w:pStyle w:val="P22"/>
        <w:spacing w:before="72"/>
        <w:ind w:left="1021" w:right="1134"/>
        <w:rPr>
          <w:rStyle w:val="default"/>
          <w:rFonts w:cs="FrankRuehl"/>
          <w:rtl/>
        </w:rPr>
      </w:pPr>
      <w:r>
        <w:rPr>
          <w:rStyle w:val="default"/>
          <w:rFonts w:cs="FrankRuehl" w:hint="cs"/>
          <w:rtl/>
        </w:rPr>
        <w:t>(2)</w:t>
      </w:r>
      <w:r>
        <w:rPr>
          <w:rStyle w:val="default"/>
          <w:rFonts w:cs="FrankRuehl"/>
          <w:rtl/>
        </w:rPr>
        <w:tab/>
        <w:t>כרט</w:t>
      </w:r>
      <w:r>
        <w:rPr>
          <w:rStyle w:val="default"/>
          <w:rFonts w:cs="FrankRuehl" w:hint="cs"/>
          <w:rtl/>
        </w:rPr>
        <w:t>סת דרישות, לפי מקרקעין שלגביהם הוגשו דרישות.</w:t>
      </w:r>
    </w:p>
    <w:p w:rsidR="0014620A" w:rsidRDefault="001462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עיון בפנקס הדרישות, בכרטסת הדרישות או בכל רישום אחר המתנהל לענין דרישה לפי הוראות המנהל, או בתיקי הדרישות, טעון הסכמה בכתב מאת המנהל, אולם מגיש דרישה רשאי לעיין בתיק של דרישתו גם ללא הסכמה כאמור.</w:t>
      </w:r>
    </w:p>
    <w:p w:rsidR="0014620A" w:rsidRDefault="0014620A">
      <w:pPr>
        <w:pStyle w:val="P00"/>
        <w:spacing w:before="72"/>
        <w:ind w:left="0" w:right="1134"/>
        <w:rPr>
          <w:rStyle w:val="default"/>
          <w:rFonts w:cs="FrankRuehl"/>
          <w:rtl/>
        </w:rPr>
      </w:pPr>
      <w:bookmarkStart w:id="5" w:name="Seif5"/>
      <w:bookmarkEnd w:id="5"/>
      <w:r>
        <w:rPr>
          <w:lang w:val="he-IL"/>
        </w:rPr>
        <w:pict>
          <v:rect id="_x0000_s1031" style="position:absolute;left:0;text-align:left;margin-left:464.5pt;margin-top:8.05pt;width:75.05pt;height:12.45pt;z-index:251658752"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קב</w:t>
                  </w:r>
                  <w:r>
                    <w:rPr>
                      <w:rFonts w:cs="Miriam" w:hint="cs"/>
                      <w:sz w:val="18"/>
                      <w:szCs w:val="18"/>
                      <w:rtl/>
                    </w:rPr>
                    <w:t>לת הדרישה</w:t>
                  </w:r>
                </w:p>
              </w:txbxContent>
            </v:textbox>
            <w10:anchorlock/>
          </v:rect>
        </w:pict>
      </w:r>
      <w:r>
        <w:rPr>
          <w:rStyle w:val="big-number"/>
          <w:rFonts w:cs="Miriam"/>
          <w:rtl/>
        </w:rPr>
        <w:t>6.</w:t>
      </w:r>
      <w:r>
        <w:rPr>
          <w:rStyle w:val="big-number"/>
          <w:rFonts w:cs="Miriam"/>
          <w:rtl/>
        </w:rPr>
        <w:tab/>
      </w:r>
      <w:r>
        <w:rPr>
          <w:rStyle w:val="default"/>
          <w:rFonts w:cs="FrankRuehl"/>
          <w:rtl/>
        </w:rPr>
        <w:t>המ</w:t>
      </w:r>
      <w:r>
        <w:rPr>
          <w:rStyle w:val="default"/>
          <w:rFonts w:cs="FrankRuehl" w:hint="cs"/>
          <w:rtl/>
        </w:rPr>
        <w:t>נ</w:t>
      </w:r>
      <w:r>
        <w:rPr>
          <w:rStyle w:val="default"/>
          <w:rFonts w:cs="FrankRuehl"/>
          <w:rtl/>
        </w:rPr>
        <w:t>הל</w:t>
      </w:r>
      <w:r>
        <w:rPr>
          <w:rStyle w:val="default"/>
          <w:rFonts w:cs="FrankRuehl" w:hint="cs"/>
          <w:rtl/>
        </w:rPr>
        <w:t xml:space="preserve"> יאשר את קבלת הדרישה לפי טופס האישור שבתוספת השניה.</w:t>
      </w:r>
    </w:p>
    <w:p w:rsidR="0014620A" w:rsidRDefault="0014620A">
      <w:pPr>
        <w:pStyle w:val="P00"/>
        <w:spacing w:before="72"/>
        <w:ind w:left="0" w:right="1134"/>
        <w:rPr>
          <w:rStyle w:val="default"/>
          <w:rFonts w:cs="FrankRuehl"/>
          <w:rtl/>
        </w:rPr>
      </w:pPr>
      <w:bookmarkStart w:id="6" w:name="Seif6"/>
      <w:bookmarkEnd w:id="6"/>
      <w:r>
        <w:rPr>
          <w:lang w:val="he-IL"/>
        </w:rPr>
        <w:pict>
          <v:rect id="_x0000_s1032" style="position:absolute;left:0;text-align:left;margin-left:464.5pt;margin-top:8.05pt;width:75.05pt;height:14.95pt;z-index:251659776"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הח</w:t>
                  </w:r>
                  <w:r>
                    <w:rPr>
                      <w:rFonts w:cs="Miriam" w:hint="cs"/>
                      <w:sz w:val="18"/>
                      <w:szCs w:val="18"/>
                      <w:rtl/>
                    </w:rPr>
                    <w:t>לטת המנהל</w:t>
                  </w:r>
                </w:p>
              </w:txbxContent>
            </v:textbox>
            <w10:anchorlock/>
          </v:rect>
        </w:pict>
      </w:r>
      <w:r>
        <w:rPr>
          <w:rStyle w:val="big-number"/>
          <w:rFonts w:cs="Miriam"/>
          <w:rtl/>
        </w:rPr>
        <w:t>7.</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מנהל יתן את החלטתו ויודיע למגיש הדרישה בכתב את החלטתו המנומקת.</w:t>
      </w:r>
    </w:p>
    <w:p w:rsidR="0014620A" w:rsidRDefault="0014620A" w:rsidP="006B1A06">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ה</w:t>
      </w:r>
      <w:r>
        <w:rPr>
          <w:rStyle w:val="default"/>
          <w:rFonts w:cs="FrankRuehl" w:hint="cs"/>
          <w:rtl/>
        </w:rPr>
        <w:t xml:space="preserve">חליט המנהל על תשלום פיצוי </w:t>
      </w:r>
      <w:r w:rsidR="006B1A06">
        <w:rPr>
          <w:rStyle w:val="default"/>
          <w:rFonts w:cs="FrankRuehl" w:hint="cs"/>
          <w:rtl/>
        </w:rPr>
        <w:t>-</w:t>
      </w:r>
      <w:r>
        <w:rPr>
          <w:rStyle w:val="default"/>
          <w:rFonts w:cs="FrankRuehl" w:hint="cs"/>
          <w:rtl/>
        </w:rPr>
        <w:t xml:space="preserve"> </w:t>
      </w:r>
      <w:r>
        <w:rPr>
          <w:rStyle w:val="default"/>
          <w:rFonts w:cs="FrankRuehl"/>
          <w:rtl/>
        </w:rPr>
        <w:t>י</w:t>
      </w:r>
      <w:r>
        <w:rPr>
          <w:rStyle w:val="default"/>
          <w:rFonts w:cs="FrankRuehl" w:hint="cs"/>
          <w:rtl/>
        </w:rPr>
        <w:t>פרט בהחלטתו את הנזק שבעדו אושר התשלום ואת הסכום שאושר למגיש הדרישה.</w:t>
      </w:r>
    </w:p>
    <w:p w:rsidR="0014620A" w:rsidRDefault="0014620A">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ה</w:t>
      </w:r>
      <w:r>
        <w:rPr>
          <w:rStyle w:val="default"/>
          <w:rFonts w:cs="FrankRuehl" w:hint="cs"/>
          <w:rtl/>
        </w:rPr>
        <w:t>החלטה תישלח למגיש הדרישה בדואר רשום, ותפרט את האמור בסעיף 7(ג) לחוק ובתקנה 8.</w:t>
      </w:r>
    </w:p>
    <w:p w:rsidR="0014620A" w:rsidRDefault="0014620A" w:rsidP="006B1A06">
      <w:pPr>
        <w:pStyle w:val="P00"/>
        <w:spacing w:before="72"/>
        <w:ind w:left="0" w:right="1134"/>
        <w:rPr>
          <w:rStyle w:val="default"/>
          <w:rFonts w:cs="FrankRuehl"/>
          <w:rtl/>
        </w:rPr>
      </w:pPr>
      <w:bookmarkStart w:id="7" w:name="Seif7"/>
      <w:bookmarkEnd w:id="7"/>
      <w:r>
        <w:rPr>
          <w:lang w:val="he-IL"/>
        </w:rPr>
        <w:pict>
          <v:rect id="_x0000_s1033" style="position:absolute;left:0;text-align:left;margin-left:464.5pt;margin-top:8.05pt;width:75.05pt;height:17.85pt;z-index:251660800" o:allowincell="f" filled="f" stroked="f" strokecolor="lime" strokeweight=".25pt">
            <v:textbox inset="0,0,0,0">
              <w:txbxContent>
                <w:p w:rsidR="0014620A" w:rsidRDefault="0014620A" w:rsidP="006B1A06">
                  <w:pPr>
                    <w:spacing w:line="160" w:lineRule="exact"/>
                    <w:jc w:val="left"/>
                    <w:rPr>
                      <w:rFonts w:cs="Miriam"/>
                      <w:noProof/>
                      <w:sz w:val="18"/>
                      <w:szCs w:val="18"/>
                      <w:rtl/>
                    </w:rPr>
                  </w:pPr>
                  <w:r>
                    <w:rPr>
                      <w:rFonts w:cs="Miriam"/>
                      <w:sz w:val="18"/>
                      <w:szCs w:val="18"/>
                      <w:rtl/>
                    </w:rPr>
                    <w:t>מו</w:t>
                  </w:r>
                  <w:r>
                    <w:rPr>
                      <w:rFonts w:cs="Miriam" w:hint="cs"/>
                      <w:sz w:val="18"/>
                      <w:szCs w:val="18"/>
                      <w:rtl/>
                    </w:rPr>
                    <w:t>עד התשלום</w:t>
                  </w:r>
                  <w:r w:rsidR="006B1A06">
                    <w:rPr>
                      <w:rFonts w:cs="Miriam" w:hint="cs"/>
                      <w:sz w:val="18"/>
                      <w:szCs w:val="18"/>
                      <w:rtl/>
                    </w:rPr>
                    <w:t xml:space="preserve"> </w:t>
                  </w:r>
                  <w:r>
                    <w:rPr>
                      <w:rFonts w:cs="Miriam"/>
                      <w:sz w:val="18"/>
                      <w:szCs w:val="18"/>
                      <w:rtl/>
                    </w:rPr>
                    <w:t>למ</w:t>
                  </w:r>
                  <w:r>
                    <w:rPr>
                      <w:rFonts w:cs="Miriam" w:hint="cs"/>
                      <w:sz w:val="18"/>
                      <w:szCs w:val="18"/>
                      <w:rtl/>
                    </w:rPr>
                    <w:t>גיש הדרישה</w:t>
                  </w:r>
                </w:p>
              </w:txbxContent>
            </v:textbox>
            <w10:anchorlock/>
          </v:rect>
        </w:pict>
      </w:r>
      <w:r>
        <w:rPr>
          <w:rStyle w:val="big-number"/>
          <w:rFonts w:cs="Miriam"/>
          <w:rtl/>
        </w:rPr>
        <w:t>8.</w:t>
      </w:r>
      <w:r>
        <w:rPr>
          <w:rStyle w:val="big-number"/>
          <w:rFonts w:cs="Miriam"/>
          <w:rtl/>
        </w:rPr>
        <w:tab/>
      </w:r>
      <w:r>
        <w:rPr>
          <w:rStyle w:val="default"/>
          <w:rFonts w:cs="FrankRuehl"/>
          <w:rtl/>
        </w:rPr>
        <w:t>(א</w:t>
      </w:r>
      <w:r>
        <w:rPr>
          <w:rStyle w:val="default"/>
          <w:rFonts w:cs="FrankRuehl" w:hint="cs"/>
          <w:rtl/>
        </w:rPr>
        <w:t>)</w:t>
      </w:r>
      <w:r>
        <w:rPr>
          <w:rStyle w:val="default"/>
          <w:rFonts w:cs="FrankRuehl"/>
          <w:rtl/>
        </w:rPr>
        <w:tab/>
        <w:t>פ</w:t>
      </w:r>
      <w:r>
        <w:rPr>
          <w:rStyle w:val="default"/>
          <w:rFonts w:cs="FrankRuehl" w:hint="cs"/>
          <w:rtl/>
        </w:rPr>
        <w:t xml:space="preserve">יצויים שקבע המנהל ישולמו תוך 60 ימים מיום הודעת המנהל על החלטתו לפי תקנה 7 (להלן </w:t>
      </w:r>
      <w:r w:rsidR="006B1A06">
        <w:rPr>
          <w:rStyle w:val="default"/>
          <w:rFonts w:cs="FrankRuehl" w:hint="cs"/>
          <w:rtl/>
        </w:rPr>
        <w:t>-</w:t>
      </w:r>
      <w:r>
        <w:rPr>
          <w:rStyle w:val="default"/>
          <w:rFonts w:cs="FrankRuehl"/>
          <w:rtl/>
        </w:rPr>
        <w:t xml:space="preserve"> </w:t>
      </w:r>
      <w:r>
        <w:rPr>
          <w:rStyle w:val="default"/>
          <w:rFonts w:cs="FrankRuehl" w:hint="cs"/>
          <w:rtl/>
        </w:rPr>
        <w:t>יום ההחלטה</w:t>
      </w:r>
      <w:r>
        <w:rPr>
          <w:rStyle w:val="default"/>
          <w:rFonts w:cs="FrankRuehl"/>
          <w:rtl/>
        </w:rPr>
        <w:t>); ל</w:t>
      </w:r>
      <w:r>
        <w:rPr>
          <w:rStyle w:val="default"/>
          <w:rFonts w:cs="FrankRuehl" w:hint="cs"/>
          <w:rtl/>
        </w:rPr>
        <w:t>סכום הפיצויים יווספו הפרשי הצמדה לפי שיעור העליה של המדד מן המדד שפורסם לאחרונה לפני הגשת הדרישה עד המדד שפורסם לאחרונה לפני יום ההחלטה.</w:t>
      </w:r>
    </w:p>
    <w:p w:rsidR="0014620A" w:rsidRDefault="0014620A">
      <w:pPr>
        <w:pStyle w:val="P00"/>
        <w:spacing w:before="72"/>
        <w:ind w:left="0" w:right="1134"/>
        <w:rPr>
          <w:rStyle w:val="default"/>
          <w:rFonts w:cs="FrankRuehl"/>
          <w:rtl/>
        </w:rPr>
      </w:pPr>
      <w:r>
        <w:rPr>
          <w:rFonts w:cs="FrankRuehl"/>
          <w:sz w:val="26"/>
          <w:rtl/>
        </w:rPr>
        <w:tab/>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א שולמו פיצויים תוך 60 ימים מיום ההחלטה, יווספו לסכום הפיצויים הפרשי הצמדה לפי שיעור העליה של המדד מן המדד שפ</w:t>
      </w:r>
      <w:r>
        <w:rPr>
          <w:rStyle w:val="default"/>
          <w:rFonts w:cs="FrankRuehl"/>
          <w:rtl/>
        </w:rPr>
        <w:t>ור</w:t>
      </w:r>
      <w:r>
        <w:rPr>
          <w:rStyle w:val="default"/>
          <w:rFonts w:cs="FrankRuehl" w:hint="cs"/>
          <w:rtl/>
        </w:rPr>
        <w:t>סם לאחרונה לפני הגשת הדרישה עד המדד שפורסם לא</w:t>
      </w:r>
      <w:r>
        <w:rPr>
          <w:rStyle w:val="default"/>
          <w:rFonts w:cs="FrankRuehl"/>
          <w:rtl/>
        </w:rPr>
        <w:t>ח</w:t>
      </w:r>
      <w:r>
        <w:rPr>
          <w:rStyle w:val="default"/>
          <w:rFonts w:cs="FrankRuehl" w:hint="cs"/>
          <w:rtl/>
        </w:rPr>
        <w:t>רונה לפני יום התשלום.</w:t>
      </w:r>
    </w:p>
    <w:p w:rsidR="0014620A" w:rsidRDefault="0014620A" w:rsidP="006B1A06">
      <w:pPr>
        <w:pStyle w:val="P00"/>
        <w:spacing w:before="72"/>
        <w:ind w:left="0" w:right="1134"/>
        <w:rPr>
          <w:rStyle w:val="default"/>
          <w:rFonts w:cs="FrankRuehl"/>
          <w:rtl/>
        </w:rPr>
      </w:pPr>
      <w:r>
        <w:rPr>
          <w:rFonts w:cs="FrankRuehl"/>
          <w:sz w:val="26"/>
          <w:rtl/>
        </w:rPr>
        <w:tab/>
      </w:r>
      <w:r>
        <w:rPr>
          <w:rStyle w:val="default"/>
          <w:rFonts w:cs="FrankRuehl"/>
          <w:rtl/>
        </w:rPr>
        <w:t>(ג</w:t>
      </w:r>
      <w:r>
        <w:rPr>
          <w:rStyle w:val="default"/>
          <w:rFonts w:cs="FrankRuehl" w:hint="cs"/>
          <w:rtl/>
        </w:rPr>
        <w:t>)</w:t>
      </w:r>
      <w:r>
        <w:rPr>
          <w:rStyle w:val="default"/>
          <w:rFonts w:cs="FrankRuehl"/>
          <w:rtl/>
        </w:rPr>
        <w:tab/>
        <w:t>ב</w:t>
      </w:r>
      <w:r>
        <w:rPr>
          <w:rStyle w:val="default"/>
          <w:rFonts w:cs="FrankRuehl" w:hint="cs"/>
          <w:rtl/>
        </w:rPr>
        <w:t xml:space="preserve">תקנה זו, "מדד" </w:t>
      </w:r>
      <w:r w:rsidR="006B1A06">
        <w:rPr>
          <w:rStyle w:val="default"/>
          <w:rFonts w:cs="FrankRuehl" w:hint="cs"/>
          <w:rtl/>
        </w:rPr>
        <w:t>-</w:t>
      </w:r>
      <w:r>
        <w:rPr>
          <w:rStyle w:val="default"/>
          <w:rFonts w:cs="FrankRuehl"/>
          <w:rtl/>
        </w:rPr>
        <w:t xml:space="preserve"> </w:t>
      </w:r>
      <w:r>
        <w:rPr>
          <w:rStyle w:val="default"/>
          <w:rFonts w:cs="FrankRuehl" w:hint="cs"/>
          <w:rtl/>
        </w:rPr>
        <w:t>מדד המחירים לצרכן שמפרסמת הלשכה המרכזית לסטטיסטיקה.</w:t>
      </w:r>
    </w:p>
    <w:p w:rsidR="0014620A" w:rsidRDefault="0014620A">
      <w:pPr>
        <w:pStyle w:val="P00"/>
        <w:spacing w:before="72"/>
        <w:ind w:left="0" w:right="1134"/>
        <w:rPr>
          <w:rStyle w:val="default"/>
          <w:rFonts w:cs="FrankRuehl"/>
          <w:rtl/>
        </w:rPr>
      </w:pPr>
      <w:bookmarkStart w:id="8" w:name="Seif8"/>
      <w:bookmarkEnd w:id="8"/>
      <w:r>
        <w:rPr>
          <w:lang w:val="he-IL"/>
        </w:rPr>
        <w:pict>
          <v:rect id="_x0000_s1034" style="position:absolute;left:0;text-align:left;margin-left:464.5pt;margin-top:8.05pt;width:75.05pt;height:14.8pt;z-index:251661824" o:allowincell="f" filled="f" stroked="f" strokecolor="lime" strokeweight=".25pt">
            <v:textbox inset="0,0,0,0">
              <w:txbxContent>
                <w:p w:rsidR="0014620A" w:rsidRDefault="0014620A">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9.</w:t>
      </w:r>
      <w:r>
        <w:rPr>
          <w:rStyle w:val="big-number"/>
          <w:rFonts w:cs="Miriam"/>
          <w:rtl/>
        </w:rPr>
        <w:tab/>
      </w:r>
      <w:r>
        <w:rPr>
          <w:rStyle w:val="default"/>
          <w:rFonts w:cs="FrankRuehl"/>
          <w:rtl/>
        </w:rPr>
        <w:t>תח</w:t>
      </w:r>
      <w:r>
        <w:rPr>
          <w:rStyle w:val="default"/>
          <w:rFonts w:cs="FrankRuehl" w:hint="cs"/>
          <w:rtl/>
        </w:rPr>
        <w:t>ילתן של תקנות אלה 30 ימים מיום פרסומן.</w:t>
      </w:r>
    </w:p>
    <w:p w:rsidR="0014620A" w:rsidRPr="006B1A06" w:rsidRDefault="0014620A" w:rsidP="006B1A06">
      <w:pPr>
        <w:pStyle w:val="P00"/>
        <w:spacing w:before="72"/>
        <w:ind w:left="0" w:right="1134"/>
        <w:rPr>
          <w:rStyle w:val="default"/>
          <w:rFonts w:cs="FrankRuehl"/>
          <w:rtl/>
        </w:rPr>
      </w:pPr>
    </w:p>
    <w:p w:rsidR="0014620A" w:rsidRPr="006B1A06" w:rsidRDefault="0014620A">
      <w:pPr>
        <w:pStyle w:val="medium2-header"/>
        <w:keepLines w:val="0"/>
        <w:spacing w:before="72"/>
        <w:ind w:left="0" w:right="1134"/>
        <w:rPr>
          <w:rFonts w:cs="FrankRuehl"/>
          <w:noProof/>
          <w:sz w:val="26"/>
          <w:szCs w:val="26"/>
          <w:rtl/>
        </w:rPr>
      </w:pPr>
      <w:bookmarkStart w:id="9" w:name="med0"/>
      <w:bookmarkEnd w:id="9"/>
      <w:r w:rsidRPr="006B1A06">
        <w:rPr>
          <w:rFonts w:cs="FrankRuehl"/>
          <w:noProof/>
          <w:sz w:val="26"/>
          <w:szCs w:val="26"/>
          <w:rtl/>
        </w:rPr>
        <w:t>תו</w:t>
      </w:r>
      <w:r w:rsidRPr="006B1A06">
        <w:rPr>
          <w:rFonts w:cs="FrankRuehl" w:hint="cs"/>
          <w:noProof/>
          <w:sz w:val="26"/>
          <w:szCs w:val="26"/>
          <w:rtl/>
        </w:rPr>
        <w:t>ספת ראשונה</w:t>
      </w:r>
    </w:p>
    <w:p w:rsidR="00233994" w:rsidRPr="00E668B3" w:rsidRDefault="00233994" w:rsidP="00233994">
      <w:pPr>
        <w:pStyle w:val="medium-header"/>
        <w:keepNext w:val="0"/>
        <w:keepLines w:val="0"/>
        <w:ind w:left="0" w:right="1134"/>
        <w:jc w:val="left"/>
        <w:rPr>
          <w:rFonts w:cs="FrankRuehl"/>
          <w:sz w:val="24"/>
          <w:szCs w:val="24"/>
          <w:rtl/>
        </w:rPr>
      </w:pPr>
      <w:r w:rsidRPr="00E668B3">
        <w:rPr>
          <w:rFonts w:cs="FrankRuehl"/>
          <w:sz w:val="24"/>
          <w:szCs w:val="24"/>
          <w:rtl/>
        </w:rPr>
        <w:t>(ת</w:t>
      </w:r>
      <w:r w:rsidRPr="00E668B3">
        <w:rPr>
          <w:rFonts w:cs="FrankRuehl" w:hint="cs"/>
          <w:sz w:val="24"/>
          <w:szCs w:val="24"/>
          <w:rtl/>
        </w:rPr>
        <w:t>קנה 8 (</w:t>
      </w:r>
      <w:r w:rsidRPr="00E668B3">
        <w:rPr>
          <w:rFonts w:cs="FrankRuehl"/>
          <w:sz w:val="24"/>
          <w:szCs w:val="24"/>
          <w:rtl/>
        </w:rPr>
        <w:t>א))</w:t>
      </w:r>
    </w:p>
    <w:p w:rsidR="00233994" w:rsidRPr="00E668B3" w:rsidRDefault="00233994" w:rsidP="00233994">
      <w:pPr>
        <w:pStyle w:val="medium-header"/>
        <w:keepNext w:val="0"/>
        <w:keepLines w:val="0"/>
        <w:ind w:left="0" w:right="1134"/>
        <w:jc w:val="left"/>
        <w:rPr>
          <w:rFonts w:cs="FrankRuehl"/>
          <w:sz w:val="24"/>
          <w:szCs w:val="24"/>
        </w:rPr>
      </w:pPr>
      <w:r w:rsidRPr="00E668B3">
        <w:rPr>
          <w:rFonts w:cs="FrankRuehl" w:hint="cs"/>
          <w:sz w:val="24"/>
          <w:szCs w:val="24"/>
          <w:rtl/>
        </w:rPr>
        <w:t>[</w:t>
      </w:r>
      <w:hyperlink r:id="rId6" w:history="1">
        <w:r w:rsidRPr="00233994">
          <w:rPr>
            <w:rStyle w:val="Hyperlink"/>
            <w:rFonts w:cs="FrankRuehl" w:hint="cs"/>
            <w:sz w:val="24"/>
            <w:szCs w:val="24"/>
            <w:rtl/>
          </w:rPr>
          <w:t>ד</w:t>
        </w:r>
        <w:r w:rsidRPr="00233994">
          <w:rPr>
            <w:rStyle w:val="Hyperlink"/>
            <w:rFonts w:cs="FrankRuehl"/>
            <w:sz w:val="24"/>
            <w:szCs w:val="24"/>
            <w:rtl/>
          </w:rPr>
          <w:t>ר</w:t>
        </w:r>
        <w:r w:rsidRPr="00233994">
          <w:rPr>
            <w:rStyle w:val="Hyperlink"/>
            <w:rFonts w:cs="FrankRuehl" w:hint="cs"/>
            <w:sz w:val="24"/>
            <w:szCs w:val="24"/>
            <w:rtl/>
          </w:rPr>
          <w:t>ישה לפיצויים</w:t>
        </w:r>
      </w:hyperlink>
      <w:r w:rsidRPr="00E668B3">
        <w:rPr>
          <w:rFonts w:cs="FrankRuehl" w:hint="cs"/>
          <w:sz w:val="24"/>
          <w:szCs w:val="24"/>
          <w:rtl/>
        </w:rPr>
        <w:t>]</w:t>
      </w:r>
    </w:p>
    <w:p w:rsidR="006B1A06" w:rsidRPr="006B1A06" w:rsidRDefault="006B1A06" w:rsidP="006B1A06">
      <w:pPr>
        <w:pStyle w:val="P00"/>
        <w:spacing w:before="72"/>
        <w:ind w:left="0" w:right="1134"/>
        <w:rPr>
          <w:rFonts w:cs="FrankRuehl" w:hint="cs"/>
          <w:sz w:val="26"/>
          <w:rtl/>
        </w:rPr>
      </w:pPr>
    </w:p>
    <w:p w:rsidR="0014620A" w:rsidRPr="006B1A06" w:rsidRDefault="0014620A">
      <w:pPr>
        <w:pStyle w:val="medium2-header"/>
        <w:keepLines w:val="0"/>
        <w:spacing w:before="72"/>
        <w:ind w:left="0" w:right="1134"/>
        <w:rPr>
          <w:rFonts w:cs="FrankRuehl"/>
          <w:noProof/>
          <w:sz w:val="26"/>
          <w:szCs w:val="26"/>
          <w:rtl/>
        </w:rPr>
      </w:pPr>
      <w:bookmarkStart w:id="10" w:name="med1"/>
      <w:bookmarkEnd w:id="10"/>
      <w:r w:rsidRPr="006B1A06">
        <w:rPr>
          <w:rFonts w:cs="FrankRuehl"/>
          <w:noProof/>
          <w:sz w:val="26"/>
          <w:szCs w:val="26"/>
          <w:rtl/>
        </w:rPr>
        <w:t>תו</w:t>
      </w:r>
      <w:r w:rsidRPr="006B1A06">
        <w:rPr>
          <w:rFonts w:cs="FrankRuehl" w:hint="cs"/>
          <w:noProof/>
          <w:sz w:val="26"/>
          <w:szCs w:val="26"/>
          <w:rtl/>
        </w:rPr>
        <w:t>ספת שניה</w:t>
      </w:r>
    </w:p>
    <w:p w:rsidR="0014620A" w:rsidRPr="006B1A06" w:rsidRDefault="0014620A">
      <w:pPr>
        <w:pStyle w:val="medium-header"/>
        <w:keepNext w:val="0"/>
        <w:keepLines w:val="0"/>
        <w:ind w:left="0" w:right="1134"/>
        <w:rPr>
          <w:rFonts w:cs="FrankRuehl"/>
          <w:sz w:val="24"/>
          <w:szCs w:val="24"/>
          <w:rtl/>
        </w:rPr>
      </w:pPr>
      <w:r w:rsidRPr="006B1A06">
        <w:rPr>
          <w:rFonts w:cs="FrankRuehl"/>
          <w:sz w:val="24"/>
          <w:szCs w:val="24"/>
          <w:rtl/>
        </w:rPr>
        <w:t>(ת</w:t>
      </w:r>
      <w:r w:rsidRPr="006B1A06">
        <w:rPr>
          <w:rFonts w:cs="FrankRuehl" w:hint="cs"/>
          <w:sz w:val="24"/>
          <w:szCs w:val="24"/>
          <w:rtl/>
        </w:rPr>
        <w:t>קנה 6)</w:t>
      </w:r>
    </w:p>
    <w:p w:rsidR="0014620A" w:rsidRPr="006B1A06" w:rsidRDefault="0014620A">
      <w:pPr>
        <w:pStyle w:val="medium-header"/>
        <w:keepNext w:val="0"/>
        <w:keepLines w:val="0"/>
        <w:ind w:left="0" w:right="1134"/>
        <w:rPr>
          <w:rFonts w:cs="FrankRuehl"/>
          <w:b/>
          <w:bCs/>
          <w:sz w:val="22"/>
          <w:szCs w:val="22"/>
          <w:rtl/>
        </w:rPr>
      </w:pPr>
      <w:r w:rsidRPr="006B1A06">
        <w:rPr>
          <w:rFonts w:cs="FrankRuehl" w:hint="cs"/>
          <w:b/>
          <w:bCs/>
          <w:sz w:val="22"/>
          <w:szCs w:val="22"/>
          <w:rtl/>
        </w:rPr>
        <w:t>א</w:t>
      </w:r>
      <w:r w:rsidRPr="006B1A06">
        <w:rPr>
          <w:rFonts w:cs="FrankRuehl"/>
          <w:b/>
          <w:bCs/>
          <w:sz w:val="22"/>
          <w:szCs w:val="22"/>
          <w:rtl/>
        </w:rPr>
        <w:t>י</w:t>
      </w:r>
      <w:r w:rsidRPr="006B1A06">
        <w:rPr>
          <w:rFonts w:cs="FrankRuehl" w:hint="cs"/>
          <w:b/>
          <w:bCs/>
          <w:sz w:val="22"/>
          <w:szCs w:val="22"/>
          <w:rtl/>
        </w:rPr>
        <w:t>שור</w:t>
      </w:r>
    </w:p>
    <w:p w:rsidR="0014620A" w:rsidRDefault="0014620A" w:rsidP="006B1A06">
      <w:pPr>
        <w:pStyle w:val="P00"/>
        <w:spacing w:before="72"/>
        <w:ind w:left="0" w:right="1134"/>
        <w:rPr>
          <w:rFonts w:cs="FrankRuehl" w:hint="cs"/>
          <w:sz w:val="26"/>
          <w:rtl/>
        </w:rPr>
      </w:pPr>
      <w:r>
        <w:rPr>
          <w:rFonts w:cs="FrankRuehl"/>
          <w:sz w:val="26"/>
          <w:rtl/>
        </w:rPr>
        <w:t>אנ</w:t>
      </w:r>
      <w:r>
        <w:rPr>
          <w:rFonts w:cs="FrankRuehl" w:hint="cs"/>
          <w:sz w:val="26"/>
          <w:rtl/>
        </w:rPr>
        <w:t>י מאשר כי ביום  התקבלה דרישה לפיצויים לפי סעיף 7(ב) לחוק העתיקות, תשל"ח</w:t>
      </w:r>
      <w:r w:rsidR="006B1A06">
        <w:rPr>
          <w:rFonts w:cs="FrankRuehl" w:hint="cs"/>
          <w:sz w:val="26"/>
          <w:rtl/>
        </w:rPr>
        <w:t>-</w:t>
      </w:r>
      <w:r>
        <w:rPr>
          <w:rFonts w:cs="FrankRuehl"/>
          <w:sz w:val="26"/>
          <w:rtl/>
        </w:rPr>
        <w:t xml:space="preserve">1978, </w:t>
      </w:r>
      <w:r>
        <w:rPr>
          <w:rFonts w:cs="FrankRuehl" w:hint="cs"/>
          <w:sz w:val="26"/>
          <w:rtl/>
        </w:rPr>
        <w:t xml:space="preserve">שהגיש  בקשר לגוש </w:t>
      </w:r>
      <w:r w:rsidR="006B1A06">
        <w:rPr>
          <w:rFonts w:cs="FrankRuehl"/>
          <w:sz w:val="26"/>
          <w:rtl/>
        </w:rPr>
        <w:fldChar w:fldCharType="begin">
          <w:ffData>
            <w:name w:val="Text12"/>
            <w:enabled/>
            <w:calcOnExit w:val="0"/>
            <w:textInput/>
          </w:ffData>
        </w:fldChar>
      </w:r>
      <w:bookmarkStart w:id="11" w:name="Text12"/>
      <w:r w:rsidR="006B1A06">
        <w:rPr>
          <w:rFonts w:cs="FrankRuehl"/>
          <w:sz w:val="26"/>
          <w:rtl/>
        </w:rPr>
        <w:instrText xml:space="preserve"> </w:instrText>
      </w:r>
      <w:r w:rsidR="006B1A06">
        <w:rPr>
          <w:rFonts w:cs="FrankRuehl" w:hint="cs"/>
          <w:sz w:val="26"/>
        </w:rPr>
        <w:instrText>FORMTEXT</w:instrText>
      </w:r>
      <w:r w:rsidR="006B1A06">
        <w:rPr>
          <w:rFonts w:cs="FrankRuehl"/>
          <w:sz w:val="26"/>
          <w:rtl/>
        </w:rPr>
        <w:instrText xml:space="preserve"> </w:instrText>
      </w:r>
      <w:r w:rsidR="00EA51B0" w:rsidRPr="006B1A06">
        <w:rPr>
          <w:rFonts w:cs="FrankRuehl"/>
          <w:sz w:val="26"/>
        </w:rPr>
      </w:r>
      <w:r w:rsidR="006B1A06">
        <w:rPr>
          <w:rFonts w:cs="FrankRuehl"/>
          <w:sz w:val="26"/>
          <w:rtl/>
        </w:rPr>
        <w:fldChar w:fldCharType="separate"/>
      </w:r>
      <w:r w:rsidR="006B1A06">
        <w:rPr>
          <w:rFonts w:cs="FrankRuehl"/>
          <w:sz w:val="26"/>
          <w:rtl/>
        </w:rPr>
        <w:t> </w:t>
      </w:r>
      <w:r w:rsidR="006B1A06">
        <w:rPr>
          <w:rFonts w:cs="FrankRuehl"/>
          <w:sz w:val="26"/>
          <w:rtl/>
        </w:rPr>
        <w:t> </w:t>
      </w:r>
      <w:r w:rsidR="006B1A06">
        <w:rPr>
          <w:rFonts w:cs="FrankRuehl"/>
          <w:sz w:val="26"/>
          <w:rtl/>
        </w:rPr>
        <w:t> </w:t>
      </w:r>
      <w:r w:rsidR="006B1A06">
        <w:rPr>
          <w:rFonts w:cs="FrankRuehl"/>
          <w:sz w:val="26"/>
          <w:rtl/>
        </w:rPr>
        <w:t> </w:t>
      </w:r>
      <w:r w:rsidR="006B1A06">
        <w:rPr>
          <w:rFonts w:cs="FrankRuehl"/>
          <w:sz w:val="26"/>
          <w:rtl/>
        </w:rPr>
        <w:t> </w:t>
      </w:r>
      <w:r w:rsidR="006B1A06">
        <w:rPr>
          <w:rFonts w:cs="FrankRuehl"/>
          <w:sz w:val="26"/>
          <w:rtl/>
        </w:rPr>
        <w:fldChar w:fldCharType="end"/>
      </w:r>
      <w:bookmarkEnd w:id="11"/>
      <w:r>
        <w:rPr>
          <w:rFonts w:cs="FrankRuehl" w:hint="cs"/>
          <w:sz w:val="26"/>
          <w:rtl/>
        </w:rPr>
        <w:t xml:space="preserve"> חלקה </w:t>
      </w:r>
      <w:r w:rsidR="006B1A06">
        <w:rPr>
          <w:rFonts w:cs="FrankRuehl"/>
          <w:sz w:val="26"/>
          <w:rtl/>
        </w:rPr>
        <w:fldChar w:fldCharType="begin">
          <w:ffData>
            <w:name w:val="Text13"/>
            <w:enabled/>
            <w:calcOnExit w:val="0"/>
            <w:textInput/>
          </w:ffData>
        </w:fldChar>
      </w:r>
      <w:bookmarkStart w:id="12" w:name="Text13"/>
      <w:r w:rsidR="006B1A06">
        <w:rPr>
          <w:rFonts w:cs="FrankRuehl"/>
          <w:sz w:val="26"/>
          <w:rtl/>
        </w:rPr>
        <w:instrText xml:space="preserve"> </w:instrText>
      </w:r>
      <w:r w:rsidR="006B1A06">
        <w:rPr>
          <w:rFonts w:cs="FrankRuehl" w:hint="cs"/>
          <w:sz w:val="26"/>
        </w:rPr>
        <w:instrText>FORMTEXT</w:instrText>
      </w:r>
      <w:r w:rsidR="006B1A06">
        <w:rPr>
          <w:rFonts w:cs="FrankRuehl"/>
          <w:sz w:val="26"/>
          <w:rtl/>
        </w:rPr>
        <w:instrText xml:space="preserve"> </w:instrText>
      </w:r>
      <w:r w:rsidR="00EA51B0" w:rsidRPr="006B1A06">
        <w:rPr>
          <w:rFonts w:cs="FrankRuehl"/>
          <w:sz w:val="26"/>
        </w:rPr>
      </w:r>
      <w:r w:rsidR="006B1A06">
        <w:rPr>
          <w:rFonts w:cs="FrankRuehl"/>
          <w:sz w:val="26"/>
          <w:rtl/>
        </w:rPr>
        <w:fldChar w:fldCharType="separate"/>
      </w:r>
      <w:r w:rsidR="006B1A06">
        <w:rPr>
          <w:rFonts w:cs="FrankRuehl"/>
          <w:sz w:val="26"/>
          <w:rtl/>
        </w:rPr>
        <w:t> </w:t>
      </w:r>
      <w:r w:rsidR="006B1A06">
        <w:rPr>
          <w:rFonts w:cs="FrankRuehl"/>
          <w:sz w:val="26"/>
          <w:rtl/>
        </w:rPr>
        <w:t> </w:t>
      </w:r>
      <w:r w:rsidR="006B1A06">
        <w:rPr>
          <w:rFonts w:cs="FrankRuehl"/>
          <w:sz w:val="26"/>
          <w:rtl/>
        </w:rPr>
        <w:t> </w:t>
      </w:r>
      <w:r w:rsidR="006B1A06">
        <w:rPr>
          <w:rFonts w:cs="FrankRuehl"/>
          <w:sz w:val="26"/>
          <w:rtl/>
        </w:rPr>
        <w:t> </w:t>
      </w:r>
      <w:r w:rsidR="006B1A06">
        <w:rPr>
          <w:rFonts w:cs="FrankRuehl"/>
          <w:sz w:val="26"/>
          <w:rtl/>
        </w:rPr>
        <w:t> </w:t>
      </w:r>
      <w:r w:rsidR="006B1A06">
        <w:rPr>
          <w:rFonts w:cs="FrankRuehl"/>
          <w:sz w:val="26"/>
          <w:rtl/>
        </w:rPr>
        <w:fldChar w:fldCharType="end"/>
      </w:r>
      <w:bookmarkEnd w:id="12"/>
    </w:p>
    <w:p w:rsidR="006B1A06" w:rsidRDefault="006B1A06" w:rsidP="006B1A06">
      <w:pPr>
        <w:pStyle w:val="P00"/>
        <w:spacing w:before="72"/>
        <w:ind w:left="0" w:right="1134"/>
        <w:rPr>
          <w:rFonts w:cs="FrankRuehl" w:hint="cs"/>
          <w:sz w:val="26"/>
          <w:rtl/>
        </w:rPr>
      </w:pPr>
    </w:p>
    <w:bookmarkStart w:id="13" w:name="Text14"/>
    <w:p w:rsidR="006B1A06" w:rsidRDefault="006B1A06" w:rsidP="006B1A0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6"/>
          <w:rtl/>
        </w:rPr>
      </w:pPr>
      <w:r>
        <w:rPr>
          <w:rFonts w:cs="FrankRuehl"/>
          <w:sz w:val="26"/>
          <w:rtl/>
        </w:rPr>
        <w:fldChar w:fldCharType="begin">
          <w:ffData>
            <w:name w:val="Text14"/>
            <w:enabled/>
            <w:calcOnExit w:val="0"/>
            <w:textInput>
              <w:default w:val="תאריך"/>
            </w:textInput>
          </w:ffData>
        </w:fldChar>
      </w:r>
      <w:r>
        <w:rPr>
          <w:rFonts w:cs="FrankRuehl"/>
          <w:sz w:val="26"/>
          <w:rtl/>
        </w:rPr>
        <w:instrText xml:space="preserve"> </w:instrText>
      </w:r>
      <w:r>
        <w:rPr>
          <w:rFonts w:cs="FrankRuehl"/>
          <w:sz w:val="26"/>
        </w:rPr>
        <w:instrText>FORMTEXT</w:instrText>
      </w:r>
      <w:r>
        <w:rPr>
          <w:rFonts w:cs="FrankRuehl"/>
          <w:sz w:val="26"/>
          <w:rtl/>
        </w:rPr>
        <w:instrText xml:space="preserve"> </w:instrText>
      </w:r>
      <w:r w:rsidR="00EA51B0" w:rsidRPr="006B1A06">
        <w:rPr>
          <w:rFonts w:cs="FrankRuehl"/>
          <w:sz w:val="26"/>
        </w:rPr>
      </w:r>
      <w:r>
        <w:rPr>
          <w:rFonts w:cs="FrankRuehl"/>
          <w:sz w:val="26"/>
          <w:rtl/>
        </w:rPr>
        <w:fldChar w:fldCharType="separate"/>
      </w:r>
      <w:r>
        <w:rPr>
          <w:rFonts w:cs="FrankRuehl"/>
          <w:sz w:val="26"/>
          <w:rtl/>
        </w:rPr>
        <w:t>תאריך</w:t>
      </w:r>
      <w:r>
        <w:rPr>
          <w:rFonts w:cs="FrankRuehl"/>
          <w:sz w:val="26"/>
          <w:rtl/>
        </w:rPr>
        <w:fldChar w:fldCharType="end"/>
      </w:r>
      <w:bookmarkEnd w:id="13"/>
      <w:r>
        <w:rPr>
          <w:rFonts w:cs="FrankRuehl" w:hint="cs"/>
          <w:sz w:val="26"/>
          <w:rtl/>
        </w:rPr>
        <w:tab/>
        <w:t>______________________</w:t>
      </w:r>
    </w:p>
    <w:p w:rsidR="006B1A06" w:rsidRPr="006B1A06" w:rsidRDefault="006B1A06" w:rsidP="006B1A06">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cs="FrankRuehl" w:hint="cs"/>
          <w:sz w:val="22"/>
          <w:szCs w:val="22"/>
          <w:rtl/>
        </w:rPr>
      </w:pPr>
      <w:r w:rsidRPr="006B1A06">
        <w:rPr>
          <w:rFonts w:cs="FrankRuehl" w:hint="cs"/>
          <w:sz w:val="22"/>
          <w:szCs w:val="22"/>
          <w:rtl/>
        </w:rPr>
        <w:tab/>
        <w:t>חתימת מנהל אגף העתיקות והמוזיאונים</w:t>
      </w:r>
    </w:p>
    <w:p w:rsidR="0014620A" w:rsidRPr="006B1A06" w:rsidRDefault="0014620A" w:rsidP="006B1A06">
      <w:pPr>
        <w:pStyle w:val="P00"/>
        <w:spacing w:before="72"/>
        <w:ind w:left="0" w:right="1134"/>
        <w:rPr>
          <w:rStyle w:val="default"/>
          <w:rFonts w:cs="FrankRuehl" w:hint="cs"/>
          <w:rtl/>
        </w:rPr>
      </w:pPr>
    </w:p>
    <w:p w:rsidR="006B1A06" w:rsidRPr="006B1A06" w:rsidRDefault="006B1A06" w:rsidP="006B1A06">
      <w:pPr>
        <w:pStyle w:val="P00"/>
        <w:spacing w:before="72"/>
        <w:ind w:left="0" w:right="1134"/>
        <w:rPr>
          <w:rStyle w:val="default"/>
          <w:rFonts w:cs="FrankRuehl"/>
          <w:rtl/>
        </w:rPr>
      </w:pPr>
    </w:p>
    <w:p w:rsidR="0014620A" w:rsidRDefault="0014620A">
      <w:pPr>
        <w:pStyle w:val="sig-0"/>
        <w:ind w:left="0" w:right="1134"/>
        <w:rPr>
          <w:rFonts w:cs="FrankRuehl"/>
          <w:sz w:val="26"/>
          <w:rtl/>
        </w:rPr>
      </w:pPr>
      <w:r>
        <w:rPr>
          <w:rFonts w:cs="FrankRuehl"/>
          <w:sz w:val="26"/>
          <w:rtl/>
        </w:rPr>
        <w:t>י"</w:t>
      </w:r>
      <w:r>
        <w:rPr>
          <w:rFonts w:cs="FrankRuehl" w:hint="cs"/>
          <w:sz w:val="26"/>
          <w:rtl/>
        </w:rPr>
        <w:t>ג בסיון תשמ"ג (25 במאי 1983)</w:t>
      </w:r>
      <w:r>
        <w:rPr>
          <w:rFonts w:cs="FrankRuehl"/>
          <w:sz w:val="26"/>
          <w:rtl/>
        </w:rPr>
        <w:tab/>
        <w:t>ז</w:t>
      </w:r>
      <w:r>
        <w:rPr>
          <w:rFonts w:cs="FrankRuehl" w:hint="cs"/>
          <w:sz w:val="26"/>
          <w:rtl/>
        </w:rPr>
        <w:t>בולון המר</w:t>
      </w:r>
    </w:p>
    <w:p w:rsidR="0014620A" w:rsidRDefault="0014620A">
      <w:pPr>
        <w:pStyle w:val="sig-1"/>
        <w:widowControl/>
        <w:ind w:left="0" w:right="1134"/>
        <w:rPr>
          <w:rFonts w:cs="FrankRuehl" w:hint="cs"/>
          <w:sz w:val="22"/>
          <w:rtl/>
        </w:rPr>
      </w:pPr>
      <w:r>
        <w:rPr>
          <w:rFonts w:cs="FrankRuehl"/>
          <w:sz w:val="22"/>
          <w:rtl/>
        </w:rPr>
        <w:tab/>
      </w:r>
      <w:r>
        <w:rPr>
          <w:rFonts w:cs="FrankRuehl"/>
          <w:sz w:val="22"/>
          <w:rtl/>
        </w:rPr>
        <w:tab/>
      </w:r>
      <w:r>
        <w:rPr>
          <w:rFonts w:cs="FrankRuehl"/>
          <w:sz w:val="22"/>
          <w:rtl/>
        </w:rPr>
        <w:tab/>
        <w:t>ש</w:t>
      </w:r>
      <w:r>
        <w:rPr>
          <w:rFonts w:cs="FrankRuehl" w:hint="cs"/>
          <w:sz w:val="22"/>
          <w:rtl/>
        </w:rPr>
        <w:t>ר החינוך והתרבות</w:t>
      </w:r>
    </w:p>
    <w:p w:rsidR="006B1A06" w:rsidRPr="006B1A06" w:rsidRDefault="006B1A06" w:rsidP="006B1A06">
      <w:pPr>
        <w:pStyle w:val="P00"/>
        <w:spacing w:before="72"/>
        <w:ind w:left="0" w:right="1134"/>
        <w:rPr>
          <w:rStyle w:val="default"/>
          <w:rFonts w:cs="FrankRuehl" w:hint="cs"/>
          <w:rtl/>
        </w:rPr>
      </w:pPr>
    </w:p>
    <w:p w:rsidR="006B1A06" w:rsidRPr="006B1A06" w:rsidRDefault="006B1A06" w:rsidP="006B1A06">
      <w:pPr>
        <w:pStyle w:val="P00"/>
        <w:spacing w:before="72"/>
        <w:ind w:left="0" w:right="1134"/>
        <w:rPr>
          <w:rStyle w:val="default"/>
          <w:rFonts w:cs="FrankRuehl"/>
          <w:rtl/>
        </w:rPr>
      </w:pPr>
    </w:p>
    <w:p w:rsidR="0014620A" w:rsidRPr="006B1A06" w:rsidRDefault="0014620A" w:rsidP="006B1A06">
      <w:pPr>
        <w:pStyle w:val="P00"/>
        <w:spacing w:before="72"/>
        <w:ind w:left="0" w:right="1134"/>
        <w:rPr>
          <w:rStyle w:val="default"/>
          <w:rFonts w:cs="FrankRuehl"/>
          <w:rtl/>
        </w:rPr>
      </w:pPr>
      <w:bookmarkStart w:id="14" w:name="LawPartEnd"/>
    </w:p>
    <w:bookmarkEnd w:id="14"/>
    <w:p w:rsidR="0014620A" w:rsidRPr="006B1A06" w:rsidRDefault="0014620A" w:rsidP="006B1A06">
      <w:pPr>
        <w:pStyle w:val="P00"/>
        <w:spacing w:before="72"/>
        <w:ind w:left="0" w:right="1134"/>
        <w:rPr>
          <w:rStyle w:val="default"/>
          <w:rFonts w:cs="FrankRuehl"/>
          <w:rtl/>
        </w:rPr>
      </w:pPr>
    </w:p>
    <w:sectPr w:rsidR="0014620A" w:rsidRPr="006B1A06">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B40A4A" w:rsidRDefault="00B40A4A">
      <w:r>
        <w:separator/>
      </w:r>
    </w:p>
  </w:endnote>
  <w:endnote w:type="continuationSeparator" w:id="0">
    <w:p w:rsidR="00B40A4A" w:rsidRDefault="00B40A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20A" w:rsidRDefault="001462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14620A" w:rsidRDefault="001462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4620A" w:rsidRDefault="001462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1A06">
      <w:rPr>
        <w:rFonts w:cs="TopType Jerushalmi"/>
        <w:noProof/>
        <w:color w:val="000000"/>
        <w:sz w:val="14"/>
        <w:szCs w:val="14"/>
      </w:rPr>
      <w:t>D:\Yael\hakika\Revadim</w:t>
    </w:r>
    <w:r w:rsidR="006B1A06" w:rsidRPr="006B1A06">
      <w:rPr>
        <w:rFonts w:cs="TopType Jerushalmi"/>
        <w:noProof/>
        <w:color w:val="000000"/>
        <w:sz w:val="14"/>
        <w:szCs w:val="14"/>
        <w:rtl/>
      </w:rPr>
      <w:t>\קישורים\</w:t>
    </w:r>
    <w:r w:rsidR="006B1A06">
      <w:rPr>
        <w:rFonts w:cs="TopType Jerushalmi"/>
        <w:noProof/>
        <w:color w:val="000000"/>
        <w:sz w:val="14"/>
        <w:szCs w:val="14"/>
      </w:rPr>
      <w:t>p186_008.doc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20A" w:rsidRDefault="0014620A">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233994">
      <w:rPr>
        <w:rFonts w:hAnsi="FrankRuehl" w:cs="FrankRuehl"/>
        <w:noProof/>
        <w:sz w:val="24"/>
        <w:szCs w:val="24"/>
        <w:rtl/>
      </w:rPr>
      <w:t>3</w:t>
    </w:r>
    <w:r>
      <w:rPr>
        <w:rFonts w:hAnsi="FrankRuehl" w:cs="FrankRuehl"/>
        <w:sz w:val="24"/>
        <w:szCs w:val="24"/>
        <w:rtl/>
      </w:rPr>
      <w:fldChar w:fldCharType="end"/>
    </w:r>
  </w:p>
  <w:p w:rsidR="0014620A" w:rsidRDefault="0014620A">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rsidR="0014620A" w:rsidRDefault="0014620A">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6B1A06">
      <w:rPr>
        <w:rFonts w:cs="TopType Jerushalmi"/>
        <w:noProof/>
        <w:color w:val="000000"/>
        <w:sz w:val="14"/>
        <w:szCs w:val="14"/>
      </w:rPr>
      <w:t>D:\Yael\hakika\Revadim</w:t>
    </w:r>
    <w:r w:rsidR="006B1A06" w:rsidRPr="006B1A06">
      <w:rPr>
        <w:rFonts w:cs="TopType Jerushalmi"/>
        <w:noProof/>
        <w:color w:val="000000"/>
        <w:sz w:val="14"/>
        <w:szCs w:val="14"/>
        <w:rtl/>
      </w:rPr>
      <w:t>\קישורים\</w:t>
    </w:r>
    <w:r w:rsidR="006B1A06">
      <w:rPr>
        <w:rFonts w:cs="TopType Jerushalmi"/>
        <w:noProof/>
        <w:color w:val="000000"/>
        <w:sz w:val="14"/>
        <w:szCs w:val="14"/>
      </w:rPr>
      <w:t>p186_008.doc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B40A4A" w:rsidRDefault="00B40A4A" w:rsidP="006B1A06">
      <w:pPr>
        <w:spacing w:before="60" w:line="240" w:lineRule="auto"/>
        <w:ind w:right="1134"/>
      </w:pPr>
      <w:r>
        <w:separator/>
      </w:r>
    </w:p>
  </w:footnote>
  <w:footnote w:type="continuationSeparator" w:id="0">
    <w:p w:rsidR="00B40A4A" w:rsidRDefault="00B40A4A">
      <w:r>
        <w:continuationSeparator/>
      </w:r>
    </w:p>
  </w:footnote>
  <w:footnote w:id="1">
    <w:p w:rsidR="006B1A06" w:rsidRPr="006B1A06" w:rsidRDefault="006B1A06" w:rsidP="006B1A0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r w:rsidRPr="006B1A06">
        <w:rPr>
          <w:rFonts w:cs="FrankRuehl"/>
          <w:rtl/>
        </w:rPr>
        <w:t xml:space="preserve">* </w:t>
      </w:r>
      <w:r>
        <w:rPr>
          <w:rFonts w:cs="FrankRuehl"/>
          <w:rtl/>
        </w:rPr>
        <w:t>פו</w:t>
      </w:r>
      <w:r>
        <w:rPr>
          <w:rFonts w:cs="FrankRuehl" w:hint="cs"/>
          <w:rtl/>
        </w:rPr>
        <w:t xml:space="preserve">רסמו </w:t>
      </w:r>
      <w:hyperlink r:id="rId1" w:history="1">
        <w:r w:rsidRPr="000F1CF8">
          <w:rPr>
            <w:rStyle w:val="Hyperlink"/>
            <w:rFonts w:cs="FrankRuehl" w:hint="cs"/>
            <w:rtl/>
          </w:rPr>
          <w:t>ק"ת תשמ"ג מס' 4505</w:t>
        </w:r>
      </w:hyperlink>
      <w:r>
        <w:rPr>
          <w:rFonts w:cs="FrankRuehl" w:hint="cs"/>
          <w:rtl/>
        </w:rPr>
        <w:t xml:space="preserve"> מיום 23.6.1983 עמ' 1583.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20A" w:rsidRDefault="0014620A">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(דרישת פיצוי), תשמ"ג–1983</w:t>
    </w:r>
  </w:p>
  <w:p w:rsidR="0014620A" w:rsidRDefault="001462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620A" w:rsidRDefault="0014620A">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4620A" w:rsidRDefault="0014620A" w:rsidP="006B1A06">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העתיקות (דרישת פיצוי), תשמ"ג</w:t>
    </w:r>
    <w:r w:rsidR="006B1A06">
      <w:rPr>
        <w:rFonts w:hAnsi="FrankRuehl" w:cs="FrankRuehl" w:hint="cs"/>
        <w:color w:val="000000"/>
        <w:sz w:val="28"/>
        <w:szCs w:val="28"/>
        <w:rtl/>
      </w:rPr>
      <w:t>-</w:t>
    </w:r>
    <w:r>
      <w:rPr>
        <w:rFonts w:hAnsi="FrankRuehl" w:cs="FrankRuehl"/>
        <w:color w:val="000000"/>
        <w:sz w:val="28"/>
        <w:szCs w:val="28"/>
        <w:rtl/>
      </w:rPr>
      <w:t>1983</w:t>
    </w:r>
  </w:p>
  <w:p w:rsidR="0014620A" w:rsidRDefault="0014620A">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rsidR="0014620A" w:rsidRDefault="0014620A">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F1CF8"/>
    <w:rsid w:val="000F1CF8"/>
    <w:rsid w:val="0014620A"/>
    <w:rsid w:val="00233994"/>
    <w:rsid w:val="006B1A06"/>
    <w:rsid w:val="00744B77"/>
    <w:rsid w:val="007738F6"/>
    <w:rsid w:val="00B40A4A"/>
    <w:rsid w:val="00DB125F"/>
    <w:rsid w:val="00E91B5F"/>
    <w:rsid w:val="00EA51B0"/>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636BF34E-5B27-4AE5-B1C3-8F268D8090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04">
    <w:name w:val="P04"/>
    <w:basedOn w:val="P00"/>
    <w:pPr>
      <w:ind w:right="1928" w:hanging="1928"/>
    </w:p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6B1A06"/>
    <w:rPr>
      <w:sz w:val="20"/>
      <w:szCs w:val="20"/>
    </w:rPr>
  </w:style>
  <w:style w:type="character" w:styleId="a6">
    <w:name w:val="footnote reference"/>
    <w:basedOn w:val="a0"/>
    <w:semiHidden/>
    <w:rsid w:val="006B1A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TFASIM/&#1496;&#1508;&#1505;&#1497;&#1501;%20&#1502;&#1513;&#1508;&#1496;&#1497;&#1497;&#1501;/&#1513;&#1493;&#1504;&#1493;&#1514;/&#1506;&#1514;&#1497;&#1511;&#1493;&#1514;/&#1491;&#1512;&#1497;&#1513;&#1492;%20&#1500;&#1508;&#1497;&#1510;&#1493;&#1497;&#1497;&#1501;.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450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505</Words>
  <Characters>2883</Characters>
  <Application>Microsoft Office Word</Application>
  <DocSecurity>0</DocSecurity>
  <Lines>24</Lines>
  <Paragraphs>6</Paragraphs>
  <ScaleCrop>false</ScaleCrop>
  <HeadingPairs>
    <vt:vector size="2" baseType="variant">
      <vt:variant>
        <vt:lpstr>שם</vt:lpstr>
      </vt:variant>
      <vt:variant>
        <vt:i4>1</vt:i4>
      </vt:variant>
    </vt:vector>
  </HeadingPairs>
  <TitlesOfParts>
    <vt:vector size="1" baseType="lpstr">
      <vt:lpstr>פרק 186</vt:lpstr>
    </vt:vector>
  </TitlesOfParts>
  <Company/>
  <LinksUpToDate>false</LinksUpToDate>
  <CharactersWithSpaces>3382</CharactersWithSpaces>
  <SharedDoc>false</SharedDoc>
  <HLinks>
    <vt:vector size="78" baseType="variant">
      <vt:variant>
        <vt:i4>93586860</vt:i4>
      </vt:variant>
      <vt:variant>
        <vt:i4>66</vt:i4>
      </vt:variant>
      <vt:variant>
        <vt:i4>0</vt:i4>
      </vt:variant>
      <vt:variant>
        <vt:i4>5</vt:i4>
      </vt:variant>
      <vt:variant>
        <vt:lpwstr>http://www.nevo.co.il/TFASIM/טפסים משפטיים/שונות/עתיקות/דרישה לפיצויים.DOC</vt:lpwstr>
      </vt:variant>
      <vt:variant>
        <vt:lpwstr/>
      </vt:variant>
      <vt:variant>
        <vt:i4>5505033</vt:i4>
      </vt:variant>
      <vt:variant>
        <vt:i4>63</vt:i4>
      </vt:variant>
      <vt:variant>
        <vt:i4>0</vt:i4>
      </vt:variant>
      <vt:variant>
        <vt:i4>5</vt:i4>
      </vt:variant>
      <vt:variant>
        <vt:lpwstr/>
      </vt:variant>
      <vt:variant>
        <vt:lpwstr>med1</vt:lpwstr>
      </vt:variant>
      <vt:variant>
        <vt:i4>5570569</vt:i4>
      </vt:variant>
      <vt:variant>
        <vt:i4>57</vt:i4>
      </vt:variant>
      <vt:variant>
        <vt:i4>0</vt:i4>
      </vt:variant>
      <vt:variant>
        <vt:i4>5</vt:i4>
      </vt:variant>
      <vt:variant>
        <vt:lpwstr/>
      </vt:variant>
      <vt:variant>
        <vt:lpwstr>med0</vt:lpwstr>
      </vt:variant>
      <vt:variant>
        <vt:i4>196634</vt:i4>
      </vt:variant>
      <vt:variant>
        <vt:i4>51</vt:i4>
      </vt:variant>
      <vt:variant>
        <vt:i4>0</vt:i4>
      </vt:variant>
      <vt:variant>
        <vt:i4>5</vt:i4>
      </vt:variant>
      <vt:variant>
        <vt:lpwstr/>
      </vt:variant>
      <vt:variant>
        <vt:lpwstr>Seif8</vt:lpwstr>
      </vt:variant>
      <vt:variant>
        <vt:i4>196634</vt:i4>
      </vt:variant>
      <vt:variant>
        <vt:i4>45</vt:i4>
      </vt:variant>
      <vt:variant>
        <vt:i4>0</vt:i4>
      </vt:variant>
      <vt:variant>
        <vt:i4>5</vt:i4>
      </vt:variant>
      <vt:variant>
        <vt:lpwstr/>
      </vt:variant>
      <vt:variant>
        <vt:lpwstr>Seif7</vt:lpwstr>
      </vt:variant>
      <vt:variant>
        <vt:i4>196634</vt:i4>
      </vt:variant>
      <vt:variant>
        <vt:i4>39</vt:i4>
      </vt:variant>
      <vt:variant>
        <vt:i4>0</vt:i4>
      </vt:variant>
      <vt:variant>
        <vt:i4>5</vt:i4>
      </vt:variant>
      <vt:variant>
        <vt:lpwstr/>
      </vt:variant>
      <vt:variant>
        <vt:lpwstr>Seif6</vt:lpwstr>
      </vt:variant>
      <vt:variant>
        <vt:i4>196634</vt:i4>
      </vt:variant>
      <vt:variant>
        <vt:i4>33</vt:i4>
      </vt:variant>
      <vt:variant>
        <vt:i4>0</vt:i4>
      </vt:variant>
      <vt:variant>
        <vt:i4>5</vt:i4>
      </vt:variant>
      <vt:variant>
        <vt:lpwstr/>
      </vt:variant>
      <vt:variant>
        <vt:lpwstr>Seif5</vt:lpwstr>
      </vt:variant>
      <vt:variant>
        <vt:i4>196634</vt:i4>
      </vt:variant>
      <vt:variant>
        <vt:i4>27</vt:i4>
      </vt:variant>
      <vt:variant>
        <vt:i4>0</vt:i4>
      </vt:variant>
      <vt:variant>
        <vt:i4>5</vt:i4>
      </vt:variant>
      <vt:variant>
        <vt:lpwstr/>
      </vt:variant>
      <vt:variant>
        <vt:lpwstr>Seif4</vt:lpwstr>
      </vt:variant>
      <vt:variant>
        <vt:i4>196634</vt:i4>
      </vt:variant>
      <vt:variant>
        <vt:i4>21</vt:i4>
      </vt:variant>
      <vt:variant>
        <vt:i4>0</vt:i4>
      </vt:variant>
      <vt:variant>
        <vt:i4>5</vt:i4>
      </vt:variant>
      <vt:variant>
        <vt:lpwstr/>
      </vt:variant>
      <vt:variant>
        <vt:lpwstr>Seif3</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8192008</vt:i4>
      </vt:variant>
      <vt:variant>
        <vt:i4>0</vt:i4>
      </vt:variant>
      <vt:variant>
        <vt:i4>0</vt:i4>
      </vt:variant>
      <vt:variant>
        <vt:i4>5</vt:i4>
      </vt:variant>
      <vt:variant>
        <vt:lpwstr>http://www.nevo.co.il/Law_word/law06/TAK-4505.pdf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186</dc:title>
  <dc:subject/>
  <dc:creator>Shimon Doodkin</dc:creator>
  <cp:keywords/>
  <dc:description/>
  <cp:lastModifiedBy>Shimon Doodkin</cp:lastModifiedBy>
  <cp:revision>2</cp:revision>
  <dcterms:created xsi:type="dcterms:W3CDTF">2023-06-05T20:29:00Z</dcterms:created>
  <dcterms:modified xsi:type="dcterms:W3CDTF">2023-06-05T20:29:00Z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p186</vt:lpwstr>
  </property>
  <property fmtid="{D5CDD505-2E9C-101B-9397-08002B2CF9AE}" pid="3" name="CHNAME">
    <vt:lpwstr>עתיקות</vt:lpwstr>
  </property>
  <property fmtid="{D5CDD505-2E9C-101B-9397-08002B2CF9AE}" pid="4" name="LAWNAME">
    <vt:lpwstr>תקנות העתיקות (דרישת פיצוי), תשמ"ג-1983</vt:lpwstr>
  </property>
  <property fmtid="{D5CDD505-2E9C-101B-9397-08002B2CF9AE}" pid="5" name="LAWNUMBER">
    <vt:lpwstr>0008</vt:lpwstr>
  </property>
  <property fmtid="{D5CDD505-2E9C-101B-9397-08002B2CF9AE}" pid="6" name="TYPE">
    <vt:lpwstr>01</vt:lpwstr>
  </property>
  <property fmtid="{D5CDD505-2E9C-101B-9397-08002B2CF9AE}" pid="7" name="NOSE11">
    <vt:lpwstr>רשויות ומשפט מנהלי</vt:lpwstr>
  </property>
  <property fmtid="{D5CDD505-2E9C-101B-9397-08002B2CF9AE}" pid="8" name="NOSE21">
    <vt:lpwstr>עתיקות</vt:lpwstr>
  </property>
  <property fmtid="{D5CDD505-2E9C-101B-9397-08002B2CF9AE}" pid="9" name="NOSE31">
    <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