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D2F93" w:rsidRDefault="008D2F93" w:rsidP="000E68CD">
      <w:pPr>
        <w:pStyle w:val="big-header"/>
        <w:ind w:left="0" w:right="1134"/>
        <w:rPr>
          <w:rFonts w:cs="FrankRuehl"/>
          <w:sz w:val="32"/>
        </w:rPr>
      </w:pPr>
      <w:r>
        <w:rPr>
          <w:rFonts w:cs="FrankRuehl"/>
          <w:sz w:val="32"/>
          <w:rtl/>
        </w:rPr>
        <w:t>תקנות העתיקות (סדרי דין בועדת ערר), תשמ"א</w:t>
      </w:r>
      <w:r w:rsidR="000E68CD">
        <w:rPr>
          <w:rFonts w:cs="FrankRuehl" w:hint="cs"/>
          <w:sz w:val="32"/>
          <w:rtl/>
        </w:rPr>
        <w:t>-</w:t>
      </w:r>
      <w:r>
        <w:rPr>
          <w:rFonts w:cs="FrankRuehl"/>
          <w:sz w:val="32"/>
          <w:rtl/>
        </w:rPr>
        <w:t>1981</w:t>
      </w:r>
    </w:p>
    <w:p w:rsidR="00DC287B" w:rsidRPr="00DC287B" w:rsidRDefault="00DC287B" w:rsidP="00DC287B">
      <w:pPr>
        <w:spacing w:line="320" w:lineRule="auto"/>
        <w:jc w:val="left"/>
        <w:rPr>
          <w:rFonts w:cs="FrankRuehl"/>
          <w:szCs w:val="26"/>
          <w:rtl/>
        </w:rPr>
      </w:pPr>
    </w:p>
    <w:p w:rsidR="00DC287B" w:rsidRDefault="00DC287B" w:rsidP="00DC287B">
      <w:pPr>
        <w:spacing w:line="320" w:lineRule="auto"/>
        <w:jc w:val="left"/>
        <w:rPr>
          <w:rtl/>
        </w:rPr>
      </w:pPr>
    </w:p>
    <w:p w:rsidR="00DC287B" w:rsidRPr="00DC287B" w:rsidRDefault="00DC287B" w:rsidP="00DC287B">
      <w:pPr>
        <w:spacing w:line="320" w:lineRule="auto"/>
        <w:jc w:val="left"/>
        <w:rPr>
          <w:rFonts w:cs="Miriam"/>
          <w:szCs w:val="22"/>
          <w:rtl/>
        </w:rPr>
      </w:pPr>
      <w:r w:rsidRPr="00DC287B">
        <w:rPr>
          <w:rFonts w:cs="Miriam"/>
          <w:szCs w:val="22"/>
          <w:rtl/>
        </w:rPr>
        <w:t>רשויות ומשפט מנהלי</w:t>
      </w:r>
      <w:r w:rsidRPr="00DC287B">
        <w:rPr>
          <w:rFonts w:cs="FrankRuehl"/>
          <w:szCs w:val="26"/>
          <w:rtl/>
        </w:rPr>
        <w:t xml:space="preserve"> – עתיקות</w:t>
      </w:r>
    </w:p>
    <w:p w:rsidR="008D2F93" w:rsidRDefault="008D2F93">
      <w:pPr>
        <w:pStyle w:val="big-header"/>
        <w:ind w:left="0" w:right="1134"/>
        <w:rPr>
          <w:rFonts w:cs="FrankRuehl" w:hint="cs"/>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8D2F93">
        <w:tblPrEx>
          <w:tblCellMar>
            <w:top w:w="0" w:type="dxa"/>
            <w:bottom w:w="0" w:type="dxa"/>
          </w:tblCellMar>
        </w:tblPrEx>
        <w:tc>
          <w:tcPr>
            <w:tcW w:w="850" w:type="dxa"/>
          </w:tcPr>
          <w:p w:rsidR="008D2F93" w:rsidRDefault="008D2F93">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0E68CD">
              <w:rPr>
                <w:noProof/>
                <w:sz w:val="24"/>
                <w:rtl/>
              </w:rPr>
              <w:t>2</w:t>
            </w:r>
            <w:r>
              <w:rPr>
                <w:sz w:val="24"/>
                <w:rtl/>
              </w:rPr>
              <w:fldChar w:fldCharType="end"/>
            </w:r>
          </w:p>
        </w:tc>
        <w:tc>
          <w:tcPr>
            <w:tcW w:w="567" w:type="dxa"/>
          </w:tcPr>
          <w:p w:rsidR="008D2F93" w:rsidRDefault="008D2F93">
            <w:pPr>
              <w:spacing w:line="240" w:lineRule="auto"/>
              <w:rPr>
                <w:sz w:val="24"/>
              </w:rPr>
            </w:pPr>
            <w:hyperlink w:anchor="Seif0" w:tooltip="הגדרות" w:history="1">
              <w:r>
                <w:rPr>
                  <w:rStyle w:val="Hyperlink"/>
                </w:rPr>
                <w:t>Go</w:t>
              </w:r>
            </w:hyperlink>
          </w:p>
        </w:tc>
        <w:tc>
          <w:tcPr>
            <w:tcW w:w="5669" w:type="dxa"/>
          </w:tcPr>
          <w:p w:rsidR="008D2F93" w:rsidRDefault="008D2F93">
            <w:pPr>
              <w:spacing w:line="240" w:lineRule="auto"/>
              <w:rPr>
                <w:sz w:val="24"/>
                <w:rtl/>
              </w:rPr>
            </w:pPr>
            <w:r>
              <w:rPr>
                <w:sz w:val="24"/>
                <w:rtl/>
              </w:rPr>
              <w:t>הגדרות</w:t>
            </w:r>
          </w:p>
        </w:tc>
        <w:tc>
          <w:tcPr>
            <w:tcW w:w="1247" w:type="dxa"/>
          </w:tcPr>
          <w:p w:rsidR="008D2F93" w:rsidRDefault="008D2F93">
            <w:pPr>
              <w:spacing w:line="240" w:lineRule="auto"/>
              <w:rPr>
                <w:sz w:val="24"/>
              </w:rPr>
            </w:pPr>
            <w:r>
              <w:rPr>
                <w:sz w:val="24"/>
                <w:rtl/>
              </w:rPr>
              <w:t xml:space="preserve">סעיף 1 </w:t>
            </w:r>
          </w:p>
        </w:tc>
      </w:tr>
      <w:tr w:rsidR="008D2F93">
        <w:tblPrEx>
          <w:tblCellMar>
            <w:top w:w="0" w:type="dxa"/>
            <w:bottom w:w="0" w:type="dxa"/>
          </w:tblCellMar>
        </w:tblPrEx>
        <w:tc>
          <w:tcPr>
            <w:tcW w:w="850" w:type="dxa"/>
          </w:tcPr>
          <w:p w:rsidR="008D2F93" w:rsidRDefault="008D2F93">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0E68CD">
              <w:rPr>
                <w:noProof/>
                <w:sz w:val="24"/>
                <w:rtl/>
              </w:rPr>
              <w:t>2</w:t>
            </w:r>
            <w:r>
              <w:rPr>
                <w:sz w:val="24"/>
                <w:rtl/>
              </w:rPr>
              <w:fldChar w:fldCharType="end"/>
            </w:r>
          </w:p>
        </w:tc>
        <w:tc>
          <w:tcPr>
            <w:tcW w:w="567" w:type="dxa"/>
          </w:tcPr>
          <w:p w:rsidR="008D2F93" w:rsidRDefault="008D2F93">
            <w:pPr>
              <w:spacing w:line="240" w:lineRule="auto"/>
              <w:rPr>
                <w:sz w:val="24"/>
              </w:rPr>
            </w:pPr>
            <w:hyperlink w:anchor="Seif1" w:tooltip="הגשת ערר" w:history="1">
              <w:r>
                <w:rPr>
                  <w:rStyle w:val="Hyperlink"/>
                </w:rPr>
                <w:t>Go</w:t>
              </w:r>
            </w:hyperlink>
          </w:p>
        </w:tc>
        <w:tc>
          <w:tcPr>
            <w:tcW w:w="5669" w:type="dxa"/>
          </w:tcPr>
          <w:p w:rsidR="008D2F93" w:rsidRDefault="008D2F93">
            <w:pPr>
              <w:spacing w:line="240" w:lineRule="auto"/>
              <w:rPr>
                <w:sz w:val="24"/>
                <w:rtl/>
              </w:rPr>
            </w:pPr>
            <w:r>
              <w:rPr>
                <w:sz w:val="24"/>
                <w:rtl/>
              </w:rPr>
              <w:t>הגשת ערר</w:t>
            </w:r>
          </w:p>
        </w:tc>
        <w:tc>
          <w:tcPr>
            <w:tcW w:w="1247" w:type="dxa"/>
          </w:tcPr>
          <w:p w:rsidR="008D2F93" w:rsidRDefault="008D2F93">
            <w:pPr>
              <w:spacing w:line="240" w:lineRule="auto"/>
              <w:rPr>
                <w:sz w:val="24"/>
              </w:rPr>
            </w:pPr>
            <w:r>
              <w:rPr>
                <w:sz w:val="24"/>
                <w:rtl/>
              </w:rPr>
              <w:t xml:space="preserve">סעיף 2 </w:t>
            </w:r>
          </w:p>
        </w:tc>
      </w:tr>
      <w:tr w:rsidR="008D2F93">
        <w:tblPrEx>
          <w:tblCellMar>
            <w:top w:w="0" w:type="dxa"/>
            <w:bottom w:w="0" w:type="dxa"/>
          </w:tblCellMar>
        </w:tblPrEx>
        <w:tc>
          <w:tcPr>
            <w:tcW w:w="850" w:type="dxa"/>
          </w:tcPr>
          <w:p w:rsidR="008D2F93" w:rsidRDefault="008D2F93">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0E68CD">
              <w:rPr>
                <w:noProof/>
                <w:sz w:val="24"/>
                <w:rtl/>
              </w:rPr>
              <w:t>2</w:t>
            </w:r>
            <w:r>
              <w:rPr>
                <w:sz w:val="24"/>
                <w:rtl/>
              </w:rPr>
              <w:fldChar w:fldCharType="end"/>
            </w:r>
          </w:p>
        </w:tc>
        <w:tc>
          <w:tcPr>
            <w:tcW w:w="567" w:type="dxa"/>
          </w:tcPr>
          <w:p w:rsidR="008D2F93" w:rsidRDefault="008D2F93">
            <w:pPr>
              <w:spacing w:line="240" w:lineRule="auto"/>
              <w:rPr>
                <w:sz w:val="24"/>
              </w:rPr>
            </w:pPr>
            <w:hyperlink w:anchor="Seif2" w:tooltip="כתב ערר" w:history="1">
              <w:r>
                <w:rPr>
                  <w:rStyle w:val="Hyperlink"/>
                </w:rPr>
                <w:t>Go</w:t>
              </w:r>
            </w:hyperlink>
          </w:p>
        </w:tc>
        <w:tc>
          <w:tcPr>
            <w:tcW w:w="5669" w:type="dxa"/>
          </w:tcPr>
          <w:p w:rsidR="008D2F93" w:rsidRDefault="008D2F93">
            <w:pPr>
              <w:spacing w:line="240" w:lineRule="auto"/>
              <w:rPr>
                <w:sz w:val="24"/>
                <w:rtl/>
              </w:rPr>
            </w:pPr>
            <w:r>
              <w:rPr>
                <w:sz w:val="24"/>
                <w:rtl/>
              </w:rPr>
              <w:t>כתב ערר</w:t>
            </w:r>
          </w:p>
        </w:tc>
        <w:tc>
          <w:tcPr>
            <w:tcW w:w="1247" w:type="dxa"/>
          </w:tcPr>
          <w:p w:rsidR="008D2F93" w:rsidRDefault="008D2F93">
            <w:pPr>
              <w:spacing w:line="240" w:lineRule="auto"/>
              <w:rPr>
                <w:sz w:val="24"/>
              </w:rPr>
            </w:pPr>
            <w:r>
              <w:rPr>
                <w:sz w:val="24"/>
                <w:rtl/>
              </w:rPr>
              <w:t xml:space="preserve">סעיף 3 </w:t>
            </w:r>
          </w:p>
        </w:tc>
      </w:tr>
      <w:tr w:rsidR="008D2F93">
        <w:tblPrEx>
          <w:tblCellMar>
            <w:top w:w="0" w:type="dxa"/>
            <w:bottom w:w="0" w:type="dxa"/>
          </w:tblCellMar>
        </w:tblPrEx>
        <w:tc>
          <w:tcPr>
            <w:tcW w:w="850" w:type="dxa"/>
          </w:tcPr>
          <w:p w:rsidR="008D2F93" w:rsidRDefault="008D2F93">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0E68CD">
              <w:rPr>
                <w:noProof/>
                <w:sz w:val="24"/>
                <w:rtl/>
              </w:rPr>
              <w:t>2</w:t>
            </w:r>
            <w:r>
              <w:rPr>
                <w:sz w:val="24"/>
                <w:rtl/>
              </w:rPr>
              <w:fldChar w:fldCharType="end"/>
            </w:r>
          </w:p>
        </w:tc>
        <w:tc>
          <w:tcPr>
            <w:tcW w:w="567" w:type="dxa"/>
          </w:tcPr>
          <w:p w:rsidR="008D2F93" w:rsidRDefault="008D2F93">
            <w:pPr>
              <w:spacing w:line="240" w:lineRule="auto"/>
              <w:rPr>
                <w:sz w:val="24"/>
              </w:rPr>
            </w:pPr>
            <w:hyperlink w:anchor="Seif3" w:tooltip="צירוף מסמכים" w:history="1">
              <w:r>
                <w:rPr>
                  <w:rStyle w:val="Hyperlink"/>
                </w:rPr>
                <w:t>Go</w:t>
              </w:r>
            </w:hyperlink>
          </w:p>
        </w:tc>
        <w:tc>
          <w:tcPr>
            <w:tcW w:w="5669" w:type="dxa"/>
          </w:tcPr>
          <w:p w:rsidR="008D2F93" w:rsidRDefault="008D2F93">
            <w:pPr>
              <w:spacing w:line="240" w:lineRule="auto"/>
              <w:rPr>
                <w:sz w:val="24"/>
                <w:rtl/>
              </w:rPr>
            </w:pPr>
            <w:r>
              <w:rPr>
                <w:sz w:val="24"/>
                <w:rtl/>
              </w:rPr>
              <w:t>צירוף מסמכים</w:t>
            </w:r>
          </w:p>
        </w:tc>
        <w:tc>
          <w:tcPr>
            <w:tcW w:w="1247" w:type="dxa"/>
          </w:tcPr>
          <w:p w:rsidR="008D2F93" w:rsidRDefault="008D2F93">
            <w:pPr>
              <w:spacing w:line="240" w:lineRule="auto"/>
              <w:rPr>
                <w:sz w:val="24"/>
              </w:rPr>
            </w:pPr>
            <w:r>
              <w:rPr>
                <w:sz w:val="24"/>
                <w:rtl/>
              </w:rPr>
              <w:t xml:space="preserve">סעיף 4 </w:t>
            </w:r>
          </w:p>
        </w:tc>
      </w:tr>
      <w:tr w:rsidR="008D2F93">
        <w:tblPrEx>
          <w:tblCellMar>
            <w:top w:w="0" w:type="dxa"/>
            <w:bottom w:w="0" w:type="dxa"/>
          </w:tblCellMar>
        </w:tblPrEx>
        <w:tc>
          <w:tcPr>
            <w:tcW w:w="850" w:type="dxa"/>
          </w:tcPr>
          <w:p w:rsidR="008D2F93" w:rsidRDefault="008D2F93">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0E68CD">
              <w:rPr>
                <w:noProof/>
                <w:sz w:val="24"/>
                <w:rtl/>
              </w:rPr>
              <w:t>2</w:t>
            </w:r>
            <w:r>
              <w:rPr>
                <w:sz w:val="24"/>
                <w:rtl/>
              </w:rPr>
              <w:fldChar w:fldCharType="end"/>
            </w:r>
          </w:p>
        </w:tc>
        <w:tc>
          <w:tcPr>
            <w:tcW w:w="567" w:type="dxa"/>
          </w:tcPr>
          <w:p w:rsidR="008D2F93" w:rsidRDefault="008D2F93">
            <w:pPr>
              <w:spacing w:line="240" w:lineRule="auto"/>
              <w:rPr>
                <w:sz w:val="24"/>
              </w:rPr>
            </w:pPr>
            <w:hyperlink w:anchor="Seif4" w:tooltip="ליקוי בכתב הערר" w:history="1">
              <w:r>
                <w:rPr>
                  <w:rStyle w:val="Hyperlink"/>
                </w:rPr>
                <w:t>Go</w:t>
              </w:r>
            </w:hyperlink>
          </w:p>
        </w:tc>
        <w:tc>
          <w:tcPr>
            <w:tcW w:w="5669" w:type="dxa"/>
          </w:tcPr>
          <w:p w:rsidR="008D2F93" w:rsidRDefault="008D2F93">
            <w:pPr>
              <w:spacing w:line="240" w:lineRule="auto"/>
              <w:rPr>
                <w:sz w:val="24"/>
                <w:rtl/>
              </w:rPr>
            </w:pPr>
            <w:r>
              <w:rPr>
                <w:sz w:val="24"/>
                <w:rtl/>
              </w:rPr>
              <w:t>ליקוי בכתב הערר</w:t>
            </w:r>
          </w:p>
        </w:tc>
        <w:tc>
          <w:tcPr>
            <w:tcW w:w="1247" w:type="dxa"/>
          </w:tcPr>
          <w:p w:rsidR="008D2F93" w:rsidRDefault="008D2F93">
            <w:pPr>
              <w:spacing w:line="240" w:lineRule="auto"/>
              <w:rPr>
                <w:sz w:val="24"/>
              </w:rPr>
            </w:pPr>
            <w:r>
              <w:rPr>
                <w:sz w:val="24"/>
                <w:rtl/>
              </w:rPr>
              <w:t xml:space="preserve">סעיף 5 </w:t>
            </w:r>
          </w:p>
        </w:tc>
      </w:tr>
      <w:tr w:rsidR="008D2F93">
        <w:tblPrEx>
          <w:tblCellMar>
            <w:top w:w="0" w:type="dxa"/>
            <w:bottom w:w="0" w:type="dxa"/>
          </w:tblCellMar>
        </w:tblPrEx>
        <w:tc>
          <w:tcPr>
            <w:tcW w:w="850" w:type="dxa"/>
          </w:tcPr>
          <w:p w:rsidR="008D2F93" w:rsidRDefault="008D2F93">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0E68CD">
              <w:rPr>
                <w:noProof/>
                <w:sz w:val="24"/>
                <w:rtl/>
              </w:rPr>
              <w:t>2</w:t>
            </w:r>
            <w:r>
              <w:rPr>
                <w:sz w:val="24"/>
                <w:rtl/>
              </w:rPr>
              <w:fldChar w:fldCharType="end"/>
            </w:r>
          </w:p>
        </w:tc>
        <w:tc>
          <w:tcPr>
            <w:tcW w:w="567" w:type="dxa"/>
          </w:tcPr>
          <w:p w:rsidR="008D2F93" w:rsidRDefault="008D2F93">
            <w:pPr>
              <w:spacing w:line="240" w:lineRule="auto"/>
              <w:rPr>
                <w:sz w:val="24"/>
              </w:rPr>
            </w:pPr>
            <w:hyperlink w:anchor="Seif5" w:tooltip="מסירה למשיב" w:history="1">
              <w:r>
                <w:rPr>
                  <w:rStyle w:val="Hyperlink"/>
                </w:rPr>
                <w:t>Go</w:t>
              </w:r>
            </w:hyperlink>
          </w:p>
        </w:tc>
        <w:tc>
          <w:tcPr>
            <w:tcW w:w="5669" w:type="dxa"/>
          </w:tcPr>
          <w:p w:rsidR="008D2F93" w:rsidRDefault="008D2F93">
            <w:pPr>
              <w:spacing w:line="240" w:lineRule="auto"/>
              <w:rPr>
                <w:sz w:val="24"/>
                <w:rtl/>
              </w:rPr>
            </w:pPr>
            <w:r>
              <w:rPr>
                <w:sz w:val="24"/>
                <w:rtl/>
              </w:rPr>
              <w:t>מסירה למשיב</w:t>
            </w:r>
          </w:p>
        </w:tc>
        <w:tc>
          <w:tcPr>
            <w:tcW w:w="1247" w:type="dxa"/>
          </w:tcPr>
          <w:p w:rsidR="008D2F93" w:rsidRDefault="008D2F93">
            <w:pPr>
              <w:spacing w:line="240" w:lineRule="auto"/>
              <w:rPr>
                <w:sz w:val="24"/>
              </w:rPr>
            </w:pPr>
            <w:r>
              <w:rPr>
                <w:sz w:val="24"/>
                <w:rtl/>
              </w:rPr>
              <w:t xml:space="preserve">סעיף 6 </w:t>
            </w:r>
          </w:p>
        </w:tc>
      </w:tr>
      <w:tr w:rsidR="008D2F93">
        <w:tblPrEx>
          <w:tblCellMar>
            <w:top w:w="0" w:type="dxa"/>
            <w:bottom w:w="0" w:type="dxa"/>
          </w:tblCellMar>
        </w:tblPrEx>
        <w:tc>
          <w:tcPr>
            <w:tcW w:w="850" w:type="dxa"/>
          </w:tcPr>
          <w:p w:rsidR="008D2F93" w:rsidRDefault="008D2F93">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0E68CD">
              <w:rPr>
                <w:noProof/>
                <w:sz w:val="24"/>
                <w:rtl/>
              </w:rPr>
              <w:t>2</w:t>
            </w:r>
            <w:r>
              <w:rPr>
                <w:sz w:val="24"/>
                <w:rtl/>
              </w:rPr>
              <w:fldChar w:fldCharType="end"/>
            </w:r>
          </w:p>
        </w:tc>
        <w:tc>
          <w:tcPr>
            <w:tcW w:w="567" w:type="dxa"/>
          </w:tcPr>
          <w:p w:rsidR="008D2F93" w:rsidRDefault="008D2F93">
            <w:pPr>
              <w:spacing w:line="240" w:lineRule="auto"/>
              <w:rPr>
                <w:sz w:val="24"/>
              </w:rPr>
            </w:pPr>
            <w:hyperlink w:anchor="Seif6" w:tooltip="תשובת המנהל" w:history="1">
              <w:r>
                <w:rPr>
                  <w:rStyle w:val="Hyperlink"/>
                </w:rPr>
                <w:t>Go</w:t>
              </w:r>
            </w:hyperlink>
          </w:p>
        </w:tc>
        <w:tc>
          <w:tcPr>
            <w:tcW w:w="5669" w:type="dxa"/>
          </w:tcPr>
          <w:p w:rsidR="008D2F93" w:rsidRDefault="008D2F93">
            <w:pPr>
              <w:spacing w:line="240" w:lineRule="auto"/>
              <w:rPr>
                <w:sz w:val="24"/>
                <w:rtl/>
              </w:rPr>
            </w:pPr>
            <w:r>
              <w:rPr>
                <w:sz w:val="24"/>
                <w:rtl/>
              </w:rPr>
              <w:t>תשובת המנהל</w:t>
            </w:r>
          </w:p>
        </w:tc>
        <w:tc>
          <w:tcPr>
            <w:tcW w:w="1247" w:type="dxa"/>
          </w:tcPr>
          <w:p w:rsidR="008D2F93" w:rsidRDefault="008D2F93">
            <w:pPr>
              <w:spacing w:line="240" w:lineRule="auto"/>
              <w:rPr>
                <w:sz w:val="24"/>
              </w:rPr>
            </w:pPr>
            <w:r>
              <w:rPr>
                <w:sz w:val="24"/>
                <w:rtl/>
              </w:rPr>
              <w:t xml:space="preserve">סעיף 7 </w:t>
            </w:r>
          </w:p>
        </w:tc>
      </w:tr>
      <w:tr w:rsidR="008D2F93">
        <w:tblPrEx>
          <w:tblCellMar>
            <w:top w:w="0" w:type="dxa"/>
            <w:bottom w:w="0" w:type="dxa"/>
          </w:tblCellMar>
        </w:tblPrEx>
        <w:tc>
          <w:tcPr>
            <w:tcW w:w="850" w:type="dxa"/>
          </w:tcPr>
          <w:p w:rsidR="008D2F93" w:rsidRDefault="008D2F93">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0E68CD">
              <w:rPr>
                <w:noProof/>
                <w:sz w:val="24"/>
                <w:rtl/>
              </w:rPr>
              <w:t>2</w:t>
            </w:r>
            <w:r>
              <w:rPr>
                <w:sz w:val="24"/>
                <w:rtl/>
              </w:rPr>
              <w:fldChar w:fldCharType="end"/>
            </w:r>
          </w:p>
        </w:tc>
        <w:tc>
          <w:tcPr>
            <w:tcW w:w="567" w:type="dxa"/>
          </w:tcPr>
          <w:p w:rsidR="008D2F93" w:rsidRDefault="008D2F93">
            <w:pPr>
              <w:spacing w:line="240" w:lineRule="auto"/>
              <w:rPr>
                <w:sz w:val="24"/>
              </w:rPr>
            </w:pPr>
            <w:hyperlink w:anchor="Seif7" w:tooltip="מסירה לעורר" w:history="1">
              <w:r>
                <w:rPr>
                  <w:rStyle w:val="Hyperlink"/>
                </w:rPr>
                <w:t>Go</w:t>
              </w:r>
            </w:hyperlink>
          </w:p>
        </w:tc>
        <w:tc>
          <w:tcPr>
            <w:tcW w:w="5669" w:type="dxa"/>
          </w:tcPr>
          <w:p w:rsidR="008D2F93" w:rsidRDefault="008D2F93">
            <w:pPr>
              <w:spacing w:line="240" w:lineRule="auto"/>
              <w:rPr>
                <w:sz w:val="24"/>
                <w:rtl/>
              </w:rPr>
            </w:pPr>
            <w:r>
              <w:rPr>
                <w:sz w:val="24"/>
                <w:rtl/>
              </w:rPr>
              <w:t>מסירה לעורר</w:t>
            </w:r>
          </w:p>
        </w:tc>
        <w:tc>
          <w:tcPr>
            <w:tcW w:w="1247" w:type="dxa"/>
          </w:tcPr>
          <w:p w:rsidR="008D2F93" w:rsidRDefault="008D2F93">
            <w:pPr>
              <w:spacing w:line="240" w:lineRule="auto"/>
              <w:rPr>
                <w:sz w:val="24"/>
              </w:rPr>
            </w:pPr>
            <w:r>
              <w:rPr>
                <w:sz w:val="24"/>
                <w:rtl/>
              </w:rPr>
              <w:t xml:space="preserve">סעיף 8 </w:t>
            </w:r>
          </w:p>
        </w:tc>
      </w:tr>
      <w:tr w:rsidR="008D2F93">
        <w:tblPrEx>
          <w:tblCellMar>
            <w:top w:w="0" w:type="dxa"/>
            <w:bottom w:w="0" w:type="dxa"/>
          </w:tblCellMar>
        </w:tblPrEx>
        <w:tc>
          <w:tcPr>
            <w:tcW w:w="850" w:type="dxa"/>
          </w:tcPr>
          <w:p w:rsidR="008D2F93" w:rsidRDefault="008D2F93">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0E68CD">
              <w:rPr>
                <w:noProof/>
                <w:sz w:val="24"/>
                <w:rtl/>
              </w:rPr>
              <w:t>2</w:t>
            </w:r>
            <w:r>
              <w:rPr>
                <w:sz w:val="24"/>
                <w:rtl/>
              </w:rPr>
              <w:fldChar w:fldCharType="end"/>
            </w:r>
          </w:p>
        </w:tc>
        <w:tc>
          <w:tcPr>
            <w:tcW w:w="567" w:type="dxa"/>
          </w:tcPr>
          <w:p w:rsidR="008D2F93" w:rsidRDefault="008D2F93">
            <w:pPr>
              <w:spacing w:line="240" w:lineRule="auto"/>
              <w:rPr>
                <w:sz w:val="24"/>
              </w:rPr>
            </w:pPr>
            <w:hyperlink w:anchor="Seif8" w:tooltip="תשובת העורר" w:history="1">
              <w:r>
                <w:rPr>
                  <w:rStyle w:val="Hyperlink"/>
                </w:rPr>
                <w:t>Go</w:t>
              </w:r>
            </w:hyperlink>
          </w:p>
        </w:tc>
        <w:tc>
          <w:tcPr>
            <w:tcW w:w="5669" w:type="dxa"/>
          </w:tcPr>
          <w:p w:rsidR="008D2F93" w:rsidRDefault="008D2F93">
            <w:pPr>
              <w:spacing w:line="240" w:lineRule="auto"/>
              <w:rPr>
                <w:sz w:val="24"/>
                <w:rtl/>
              </w:rPr>
            </w:pPr>
            <w:r>
              <w:rPr>
                <w:sz w:val="24"/>
                <w:rtl/>
              </w:rPr>
              <w:t>תשובת העורר</w:t>
            </w:r>
          </w:p>
        </w:tc>
        <w:tc>
          <w:tcPr>
            <w:tcW w:w="1247" w:type="dxa"/>
          </w:tcPr>
          <w:p w:rsidR="008D2F93" w:rsidRDefault="008D2F93">
            <w:pPr>
              <w:spacing w:line="240" w:lineRule="auto"/>
              <w:rPr>
                <w:sz w:val="24"/>
              </w:rPr>
            </w:pPr>
            <w:r>
              <w:rPr>
                <w:sz w:val="24"/>
                <w:rtl/>
              </w:rPr>
              <w:t xml:space="preserve">סעיף 9 </w:t>
            </w:r>
          </w:p>
        </w:tc>
      </w:tr>
      <w:tr w:rsidR="008D2F93">
        <w:tblPrEx>
          <w:tblCellMar>
            <w:top w:w="0" w:type="dxa"/>
            <w:bottom w:w="0" w:type="dxa"/>
          </w:tblCellMar>
        </w:tblPrEx>
        <w:tc>
          <w:tcPr>
            <w:tcW w:w="850" w:type="dxa"/>
          </w:tcPr>
          <w:p w:rsidR="008D2F93" w:rsidRDefault="008D2F93">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0E68CD">
              <w:rPr>
                <w:noProof/>
                <w:sz w:val="24"/>
                <w:rtl/>
              </w:rPr>
              <w:t>2</w:t>
            </w:r>
            <w:r>
              <w:rPr>
                <w:sz w:val="24"/>
                <w:rtl/>
              </w:rPr>
              <w:fldChar w:fldCharType="end"/>
            </w:r>
          </w:p>
        </w:tc>
        <w:tc>
          <w:tcPr>
            <w:tcW w:w="567" w:type="dxa"/>
          </w:tcPr>
          <w:p w:rsidR="008D2F93" w:rsidRDefault="008D2F93">
            <w:pPr>
              <w:spacing w:line="240" w:lineRule="auto"/>
              <w:rPr>
                <w:sz w:val="24"/>
              </w:rPr>
            </w:pPr>
            <w:hyperlink w:anchor="Seif9" w:tooltip="טענות פגם" w:history="1">
              <w:r>
                <w:rPr>
                  <w:rStyle w:val="Hyperlink"/>
                </w:rPr>
                <w:t>Go</w:t>
              </w:r>
            </w:hyperlink>
          </w:p>
        </w:tc>
        <w:tc>
          <w:tcPr>
            <w:tcW w:w="5669" w:type="dxa"/>
          </w:tcPr>
          <w:p w:rsidR="008D2F93" w:rsidRDefault="008D2F93">
            <w:pPr>
              <w:spacing w:line="240" w:lineRule="auto"/>
              <w:rPr>
                <w:sz w:val="24"/>
                <w:rtl/>
              </w:rPr>
            </w:pPr>
            <w:r>
              <w:rPr>
                <w:sz w:val="24"/>
                <w:rtl/>
              </w:rPr>
              <w:t>טענות פגם</w:t>
            </w:r>
          </w:p>
        </w:tc>
        <w:tc>
          <w:tcPr>
            <w:tcW w:w="1247" w:type="dxa"/>
          </w:tcPr>
          <w:p w:rsidR="008D2F93" w:rsidRDefault="008D2F93">
            <w:pPr>
              <w:spacing w:line="240" w:lineRule="auto"/>
              <w:rPr>
                <w:sz w:val="24"/>
              </w:rPr>
            </w:pPr>
            <w:r>
              <w:rPr>
                <w:sz w:val="24"/>
                <w:rtl/>
              </w:rPr>
              <w:t xml:space="preserve">סעיף 10 </w:t>
            </w:r>
          </w:p>
        </w:tc>
      </w:tr>
      <w:tr w:rsidR="008D2F93">
        <w:tblPrEx>
          <w:tblCellMar>
            <w:top w:w="0" w:type="dxa"/>
            <w:bottom w:w="0" w:type="dxa"/>
          </w:tblCellMar>
        </w:tblPrEx>
        <w:tc>
          <w:tcPr>
            <w:tcW w:w="850" w:type="dxa"/>
          </w:tcPr>
          <w:p w:rsidR="008D2F93" w:rsidRDefault="008D2F93">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0E68CD">
              <w:rPr>
                <w:noProof/>
                <w:sz w:val="24"/>
                <w:rtl/>
              </w:rPr>
              <w:t>3</w:t>
            </w:r>
            <w:r>
              <w:rPr>
                <w:sz w:val="24"/>
                <w:rtl/>
              </w:rPr>
              <w:fldChar w:fldCharType="end"/>
            </w:r>
          </w:p>
        </w:tc>
        <w:tc>
          <w:tcPr>
            <w:tcW w:w="567" w:type="dxa"/>
          </w:tcPr>
          <w:p w:rsidR="008D2F93" w:rsidRDefault="008D2F93">
            <w:pPr>
              <w:spacing w:line="240" w:lineRule="auto"/>
              <w:rPr>
                <w:sz w:val="24"/>
              </w:rPr>
            </w:pPr>
            <w:hyperlink w:anchor="Seif10" w:tooltip="איחוד עררים" w:history="1">
              <w:r>
                <w:rPr>
                  <w:rStyle w:val="Hyperlink"/>
                </w:rPr>
                <w:t>Go</w:t>
              </w:r>
            </w:hyperlink>
          </w:p>
        </w:tc>
        <w:tc>
          <w:tcPr>
            <w:tcW w:w="5669" w:type="dxa"/>
          </w:tcPr>
          <w:p w:rsidR="008D2F93" w:rsidRDefault="008D2F93">
            <w:pPr>
              <w:spacing w:line="240" w:lineRule="auto"/>
              <w:rPr>
                <w:sz w:val="24"/>
                <w:rtl/>
              </w:rPr>
            </w:pPr>
            <w:r>
              <w:rPr>
                <w:sz w:val="24"/>
                <w:rtl/>
              </w:rPr>
              <w:t>איחוד עררים</w:t>
            </w:r>
          </w:p>
        </w:tc>
        <w:tc>
          <w:tcPr>
            <w:tcW w:w="1247" w:type="dxa"/>
          </w:tcPr>
          <w:p w:rsidR="008D2F93" w:rsidRDefault="008D2F93">
            <w:pPr>
              <w:spacing w:line="240" w:lineRule="auto"/>
              <w:rPr>
                <w:sz w:val="24"/>
              </w:rPr>
            </w:pPr>
            <w:r>
              <w:rPr>
                <w:sz w:val="24"/>
                <w:rtl/>
              </w:rPr>
              <w:t xml:space="preserve">סעיף 11 </w:t>
            </w:r>
          </w:p>
        </w:tc>
      </w:tr>
      <w:tr w:rsidR="008D2F93">
        <w:tblPrEx>
          <w:tblCellMar>
            <w:top w:w="0" w:type="dxa"/>
            <w:bottom w:w="0" w:type="dxa"/>
          </w:tblCellMar>
        </w:tblPrEx>
        <w:tc>
          <w:tcPr>
            <w:tcW w:w="850" w:type="dxa"/>
          </w:tcPr>
          <w:p w:rsidR="008D2F93" w:rsidRDefault="008D2F93">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0E68CD">
              <w:rPr>
                <w:noProof/>
                <w:sz w:val="24"/>
                <w:rtl/>
              </w:rPr>
              <w:t>3</w:t>
            </w:r>
            <w:r>
              <w:rPr>
                <w:sz w:val="24"/>
                <w:rtl/>
              </w:rPr>
              <w:fldChar w:fldCharType="end"/>
            </w:r>
          </w:p>
        </w:tc>
        <w:tc>
          <w:tcPr>
            <w:tcW w:w="567" w:type="dxa"/>
          </w:tcPr>
          <w:p w:rsidR="008D2F93" w:rsidRDefault="008D2F93">
            <w:pPr>
              <w:spacing w:line="240" w:lineRule="auto"/>
              <w:rPr>
                <w:sz w:val="24"/>
              </w:rPr>
            </w:pPr>
            <w:hyperlink w:anchor="Seif11" w:tooltip="מחיקת הערר או פרטים ממנו" w:history="1">
              <w:r>
                <w:rPr>
                  <w:rStyle w:val="Hyperlink"/>
                </w:rPr>
                <w:t>Go</w:t>
              </w:r>
            </w:hyperlink>
          </w:p>
        </w:tc>
        <w:tc>
          <w:tcPr>
            <w:tcW w:w="5669" w:type="dxa"/>
          </w:tcPr>
          <w:p w:rsidR="008D2F93" w:rsidRDefault="008D2F93">
            <w:pPr>
              <w:spacing w:line="240" w:lineRule="auto"/>
              <w:rPr>
                <w:sz w:val="24"/>
                <w:rtl/>
              </w:rPr>
            </w:pPr>
            <w:r>
              <w:rPr>
                <w:sz w:val="24"/>
                <w:rtl/>
              </w:rPr>
              <w:t>מחיקת הערר או פרטים ממנו</w:t>
            </w:r>
          </w:p>
        </w:tc>
        <w:tc>
          <w:tcPr>
            <w:tcW w:w="1247" w:type="dxa"/>
          </w:tcPr>
          <w:p w:rsidR="008D2F93" w:rsidRDefault="008D2F93">
            <w:pPr>
              <w:spacing w:line="240" w:lineRule="auto"/>
              <w:rPr>
                <w:sz w:val="24"/>
              </w:rPr>
            </w:pPr>
            <w:r>
              <w:rPr>
                <w:sz w:val="24"/>
                <w:rtl/>
              </w:rPr>
              <w:t xml:space="preserve">סעיף 12 </w:t>
            </w:r>
          </w:p>
        </w:tc>
      </w:tr>
      <w:tr w:rsidR="008D2F93">
        <w:tblPrEx>
          <w:tblCellMar>
            <w:top w:w="0" w:type="dxa"/>
            <w:bottom w:w="0" w:type="dxa"/>
          </w:tblCellMar>
        </w:tblPrEx>
        <w:tc>
          <w:tcPr>
            <w:tcW w:w="850" w:type="dxa"/>
          </w:tcPr>
          <w:p w:rsidR="008D2F93" w:rsidRDefault="008D2F93">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sidR="000E68CD">
              <w:rPr>
                <w:noProof/>
                <w:sz w:val="24"/>
                <w:rtl/>
              </w:rPr>
              <w:t>3</w:t>
            </w:r>
            <w:r>
              <w:rPr>
                <w:sz w:val="24"/>
                <w:rtl/>
              </w:rPr>
              <w:fldChar w:fldCharType="end"/>
            </w:r>
          </w:p>
        </w:tc>
        <w:tc>
          <w:tcPr>
            <w:tcW w:w="567" w:type="dxa"/>
          </w:tcPr>
          <w:p w:rsidR="008D2F93" w:rsidRDefault="008D2F93">
            <w:pPr>
              <w:spacing w:line="240" w:lineRule="auto"/>
              <w:rPr>
                <w:sz w:val="24"/>
              </w:rPr>
            </w:pPr>
            <w:hyperlink w:anchor="Seif12" w:tooltip="פרטים נוספים" w:history="1">
              <w:r>
                <w:rPr>
                  <w:rStyle w:val="Hyperlink"/>
                </w:rPr>
                <w:t>Go</w:t>
              </w:r>
            </w:hyperlink>
          </w:p>
        </w:tc>
        <w:tc>
          <w:tcPr>
            <w:tcW w:w="5669" w:type="dxa"/>
          </w:tcPr>
          <w:p w:rsidR="008D2F93" w:rsidRDefault="008D2F93">
            <w:pPr>
              <w:spacing w:line="240" w:lineRule="auto"/>
              <w:rPr>
                <w:sz w:val="24"/>
                <w:rtl/>
              </w:rPr>
            </w:pPr>
            <w:r>
              <w:rPr>
                <w:sz w:val="24"/>
                <w:rtl/>
              </w:rPr>
              <w:t>פרטים נוספים</w:t>
            </w:r>
          </w:p>
        </w:tc>
        <w:tc>
          <w:tcPr>
            <w:tcW w:w="1247" w:type="dxa"/>
          </w:tcPr>
          <w:p w:rsidR="008D2F93" w:rsidRDefault="008D2F93">
            <w:pPr>
              <w:spacing w:line="240" w:lineRule="auto"/>
              <w:rPr>
                <w:sz w:val="24"/>
              </w:rPr>
            </w:pPr>
            <w:r>
              <w:rPr>
                <w:sz w:val="24"/>
                <w:rtl/>
              </w:rPr>
              <w:t xml:space="preserve">סעיף 13 </w:t>
            </w:r>
          </w:p>
        </w:tc>
      </w:tr>
      <w:tr w:rsidR="008D2F93">
        <w:tblPrEx>
          <w:tblCellMar>
            <w:top w:w="0" w:type="dxa"/>
            <w:bottom w:w="0" w:type="dxa"/>
          </w:tblCellMar>
        </w:tblPrEx>
        <w:tc>
          <w:tcPr>
            <w:tcW w:w="850" w:type="dxa"/>
          </w:tcPr>
          <w:p w:rsidR="008D2F93" w:rsidRDefault="008D2F93">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sidR="000E68CD">
              <w:rPr>
                <w:noProof/>
                <w:sz w:val="24"/>
                <w:rtl/>
              </w:rPr>
              <w:t>3</w:t>
            </w:r>
            <w:r>
              <w:rPr>
                <w:sz w:val="24"/>
                <w:rtl/>
              </w:rPr>
              <w:fldChar w:fldCharType="end"/>
            </w:r>
          </w:p>
        </w:tc>
        <w:tc>
          <w:tcPr>
            <w:tcW w:w="567" w:type="dxa"/>
          </w:tcPr>
          <w:p w:rsidR="008D2F93" w:rsidRDefault="008D2F93">
            <w:pPr>
              <w:spacing w:line="240" w:lineRule="auto"/>
              <w:rPr>
                <w:sz w:val="24"/>
              </w:rPr>
            </w:pPr>
            <w:hyperlink w:anchor="Seif13" w:tooltip="חזרה מן הערר" w:history="1">
              <w:r>
                <w:rPr>
                  <w:rStyle w:val="Hyperlink"/>
                </w:rPr>
                <w:t>Go</w:t>
              </w:r>
            </w:hyperlink>
          </w:p>
        </w:tc>
        <w:tc>
          <w:tcPr>
            <w:tcW w:w="5669" w:type="dxa"/>
          </w:tcPr>
          <w:p w:rsidR="008D2F93" w:rsidRDefault="008D2F93">
            <w:pPr>
              <w:spacing w:line="240" w:lineRule="auto"/>
              <w:rPr>
                <w:sz w:val="24"/>
                <w:rtl/>
              </w:rPr>
            </w:pPr>
            <w:r>
              <w:rPr>
                <w:sz w:val="24"/>
                <w:rtl/>
              </w:rPr>
              <w:t>חזרה מן הערר</w:t>
            </w:r>
          </w:p>
        </w:tc>
        <w:tc>
          <w:tcPr>
            <w:tcW w:w="1247" w:type="dxa"/>
          </w:tcPr>
          <w:p w:rsidR="008D2F93" w:rsidRDefault="008D2F93">
            <w:pPr>
              <w:spacing w:line="240" w:lineRule="auto"/>
              <w:rPr>
                <w:sz w:val="24"/>
              </w:rPr>
            </w:pPr>
            <w:r>
              <w:rPr>
                <w:sz w:val="24"/>
                <w:rtl/>
              </w:rPr>
              <w:t xml:space="preserve">סעיף 14 </w:t>
            </w:r>
          </w:p>
        </w:tc>
      </w:tr>
      <w:tr w:rsidR="008D2F93">
        <w:tblPrEx>
          <w:tblCellMar>
            <w:top w:w="0" w:type="dxa"/>
            <w:bottom w:w="0" w:type="dxa"/>
          </w:tblCellMar>
        </w:tblPrEx>
        <w:tc>
          <w:tcPr>
            <w:tcW w:w="850" w:type="dxa"/>
          </w:tcPr>
          <w:p w:rsidR="008D2F93" w:rsidRDefault="008D2F93">
            <w:pPr>
              <w:spacing w:line="240" w:lineRule="auto"/>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sidR="000E68CD">
              <w:rPr>
                <w:noProof/>
                <w:sz w:val="24"/>
                <w:rtl/>
              </w:rPr>
              <w:t>3</w:t>
            </w:r>
            <w:r>
              <w:rPr>
                <w:sz w:val="24"/>
                <w:rtl/>
              </w:rPr>
              <w:fldChar w:fldCharType="end"/>
            </w:r>
          </w:p>
        </w:tc>
        <w:tc>
          <w:tcPr>
            <w:tcW w:w="567" w:type="dxa"/>
          </w:tcPr>
          <w:p w:rsidR="008D2F93" w:rsidRDefault="008D2F93">
            <w:pPr>
              <w:spacing w:line="240" w:lineRule="auto"/>
              <w:rPr>
                <w:sz w:val="24"/>
              </w:rPr>
            </w:pPr>
            <w:hyperlink w:anchor="Seif14" w:tooltip="אי התייצבות העורר" w:history="1">
              <w:r>
                <w:rPr>
                  <w:rStyle w:val="Hyperlink"/>
                </w:rPr>
                <w:t>Go</w:t>
              </w:r>
            </w:hyperlink>
          </w:p>
        </w:tc>
        <w:tc>
          <w:tcPr>
            <w:tcW w:w="5669" w:type="dxa"/>
          </w:tcPr>
          <w:p w:rsidR="008D2F93" w:rsidRDefault="008D2F93">
            <w:pPr>
              <w:spacing w:line="240" w:lineRule="auto"/>
              <w:rPr>
                <w:sz w:val="24"/>
                <w:rtl/>
              </w:rPr>
            </w:pPr>
            <w:r>
              <w:rPr>
                <w:sz w:val="24"/>
                <w:rtl/>
              </w:rPr>
              <w:t>אי התייצבות העורר</w:t>
            </w:r>
          </w:p>
        </w:tc>
        <w:tc>
          <w:tcPr>
            <w:tcW w:w="1247" w:type="dxa"/>
          </w:tcPr>
          <w:p w:rsidR="008D2F93" w:rsidRDefault="008D2F93">
            <w:pPr>
              <w:spacing w:line="240" w:lineRule="auto"/>
              <w:rPr>
                <w:sz w:val="24"/>
              </w:rPr>
            </w:pPr>
            <w:r>
              <w:rPr>
                <w:sz w:val="24"/>
                <w:rtl/>
              </w:rPr>
              <w:t xml:space="preserve">סעיף 15 </w:t>
            </w:r>
          </w:p>
        </w:tc>
      </w:tr>
      <w:tr w:rsidR="008D2F93">
        <w:tblPrEx>
          <w:tblCellMar>
            <w:top w:w="0" w:type="dxa"/>
            <w:bottom w:w="0" w:type="dxa"/>
          </w:tblCellMar>
        </w:tblPrEx>
        <w:tc>
          <w:tcPr>
            <w:tcW w:w="850" w:type="dxa"/>
          </w:tcPr>
          <w:p w:rsidR="008D2F93" w:rsidRDefault="008D2F93">
            <w:pPr>
              <w:spacing w:line="240" w:lineRule="auto"/>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sidR="000E68CD">
              <w:rPr>
                <w:noProof/>
                <w:sz w:val="24"/>
                <w:rtl/>
              </w:rPr>
              <w:t>3</w:t>
            </w:r>
            <w:r>
              <w:rPr>
                <w:sz w:val="24"/>
                <w:rtl/>
              </w:rPr>
              <w:fldChar w:fldCharType="end"/>
            </w:r>
          </w:p>
        </w:tc>
        <w:tc>
          <w:tcPr>
            <w:tcW w:w="567" w:type="dxa"/>
          </w:tcPr>
          <w:p w:rsidR="008D2F93" w:rsidRDefault="008D2F93">
            <w:pPr>
              <w:spacing w:line="240" w:lineRule="auto"/>
              <w:rPr>
                <w:sz w:val="24"/>
              </w:rPr>
            </w:pPr>
            <w:hyperlink w:anchor="Seif15" w:tooltip="אי התייצבות המנהל" w:history="1">
              <w:r>
                <w:rPr>
                  <w:rStyle w:val="Hyperlink"/>
                </w:rPr>
                <w:t>Go</w:t>
              </w:r>
            </w:hyperlink>
          </w:p>
        </w:tc>
        <w:tc>
          <w:tcPr>
            <w:tcW w:w="5669" w:type="dxa"/>
          </w:tcPr>
          <w:p w:rsidR="008D2F93" w:rsidRDefault="008D2F93">
            <w:pPr>
              <w:spacing w:line="240" w:lineRule="auto"/>
              <w:rPr>
                <w:sz w:val="24"/>
                <w:rtl/>
              </w:rPr>
            </w:pPr>
            <w:r>
              <w:rPr>
                <w:sz w:val="24"/>
                <w:rtl/>
              </w:rPr>
              <w:t>אי התייצבות המנהל</w:t>
            </w:r>
          </w:p>
        </w:tc>
        <w:tc>
          <w:tcPr>
            <w:tcW w:w="1247" w:type="dxa"/>
          </w:tcPr>
          <w:p w:rsidR="008D2F93" w:rsidRDefault="008D2F93">
            <w:pPr>
              <w:spacing w:line="240" w:lineRule="auto"/>
              <w:rPr>
                <w:sz w:val="24"/>
              </w:rPr>
            </w:pPr>
            <w:r>
              <w:rPr>
                <w:sz w:val="24"/>
                <w:rtl/>
              </w:rPr>
              <w:t xml:space="preserve">סעיף 16 </w:t>
            </w:r>
          </w:p>
        </w:tc>
      </w:tr>
      <w:tr w:rsidR="008D2F93">
        <w:tblPrEx>
          <w:tblCellMar>
            <w:top w:w="0" w:type="dxa"/>
            <w:bottom w:w="0" w:type="dxa"/>
          </w:tblCellMar>
        </w:tblPrEx>
        <w:tc>
          <w:tcPr>
            <w:tcW w:w="850" w:type="dxa"/>
          </w:tcPr>
          <w:p w:rsidR="008D2F93" w:rsidRDefault="008D2F93">
            <w:pPr>
              <w:spacing w:line="240" w:lineRule="auto"/>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sidR="000E68CD">
              <w:rPr>
                <w:noProof/>
                <w:sz w:val="24"/>
                <w:rtl/>
              </w:rPr>
              <w:t>3</w:t>
            </w:r>
            <w:r>
              <w:rPr>
                <w:sz w:val="24"/>
                <w:rtl/>
              </w:rPr>
              <w:fldChar w:fldCharType="end"/>
            </w:r>
          </w:p>
        </w:tc>
        <w:tc>
          <w:tcPr>
            <w:tcW w:w="567" w:type="dxa"/>
          </w:tcPr>
          <w:p w:rsidR="008D2F93" w:rsidRDefault="008D2F93">
            <w:pPr>
              <w:spacing w:line="240" w:lineRule="auto"/>
              <w:rPr>
                <w:sz w:val="24"/>
              </w:rPr>
            </w:pPr>
            <w:hyperlink w:anchor="Seif16" w:tooltip="דחיית הדיון" w:history="1">
              <w:r>
                <w:rPr>
                  <w:rStyle w:val="Hyperlink"/>
                </w:rPr>
                <w:t>Go</w:t>
              </w:r>
            </w:hyperlink>
          </w:p>
        </w:tc>
        <w:tc>
          <w:tcPr>
            <w:tcW w:w="5669" w:type="dxa"/>
          </w:tcPr>
          <w:p w:rsidR="008D2F93" w:rsidRDefault="008D2F93">
            <w:pPr>
              <w:spacing w:line="240" w:lineRule="auto"/>
              <w:rPr>
                <w:sz w:val="24"/>
                <w:rtl/>
              </w:rPr>
            </w:pPr>
            <w:r>
              <w:rPr>
                <w:sz w:val="24"/>
                <w:rtl/>
              </w:rPr>
              <w:t>דחיית הדיון</w:t>
            </w:r>
          </w:p>
        </w:tc>
        <w:tc>
          <w:tcPr>
            <w:tcW w:w="1247" w:type="dxa"/>
          </w:tcPr>
          <w:p w:rsidR="008D2F93" w:rsidRDefault="008D2F93">
            <w:pPr>
              <w:spacing w:line="240" w:lineRule="auto"/>
              <w:rPr>
                <w:sz w:val="24"/>
              </w:rPr>
            </w:pPr>
            <w:r>
              <w:rPr>
                <w:sz w:val="24"/>
                <w:rtl/>
              </w:rPr>
              <w:t xml:space="preserve">סעיף 17 </w:t>
            </w:r>
          </w:p>
        </w:tc>
      </w:tr>
      <w:tr w:rsidR="008D2F93">
        <w:tblPrEx>
          <w:tblCellMar>
            <w:top w:w="0" w:type="dxa"/>
            <w:bottom w:w="0" w:type="dxa"/>
          </w:tblCellMar>
        </w:tblPrEx>
        <w:tc>
          <w:tcPr>
            <w:tcW w:w="850" w:type="dxa"/>
          </w:tcPr>
          <w:p w:rsidR="008D2F93" w:rsidRDefault="008D2F93">
            <w:pPr>
              <w:spacing w:line="240" w:lineRule="auto"/>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sidR="000E68CD">
              <w:rPr>
                <w:noProof/>
                <w:sz w:val="24"/>
                <w:rtl/>
              </w:rPr>
              <w:t>3</w:t>
            </w:r>
            <w:r>
              <w:rPr>
                <w:sz w:val="24"/>
                <w:rtl/>
              </w:rPr>
              <w:fldChar w:fldCharType="end"/>
            </w:r>
          </w:p>
        </w:tc>
        <w:tc>
          <w:tcPr>
            <w:tcW w:w="567" w:type="dxa"/>
          </w:tcPr>
          <w:p w:rsidR="008D2F93" w:rsidRDefault="008D2F93">
            <w:pPr>
              <w:spacing w:line="240" w:lineRule="auto"/>
              <w:rPr>
                <w:sz w:val="24"/>
              </w:rPr>
            </w:pPr>
            <w:hyperlink w:anchor="Seif17" w:tooltip="הגבלת הדיון לנימוקים שפורשו" w:history="1">
              <w:r>
                <w:rPr>
                  <w:rStyle w:val="Hyperlink"/>
                </w:rPr>
                <w:t>Go</w:t>
              </w:r>
            </w:hyperlink>
          </w:p>
        </w:tc>
        <w:tc>
          <w:tcPr>
            <w:tcW w:w="5669" w:type="dxa"/>
          </w:tcPr>
          <w:p w:rsidR="008D2F93" w:rsidRDefault="008D2F93">
            <w:pPr>
              <w:spacing w:line="240" w:lineRule="auto"/>
              <w:rPr>
                <w:sz w:val="24"/>
                <w:rtl/>
              </w:rPr>
            </w:pPr>
            <w:r>
              <w:rPr>
                <w:sz w:val="24"/>
                <w:rtl/>
              </w:rPr>
              <w:t>הגבלת הדיון לנימוקים שפורשו</w:t>
            </w:r>
          </w:p>
        </w:tc>
        <w:tc>
          <w:tcPr>
            <w:tcW w:w="1247" w:type="dxa"/>
          </w:tcPr>
          <w:p w:rsidR="008D2F93" w:rsidRDefault="008D2F93">
            <w:pPr>
              <w:spacing w:line="240" w:lineRule="auto"/>
              <w:rPr>
                <w:sz w:val="24"/>
              </w:rPr>
            </w:pPr>
            <w:r>
              <w:rPr>
                <w:sz w:val="24"/>
                <w:rtl/>
              </w:rPr>
              <w:t xml:space="preserve">סעיף 18 </w:t>
            </w:r>
          </w:p>
        </w:tc>
      </w:tr>
      <w:tr w:rsidR="008D2F93">
        <w:tblPrEx>
          <w:tblCellMar>
            <w:top w:w="0" w:type="dxa"/>
            <w:bottom w:w="0" w:type="dxa"/>
          </w:tblCellMar>
        </w:tblPrEx>
        <w:tc>
          <w:tcPr>
            <w:tcW w:w="850" w:type="dxa"/>
          </w:tcPr>
          <w:p w:rsidR="008D2F93" w:rsidRDefault="008D2F93">
            <w:pPr>
              <w:spacing w:line="240" w:lineRule="auto"/>
              <w:rPr>
                <w:sz w:val="24"/>
              </w:rPr>
            </w:pPr>
            <w:r>
              <w:rPr>
                <w:sz w:val="24"/>
                <w:rtl/>
              </w:rPr>
              <w:fldChar w:fldCharType="begin"/>
            </w:r>
            <w:r>
              <w:rPr>
                <w:sz w:val="24"/>
                <w:rtl/>
              </w:rPr>
              <w:instrText xml:space="preserve"> </w:instrText>
            </w:r>
            <w:r>
              <w:rPr>
                <w:sz w:val="24"/>
              </w:rPr>
              <w:instrText>PAGEREF Seif18</w:instrText>
            </w:r>
            <w:r>
              <w:rPr>
                <w:sz w:val="24"/>
                <w:rtl/>
              </w:rPr>
              <w:instrText xml:space="preserve"> </w:instrText>
            </w:r>
            <w:r>
              <w:rPr>
                <w:sz w:val="24"/>
                <w:rtl/>
              </w:rPr>
              <w:fldChar w:fldCharType="separate"/>
            </w:r>
            <w:r w:rsidR="000E68CD">
              <w:rPr>
                <w:noProof/>
                <w:sz w:val="24"/>
                <w:rtl/>
              </w:rPr>
              <w:t>3</w:t>
            </w:r>
            <w:r>
              <w:rPr>
                <w:sz w:val="24"/>
                <w:rtl/>
              </w:rPr>
              <w:fldChar w:fldCharType="end"/>
            </w:r>
          </w:p>
        </w:tc>
        <w:tc>
          <w:tcPr>
            <w:tcW w:w="567" w:type="dxa"/>
          </w:tcPr>
          <w:p w:rsidR="008D2F93" w:rsidRDefault="008D2F93">
            <w:pPr>
              <w:spacing w:line="240" w:lineRule="auto"/>
              <w:rPr>
                <w:sz w:val="24"/>
              </w:rPr>
            </w:pPr>
            <w:hyperlink w:anchor="Seif18" w:tooltip="אי קיום הוראות הועדה" w:history="1">
              <w:r>
                <w:rPr>
                  <w:rStyle w:val="Hyperlink"/>
                </w:rPr>
                <w:t>Go</w:t>
              </w:r>
            </w:hyperlink>
          </w:p>
        </w:tc>
        <w:tc>
          <w:tcPr>
            <w:tcW w:w="5669" w:type="dxa"/>
          </w:tcPr>
          <w:p w:rsidR="008D2F93" w:rsidRDefault="008D2F93">
            <w:pPr>
              <w:spacing w:line="240" w:lineRule="auto"/>
              <w:rPr>
                <w:sz w:val="24"/>
                <w:rtl/>
              </w:rPr>
            </w:pPr>
            <w:r>
              <w:rPr>
                <w:sz w:val="24"/>
                <w:rtl/>
              </w:rPr>
              <w:t>אי קיום הוראות הועדה</w:t>
            </w:r>
          </w:p>
        </w:tc>
        <w:tc>
          <w:tcPr>
            <w:tcW w:w="1247" w:type="dxa"/>
          </w:tcPr>
          <w:p w:rsidR="008D2F93" w:rsidRDefault="008D2F93">
            <w:pPr>
              <w:spacing w:line="240" w:lineRule="auto"/>
              <w:rPr>
                <w:sz w:val="24"/>
              </w:rPr>
            </w:pPr>
            <w:r>
              <w:rPr>
                <w:sz w:val="24"/>
                <w:rtl/>
              </w:rPr>
              <w:t xml:space="preserve">סעיף 19 </w:t>
            </w:r>
          </w:p>
        </w:tc>
      </w:tr>
      <w:tr w:rsidR="008D2F93">
        <w:tblPrEx>
          <w:tblCellMar>
            <w:top w:w="0" w:type="dxa"/>
            <w:bottom w:w="0" w:type="dxa"/>
          </w:tblCellMar>
        </w:tblPrEx>
        <w:tc>
          <w:tcPr>
            <w:tcW w:w="850" w:type="dxa"/>
          </w:tcPr>
          <w:p w:rsidR="008D2F93" w:rsidRDefault="008D2F93">
            <w:pPr>
              <w:spacing w:line="240" w:lineRule="auto"/>
              <w:rPr>
                <w:sz w:val="24"/>
              </w:rPr>
            </w:pPr>
            <w:r>
              <w:rPr>
                <w:sz w:val="24"/>
                <w:rtl/>
              </w:rPr>
              <w:fldChar w:fldCharType="begin"/>
            </w:r>
            <w:r>
              <w:rPr>
                <w:sz w:val="24"/>
                <w:rtl/>
              </w:rPr>
              <w:instrText xml:space="preserve"> </w:instrText>
            </w:r>
            <w:r>
              <w:rPr>
                <w:sz w:val="24"/>
              </w:rPr>
              <w:instrText>PAGEREF Seif19</w:instrText>
            </w:r>
            <w:r>
              <w:rPr>
                <w:sz w:val="24"/>
                <w:rtl/>
              </w:rPr>
              <w:instrText xml:space="preserve"> </w:instrText>
            </w:r>
            <w:r>
              <w:rPr>
                <w:sz w:val="24"/>
                <w:rtl/>
              </w:rPr>
              <w:fldChar w:fldCharType="separate"/>
            </w:r>
            <w:r w:rsidR="000E68CD">
              <w:rPr>
                <w:noProof/>
                <w:sz w:val="24"/>
                <w:rtl/>
              </w:rPr>
              <w:t>3</w:t>
            </w:r>
            <w:r>
              <w:rPr>
                <w:sz w:val="24"/>
                <w:rtl/>
              </w:rPr>
              <w:fldChar w:fldCharType="end"/>
            </w:r>
          </w:p>
        </w:tc>
        <w:tc>
          <w:tcPr>
            <w:tcW w:w="567" w:type="dxa"/>
          </w:tcPr>
          <w:p w:rsidR="008D2F93" w:rsidRDefault="008D2F93">
            <w:pPr>
              <w:spacing w:line="240" w:lineRule="auto"/>
              <w:rPr>
                <w:sz w:val="24"/>
              </w:rPr>
            </w:pPr>
            <w:hyperlink w:anchor="Seif19" w:tooltip="דיון חוזר" w:history="1">
              <w:r>
                <w:rPr>
                  <w:rStyle w:val="Hyperlink"/>
                </w:rPr>
                <w:t>Go</w:t>
              </w:r>
            </w:hyperlink>
          </w:p>
        </w:tc>
        <w:tc>
          <w:tcPr>
            <w:tcW w:w="5669" w:type="dxa"/>
          </w:tcPr>
          <w:p w:rsidR="008D2F93" w:rsidRDefault="008D2F93">
            <w:pPr>
              <w:spacing w:line="240" w:lineRule="auto"/>
              <w:rPr>
                <w:sz w:val="24"/>
                <w:rtl/>
              </w:rPr>
            </w:pPr>
            <w:r>
              <w:rPr>
                <w:sz w:val="24"/>
                <w:rtl/>
              </w:rPr>
              <w:t>דיון חוזר</w:t>
            </w:r>
          </w:p>
        </w:tc>
        <w:tc>
          <w:tcPr>
            <w:tcW w:w="1247" w:type="dxa"/>
          </w:tcPr>
          <w:p w:rsidR="008D2F93" w:rsidRDefault="008D2F93">
            <w:pPr>
              <w:spacing w:line="240" w:lineRule="auto"/>
              <w:rPr>
                <w:sz w:val="24"/>
              </w:rPr>
            </w:pPr>
            <w:r>
              <w:rPr>
                <w:sz w:val="24"/>
                <w:rtl/>
              </w:rPr>
              <w:t xml:space="preserve">סעיף 20 </w:t>
            </w:r>
          </w:p>
        </w:tc>
      </w:tr>
      <w:tr w:rsidR="008D2F93">
        <w:tblPrEx>
          <w:tblCellMar>
            <w:top w:w="0" w:type="dxa"/>
            <w:bottom w:w="0" w:type="dxa"/>
          </w:tblCellMar>
        </w:tblPrEx>
        <w:tc>
          <w:tcPr>
            <w:tcW w:w="850" w:type="dxa"/>
          </w:tcPr>
          <w:p w:rsidR="008D2F93" w:rsidRDefault="008D2F93">
            <w:pPr>
              <w:spacing w:line="240" w:lineRule="auto"/>
              <w:rPr>
                <w:sz w:val="24"/>
              </w:rPr>
            </w:pPr>
            <w:r>
              <w:rPr>
                <w:sz w:val="24"/>
                <w:rtl/>
              </w:rPr>
              <w:fldChar w:fldCharType="begin"/>
            </w:r>
            <w:r>
              <w:rPr>
                <w:sz w:val="24"/>
                <w:rtl/>
              </w:rPr>
              <w:instrText xml:space="preserve"> </w:instrText>
            </w:r>
            <w:r>
              <w:rPr>
                <w:sz w:val="24"/>
              </w:rPr>
              <w:instrText>PAGEREF Seif20</w:instrText>
            </w:r>
            <w:r>
              <w:rPr>
                <w:sz w:val="24"/>
                <w:rtl/>
              </w:rPr>
              <w:instrText xml:space="preserve"> </w:instrText>
            </w:r>
            <w:r>
              <w:rPr>
                <w:sz w:val="24"/>
                <w:rtl/>
              </w:rPr>
              <w:fldChar w:fldCharType="separate"/>
            </w:r>
            <w:r w:rsidR="000E68CD">
              <w:rPr>
                <w:noProof/>
                <w:sz w:val="24"/>
                <w:rtl/>
              </w:rPr>
              <w:t>3</w:t>
            </w:r>
            <w:r>
              <w:rPr>
                <w:sz w:val="24"/>
                <w:rtl/>
              </w:rPr>
              <w:fldChar w:fldCharType="end"/>
            </w:r>
          </w:p>
        </w:tc>
        <w:tc>
          <w:tcPr>
            <w:tcW w:w="567" w:type="dxa"/>
          </w:tcPr>
          <w:p w:rsidR="008D2F93" w:rsidRDefault="008D2F93">
            <w:pPr>
              <w:spacing w:line="240" w:lineRule="auto"/>
              <w:rPr>
                <w:sz w:val="24"/>
              </w:rPr>
            </w:pPr>
            <w:hyperlink w:anchor="Seif20" w:tooltip="אופן גביית ראיות" w:history="1">
              <w:r>
                <w:rPr>
                  <w:rStyle w:val="Hyperlink"/>
                </w:rPr>
                <w:t>Go</w:t>
              </w:r>
            </w:hyperlink>
          </w:p>
        </w:tc>
        <w:tc>
          <w:tcPr>
            <w:tcW w:w="5669" w:type="dxa"/>
          </w:tcPr>
          <w:p w:rsidR="008D2F93" w:rsidRDefault="008D2F93">
            <w:pPr>
              <w:spacing w:line="240" w:lineRule="auto"/>
              <w:rPr>
                <w:sz w:val="24"/>
                <w:rtl/>
              </w:rPr>
            </w:pPr>
            <w:r>
              <w:rPr>
                <w:sz w:val="24"/>
                <w:rtl/>
              </w:rPr>
              <w:t>אופן גביית ראיות</w:t>
            </w:r>
          </w:p>
        </w:tc>
        <w:tc>
          <w:tcPr>
            <w:tcW w:w="1247" w:type="dxa"/>
          </w:tcPr>
          <w:p w:rsidR="008D2F93" w:rsidRDefault="008D2F93">
            <w:pPr>
              <w:spacing w:line="240" w:lineRule="auto"/>
              <w:rPr>
                <w:sz w:val="24"/>
              </w:rPr>
            </w:pPr>
            <w:r>
              <w:rPr>
                <w:sz w:val="24"/>
                <w:rtl/>
              </w:rPr>
              <w:t xml:space="preserve">סעיף 21 </w:t>
            </w:r>
          </w:p>
        </w:tc>
      </w:tr>
      <w:tr w:rsidR="008D2F93">
        <w:tblPrEx>
          <w:tblCellMar>
            <w:top w:w="0" w:type="dxa"/>
            <w:bottom w:w="0" w:type="dxa"/>
          </w:tblCellMar>
        </w:tblPrEx>
        <w:tc>
          <w:tcPr>
            <w:tcW w:w="850" w:type="dxa"/>
          </w:tcPr>
          <w:p w:rsidR="008D2F93" w:rsidRDefault="008D2F93">
            <w:pPr>
              <w:spacing w:line="240" w:lineRule="auto"/>
              <w:rPr>
                <w:sz w:val="24"/>
              </w:rPr>
            </w:pPr>
            <w:r>
              <w:rPr>
                <w:sz w:val="24"/>
                <w:rtl/>
              </w:rPr>
              <w:fldChar w:fldCharType="begin"/>
            </w:r>
            <w:r>
              <w:rPr>
                <w:sz w:val="24"/>
                <w:rtl/>
              </w:rPr>
              <w:instrText xml:space="preserve"> </w:instrText>
            </w:r>
            <w:r>
              <w:rPr>
                <w:sz w:val="24"/>
              </w:rPr>
              <w:instrText>PAGEREF Seif21</w:instrText>
            </w:r>
            <w:r>
              <w:rPr>
                <w:sz w:val="24"/>
                <w:rtl/>
              </w:rPr>
              <w:instrText xml:space="preserve"> </w:instrText>
            </w:r>
            <w:r>
              <w:rPr>
                <w:sz w:val="24"/>
                <w:rtl/>
              </w:rPr>
              <w:fldChar w:fldCharType="separate"/>
            </w:r>
            <w:r w:rsidR="000E68CD">
              <w:rPr>
                <w:noProof/>
                <w:sz w:val="24"/>
                <w:rtl/>
              </w:rPr>
              <w:t>3</w:t>
            </w:r>
            <w:r>
              <w:rPr>
                <w:sz w:val="24"/>
                <w:rtl/>
              </w:rPr>
              <w:fldChar w:fldCharType="end"/>
            </w:r>
          </w:p>
        </w:tc>
        <w:tc>
          <w:tcPr>
            <w:tcW w:w="567" w:type="dxa"/>
          </w:tcPr>
          <w:p w:rsidR="008D2F93" w:rsidRDefault="008D2F93">
            <w:pPr>
              <w:spacing w:line="240" w:lineRule="auto"/>
              <w:rPr>
                <w:sz w:val="24"/>
              </w:rPr>
            </w:pPr>
            <w:hyperlink w:anchor="Seif21" w:tooltip="שינוי בהרכב הועדה" w:history="1">
              <w:r>
                <w:rPr>
                  <w:rStyle w:val="Hyperlink"/>
                </w:rPr>
                <w:t>Go</w:t>
              </w:r>
            </w:hyperlink>
          </w:p>
        </w:tc>
        <w:tc>
          <w:tcPr>
            <w:tcW w:w="5669" w:type="dxa"/>
          </w:tcPr>
          <w:p w:rsidR="008D2F93" w:rsidRDefault="008D2F93">
            <w:pPr>
              <w:spacing w:line="240" w:lineRule="auto"/>
              <w:rPr>
                <w:sz w:val="24"/>
                <w:rtl/>
              </w:rPr>
            </w:pPr>
            <w:r>
              <w:rPr>
                <w:sz w:val="24"/>
                <w:rtl/>
              </w:rPr>
              <w:t>שינוי בהרכב הועדה</w:t>
            </w:r>
          </w:p>
        </w:tc>
        <w:tc>
          <w:tcPr>
            <w:tcW w:w="1247" w:type="dxa"/>
          </w:tcPr>
          <w:p w:rsidR="008D2F93" w:rsidRDefault="008D2F93">
            <w:pPr>
              <w:spacing w:line="240" w:lineRule="auto"/>
              <w:rPr>
                <w:sz w:val="24"/>
              </w:rPr>
            </w:pPr>
            <w:r>
              <w:rPr>
                <w:sz w:val="24"/>
                <w:rtl/>
              </w:rPr>
              <w:t xml:space="preserve">סעיף 22 </w:t>
            </w:r>
          </w:p>
        </w:tc>
      </w:tr>
      <w:tr w:rsidR="008D2F93">
        <w:tblPrEx>
          <w:tblCellMar>
            <w:top w:w="0" w:type="dxa"/>
            <w:bottom w:w="0" w:type="dxa"/>
          </w:tblCellMar>
        </w:tblPrEx>
        <w:tc>
          <w:tcPr>
            <w:tcW w:w="850" w:type="dxa"/>
          </w:tcPr>
          <w:p w:rsidR="008D2F93" w:rsidRDefault="008D2F93">
            <w:pPr>
              <w:spacing w:line="240" w:lineRule="auto"/>
              <w:rPr>
                <w:sz w:val="24"/>
              </w:rPr>
            </w:pPr>
            <w:r>
              <w:rPr>
                <w:sz w:val="24"/>
                <w:rtl/>
              </w:rPr>
              <w:fldChar w:fldCharType="begin"/>
            </w:r>
            <w:r>
              <w:rPr>
                <w:sz w:val="24"/>
                <w:rtl/>
              </w:rPr>
              <w:instrText xml:space="preserve"> </w:instrText>
            </w:r>
            <w:r>
              <w:rPr>
                <w:sz w:val="24"/>
              </w:rPr>
              <w:instrText>PAGEREF Seif22</w:instrText>
            </w:r>
            <w:r>
              <w:rPr>
                <w:sz w:val="24"/>
                <w:rtl/>
              </w:rPr>
              <w:instrText xml:space="preserve"> </w:instrText>
            </w:r>
            <w:r>
              <w:rPr>
                <w:sz w:val="24"/>
                <w:rtl/>
              </w:rPr>
              <w:fldChar w:fldCharType="separate"/>
            </w:r>
            <w:r w:rsidR="000E68CD">
              <w:rPr>
                <w:noProof/>
                <w:sz w:val="24"/>
                <w:rtl/>
              </w:rPr>
              <w:t>3</w:t>
            </w:r>
            <w:r>
              <w:rPr>
                <w:sz w:val="24"/>
                <w:rtl/>
              </w:rPr>
              <w:fldChar w:fldCharType="end"/>
            </w:r>
          </w:p>
        </w:tc>
        <w:tc>
          <w:tcPr>
            <w:tcW w:w="567" w:type="dxa"/>
          </w:tcPr>
          <w:p w:rsidR="008D2F93" w:rsidRDefault="008D2F93">
            <w:pPr>
              <w:spacing w:line="240" w:lineRule="auto"/>
              <w:rPr>
                <w:sz w:val="24"/>
              </w:rPr>
            </w:pPr>
            <w:hyperlink w:anchor="Seif22" w:tooltip="המצאת מסמכים" w:history="1">
              <w:r>
                <w:rPr>
                  <w:rStyle w:val="Hyperlink"/>
                </w:rPr>
                <w:t>Go</w:t>
              </w:r>
            </w:hyperlink>
          </w:p>
        </w:tc>
        <w:tc>
          <w:tcPr>
            <w:tcW w:w="5669" w:type="dxa"/>
          </w:tcPr>
          <w:p w:rsidR="008D2F93" w:rsidRDefault="008D2F93">
            <w:pPr>
              <w:spacing w:line="240" w:lineRule="auto"/>
              <w:rPr>
                <w:sz w:val="24"/>
                <w:rtl/>
              </w:rPr>
            </w:pPr>
            <w:r>
              <w:rPr>
                <w:sz w:val="24"/>
                <w:rtl/>
              </w:rPr>
              <w:t>המצאת מסמכים</w:t>
            </w:r>
          </w:p>
        </w:tc>
        <w:tc>
          <w:tcPr>
            <w:tcW w:w="1247" w:type="dxa"/>
          </w:tcPr>
          <w:p w:rsidR="008D2F93" w:rsidRDefault="008D2F93">
            <w:pPr>
              <w:spacing w:line="240" w:lineRule="auto"/>
              <w:rPr>
                <w:sz w:val="24"/>
              </w:rPr>
            </w:pPr>
            <w:r>
              <w:rPr>
                <w:sz w:val="24"/>
                <w:rtl/>
              </w:rPr>
              <w:t xml:space="preserve">סעיף 23 </w:t>
            </w:r>
          </w:p>
        </w:tc>
      </w:tr>
      <w:tr w:rsidR="008D2F93">
        <w:tblPrEx>
          <w:tblCellMar>
            <w:top w:w="0" w:type="dxa"/>
            <w:bottom w:w="0" w:type="dxa"/>
          </w:tblCellMar>
        </w:tblPrEx>
        <w:tc>
          <w:tcPr>
            <w:tcW w:w="850" w:type="dxa"/>
          </w:tcPr>
          <w:p w:rsidR="008D2F93" w:rsidRDefault="008D2F93">
            <w:pPr>
              <w:spacing w:line="240" w:lineRule="auto"/>
              <w:rPr>
                <w:sz w:val="24"/>
              </w:rPr>
            </w:pPr>
            <w:r>
              <w:rPr>
                <w:sz w:val="24"/>
                <w:rtl/>
              </w:rPr>
              <w:fldChar w:fldCharType="begin"/>
            </w:r>
            <w:r>
              <w:rPr>
                <w:sz w:val="24"/>
                <w:rtl/>
              </w:rPr>
              <w:instrText xml:space="preserve"> </w:instrText>
            </w:r>
            <w:r>
              <w:rPr>
                <w:sz w:val="24"/>
              </w:rPr>
              <w:instrText>PAGEREF Seif23</w:instrText>
            </w:r>
            <w:r>
              <w:rPr>
                <w:sz w:val="24"/>
                <w:rtl/>
              </w:rPr>
              <w:instrText xml:space="preserve"> </w:instrText>
            </w:r>
            <w:r>
              <w:rPr>
                <w:sz w:val="24"/>
                <w:rtl/>
              </w:rPr>
              <w:fldChar w:fldCharType="separate"/>
            </w:r>
            <w:r w:rsidR="000E68CD">
              <w:rPr>
                <w:noProof/>
                <w:sz w:val="24"/>
                <w:rtl/>
              </w:rPr>
              <w:t>4</w:t>
            </w:r>
            <w:r>
              <w:rPr>
                <w:sz w:val="24"/>
                <w:rtl/>
              </w:rPr>
              <w:fldChar w:fldCharType="end"/>
            </w:r>
          </w:p>
        </w:tc>
        <w:tc>
          <w:tcPr>
            <w:tcW w:w="567" w:type="dxa"/>
          </w:tcPr>
          <w:p w:rsidR="008D2F93" w:rsidRDefault="008D2F93">
            <w:pPr>
              <w:spacing w:line="240" w:lineRule="auto"/>
              <w:rPr>
                <w:sz w:val="24"/>
              </w:rPr>
            </w:pPr>
            <w:hyperlink w:anchor="Seif23" w:tooltip="ייצוג המנהל" w:history="1">
              <w:r>
                <w:rPr>
                  <w:rStyle w:val="Hyperlink"/>
                </w:rPr>
                <w:t>Go</w:t>
              </w:r>
            </w:hyperlink>
          </w:p>
        </w:tc>
        <w:tc>
          <w:tcPr>
            <w:tcW w:w="5669" w:type="dxa"/>
          </w:tcPr>
          <w:p w:rsidR="008D2F93" w:rsidRDefault="008D2F93">
            <w:pPr>
              <w:spacing w:line="240" w:lineRule="auto"/>
              <w:rPr>
                <w:sz w:val="24"/>
                <w:rtl/>
              </w:rPr>
            </w:pPr>
            <w:r>
              <w:rPr>
                <w:sz w:val="24"/>
                <w:rtl/>
              </w:rPr>
              <w:t>ייצוג המנהל</w:t>
            </w:r>
          </w:p>
        </w:tc>
        <w:tc>
          <w:tcPr>
            <w:tcW w:w="1247" w:type="dxa"/>
          </w:tcPr>
          <w:p w:rsidR="008D2F93" w:rsidRDefault="008D2F93">
            <w:pPr>
              <w:spacing w:line="240" w:lineRule="auto"/>
              <w:rPr>
                <w:sz w:val="24"/>
              </w:rPr>
            </w:pPr>
            <w:r>
              <w:rPr>
                <w:sz w:val="24"/>
                <w:rtl/>
              </w:rPr>
              <w:t xml:space="preserve">סעיף 24 </w:t>
            </w:r>
          </w:p>
        </w:tc>
      </w:tr>
      <w:tr w:rsidR="008D2F93">
        <w:tblPrEx>
          <w:tblCellMar>
            <w:top w:w="0" w:type="dxa"/>
            <w:bottom w:w="0" w:type="dxa"/>
          </w:tblCellMar>
        </w:tblPrEx>
        <w:tc>
          <w:tcPr>
            <w:tcW w:w="850" w:type="dxa"/>
          </w:tcPr>
          <w:p w:rsidR="008D2F93" w:rsidRDefault="008D2F93">
            <w:pPr>
              <w:spacing w:line="240" w:lineRule="auto"/>
              <w:rPr>
                <w:sz w:val="24"/>
              </w:rPr>
            </w:pPr>
            <w:r>
              <w:rPr>
                <w:sz w:val="24"/>
                <w:rtl/>
              </w:rPr>
              <w:fldChar w:fldCharType="begin"/>
            </w:r>
            <w:r>
              <w:rPr>
                <w:sz w:val="24"/>
                <w:rtl/>
              </w:rPr>
              <w:instrText xml:space="preserve"> </w:instrText>
            </w:r>
            <w:r>
              <w:rPr>
                <w:sz w:val="24"/>
              </w:rPr>
              <w:instrText>PAGEREF Seif24</w:instrText>
            </w:r>
            <w:r>
              <w:rPr>
                <w:sz w:val="24"/>
                <w:rtl/>
              </w:rPr>
              <w:instrText xml:space="preserve"> </w:instrText>
            </w:r>
            <w:r>
              <w:rPr>
                <w:sz w:val="24"/>
                <w:rtl/>
              </w:rPr>
              <w:fldChar w:fldCharType="separate"/>
            </w:r>
            <w:r w:rsidR="000E68CD">
              <w:rPr>
                <w:noProof/>
                <w:sz w:val="24"/>
                <w:rtl/>
              </w:rPr>
              <w:t>4</w:t>
            </w:r>
            <w:r>
              <w:rPr>
                <w:sz w:val="24"/>
                <w:rtl/>
              </w:rPr>
              <w:fldChar w:fldCharType="end"/>
            </w:r>
          </w:p>
        </w:tc>
        <w:tc>
          <w:tcPr>
            <w:tcW w:w="567" w:type="dxa"/>
          </w:tcPr>
          <w:p w:rsidR="008D2F93" w:rsidRDefault="008D2F93">
            <w:pPr>
              <w:spacing w:line="240" w:lineRule="auto"/>
              <w:rPr>
                <w:sz w:val="24"/>
              </w:rPr>
            </w:pPr>
            <w:hyperlink w:anchor="Seif24" w:tooltip="מסירת החלטת הועדה" w:history="1">
              <w:r>
                <w:rPr>
                  <w:rStyle w:val="Hyperlink"/>
                </w:rPr>
                <w:t>Go</w:t>
              </w:r>
            </w:hyperlink>
          </w:p>
        </w:tc>
        <w:tc>
          <w:tcPr>
            <w:tcW w:w="5669" w:type="dxa"/>
          </w:tcPr>
          <w:p w:rsidR="008D2F93" w:rsidRDefault="008D2F93">
            <w:pPr>
              <w:spacing w:line="240" w:lineRule="auto"/>
              <w:rPr>
                <w:sz w:val="24"/>
                <w:rtl/>
              </w:rPr>
            </w:pPr>
            <w:r>
              <w:rPr>
                <w:sz w:val="24"/>
                <w:rtl/>
              </w:rPr>
              <w:t>מסירת החלטת הועדה</w:t>
            </w:r>
          </w:p>
        </w:tc>
        <w:tc>
          <w:tcPr>
            <w:tcW w:w="1247" w:type="dxa"/>
          </w:tcPr>
          <w:p w:rsidR="008D2F93" w:rsidRDefault="008D2F93">
            <w:pPr>
              <w:spacing w:line="240" w:lineRule="auto"/>
              <w:rPr>
                <w:sz w:val="24"/>
              </w:rPr>
            </w:pPr>
            <w:r>
              <w:rPr>
                <w:sz w:val="24"/>
                <w:rtl/>
              </w:rPr>
              <w:t xml:space="preserve">סעיף 25 </w:t>
            </w:r>
          </w:p>
        </w:tc>
      </w:tr>
      <w:tr w:rsidR="008D2F93">
        <w:tblPrEx>
          <w:tblCellMar>
            <w:top w:w="0" w:type="dxa"/>
            <w:bottom w:w="0" w:type="dxa"/>
          </w:tblCellMar>
        </w:tblPrEx>
        <w:tc>
          <w:tcPr>
            <w:tcW w:w="850" w:type="dxa"/>
          </w:tcPr>
          <w:p w:rsidR="008D2F93" w:rsidRDefault="008D2F93">
            <w:pPr>
              <w:spacing w:line="240" w:lineRule="auto"/>
              <w:rPr>
                <w:sz w:val="24"/>
              </w:rPr>
            </w:pPr>
            <w:r>
              <w:rPr>
                <w:sz w:val="24"/>
                <w:rtl/>
              </w:rPr>
              <w:fldChar w:fldCharType="begin"/>
            </w:r>
            <w:r>
              <w:rPr>
                <w:sz w:val="24"/>
                <w:rtl/>
              </w:rPr>
              <w:instrText xml:space="preserve"> </w:instrText>
            </w:r>
            <w:r>
              <w:rPr>
                <w:sz w:val="24"/>
              </w:rPr>
              <w:instrText>PAGEREF Seif25</w:instrText>
            </w:r>
            <w:r>
              <w:rPr>
                <w:sz w:val="24"/>
                <w:rtl/>
              </w:rPr>
              <w:instrText xml:space="preserve"> </w:instrText>
            </w:r>
            <w:r>
              <w:rPr>
                <w:sz w:val="24"/>
                <w:rtl/>
              </w:rPr>
              <w:fldChar w:fldCharType="separate"/>
            </w:r>
            <w:r w:rsidR="000E68CD">
              <w:rPr>
                <w:noProof/>
                <w:sz w:val="24"/>
                <w:rtl/>
              </w:rPr>
              <w:t>4</w:t>
            </w:r>
            <w:r>
              <w:rPr>
                <w:sz w:val="24"/>
                <w:rtl/>
              </w:rPr>
              <w:fldChar w:fldCharType="end"/>
            </w:r>
          </w:p>
        </w:tc>
        <w:tc>
          <w:tcPr>
            <w:tcW w:w="567" w:type="dxa"/>
          </w:tcPr>
          <w:p w:rsidR="008D2F93" w:rsidRDefault="008D2F93">
            <w:pPr>
              <w:spacing w:line="240" w:lineRule="auto"/>
              <w:rPr>
                <w:sz w:val="24"/>
              </w:rPr>
            </w:pPr>
            <w:hyperlink w:anchor="Seif25" w:tooltip="הוראות מעבר" w:history="1">
              <w:r>
                <w:rPr>
                  <w:rStyle w:val="Hyperlink"/>
                </w:rPr>
                <w:t>Go</w:t>
              </w:r>
            </w:hyperlink>
          </w:p>
        </w:tc>
        <w:tc>
          <w:tcPr>
            <w:tcW w:w="5669" w:type="dxa"/>
          </w:tcPr>
          <w:p w:rsidR="008D2F93" w:rsidRDefault="008D2F93">
            <w:pPr>
              <w:spacing w:line="240" w:lineRule="auto"/>
              <w:rPr>
                <w:sz w:val="24"/>
                <w:rtl/>
              </w:rPr>
            </w:pPr>
            <w:r>
              <w:rPr>
                <w:sz w:val="24"/>
                <w:rtl/>
              </w:rPr>
              <w:t>הוראות מעבר</w:t>
            </w:r>
          </w:p>
        </w:tc>
        <w:tc>
          <w:tcPr>
            <w:tcW w:w="1247" w:type="dxa"/>
          </w:tcPr>
          <w:p w:rsidR="008D2F93" w:rsidRDefault="008D2F93">
            <w:pPr>
              <w:spacing w:line="240" w:lineRule="auto"/>
              <w:rPr>
                <w:sz w:val="24"/>
              </w:rPr>
            </w:pPr>
            <w:r>
              <w:rPr>
                <w:sz w:val="24"/>
                <w:rtl/>
              </w:rPr>
              <w:t xml:space="preserve">סעיף 26 </w:t>
            </w:r>
          </w:p>
        </w:tc>
      </w:tr>
      <w:tr w:rsidR="008D2F93">
        <w:tblPrEx>
          <w:tblCellMar>
            <w:top w:w="0" w:type="dxa"/>
            <w:bottom w:w="0" w:type="dxa"/>
          </w:tblCellMar>
        </w:tblPrEx>
        <w:tc>
          <w:tcPr>
            <w:tcW w:w="850" w:type="dxa"/>
          </w:tcPr>
          <w:p w:rsidR="008D2F93" w:rsidRDefault="008D2F93">
            <w:pPr>
              <w:spacing w:line="240" w:lineRule="auto"/>
              <w:rPr>
                <w:sz w:val="24"/>
              </w:rPr>
            </w:pPr>
            <w:r>
              <w:rPr>
                <w:sz w:val="24"/>
                <w:rtl/>
              </w:rPr>
              <w:fldChar w:fldCharType="begin"/>
            </w:r>
            <w:r>
              <w:rPr>
                <w:sz w:val="24"/>
                <w:rtl/>
              </w:rPr>
              <w:instrText xml:space="preserve"> </w:instrText>
            </w:r>
            <w:r>
              <w:rPr>
                <w:sz w:val="24"/>
              </w:rPr>
              <w:instrText>PAGEREF Seif26</w:instrText>
            </w:r>
            <w:r>
              <w:rPr>
                <w:sz w:val="24"/>
                <w:rtl/>
              </w:rPr>
              <w:instrText xml:space="preserve"> </w:instrText>
            </w:r>
            <w:r>
              <w:rPr>
                <w:sz w:val="24"/>
                <w:rtl/>
              </w:rPr>
              <w:fldChar w:fldCharType="separate"/>
            </w:r>
            <w:r w:rsidR="000E68CD">
              <w:rPr>
                <w:noProof/>
                <w:sz w:val="24"/>
                <w:rtl/>
              </w:rPr>
              <w:t>4</w:t>
            </w:r>
            <w:r>
              <w:rPr>
                <w:sz w:val="24"/>
                <w:rtl/>
              </w:rPr>
              <w:fldChar w:fldCharType="end"/>
            </w:r>
          </w:p>
        </w:tc>
        <w:tc>
          <w:tcPr>
            <w:tcW w:w="567" w:type="dxa"/>
          </w:tcPr>
          <w:p w:rsidR="008D2F93" w:rsidRDefault="008D2F93">
            <w:pPr>
              <w:spacing w:line="240" w:lineRule="auto"/>
              <w:rPr>
                <w:sz w:val="24"/>
              </w:rPr>
            </w:pPr>
            <w:hyperlink w:anchor="Seif26" w:tooltip="תחילה" w:history="1">
              <w:r>
                <w:rPr>
                  <w:rStyle w:val="Hyperlink"/>
                </w:rPr>
                <w:t>Go</w:t>
              </w:r>
            </w:hyperlink>
          </w:p>
        </w:tc>
        <w:tc>
          <w:tcPr>
            <w:tcW w:w="5669" w:type="dxa"/>
          </w:tcPr>
          <w:p w:rsidR="008D2F93" w:rsidRDefault="008D2F93">
            <w:pPr>
              <w:spacing w:line="240" w:lineRule="auto"/>
              <w:rPr>
                <w:sz w:val="24"/>
                <w:rtl/>
              </w:rPr>
            </w:pPr>
            <w:r>
              <w:rPr>
                <w:sz w:val="24"/>
                <w:rtl/>
              </w:rPr>
              <w:t>תחילה</w:t>
            </w:r>
          </w:p>
        </w:tc>
        <w:tc>
          <w:tcPr>
            <w:tcW w:w="1247" w:type="dxa"/>
          </w:tcPr>
          <w:p w:rsidR="008D2F93" w:rsidRDefault="008D2F93">
            <w:pPr>
              <w:spacing w:line="240" w:lineRule="auto"/>
              <w:rPr>
                <w:sz w:val="24"/>
              </w:rPr>
            </w:pPr>
            <w:r>
              <w:rPr>
                <w:sz w:val="24"/>
                <w:rtl/>
              </w:rPr>
              <w:t xml:space="preserve">סעיף 27 </w:t>
            </w:r>
          </w:p>
        </w:tc>
      </w:tr>
    </w:tbl>
    <w:p w:rsidR="008D2F93" w:rsidRDefault="008D2F93">
      <w:pPr>
        <w:pStyle w:val="big-header"/>
        <w:ind w:left="0" w:right="1134"/>
        <w:rPr>
          <w:rFonts w:cs="FrankRuehl"/>
          <w:sz w:val="32"/>
          <w:rtl/>
        </w:rPr>
      </w:pPr>
    </w:p>
    <w:p w:rsidR="008D2F93" w:rsidRDefault="008D2F93" w:rsidP="00DC287B">
      <w:pPr>
        <w:pStyle w:val="big-header"/>
        <w:ind w:left="0" w:right="1134"/>
        <w:rPr>
          <w:rStyle w:val="default"/>
          <w:rFonts w:cs="FrankRuehl" w:hint="cs"/>
          <w:rtl/>
        </w:rPr>
      </w:pPr>
      <w:r>
        <w:rPr>
          <w:rtl/>
        </w:rPr>
        <w:br w:type="page"/>
      </w:r>
      <w:r>
        <w:rPr>
          <w:rFonts w:cs="FrankRuehl"/>
          <w:sz w:val="32"/>
          <w:rtl/>
        </w:rPr>
        <w:lastRenderedPageBreak/>
        <w:t>תק</w:t>
      </w:r>
      <w:r>
        <w:rPr>
          <w:rFonts w:cs="FrankRuehl" w:hint="cs"/>
          <w:sz w:val="32"/>
          <w:rtl/>
        </w:rPr>
        <w:t>נות העתיקות (סדרי דין בועדת ערר), תשמ"א</w:t>
      </w:r>
      <w:r w:rsidR="000E68CD">
        <w:rPr>
          <w:rFonts w:cs="FrankRuehl" w:hint="cs"/>
          <w:sz w:val="32"/>
          <w:rtl/>
        </w:rPr>
        <w:t>-</w:t>
      </w:r>
      <w:r>
        <w:rPr>
          <w:rFonts w:cs="FrankRuehl"/>
          <w:sz w:val="32"/>
          <w:rtl/>
        </w:rPr>
        <w:t>1981</w:t>
      </w:r>
      <w:r w:rsidR="000E68CD">
        <w:rPr>
          <w:rStyle w:val="a6"/>
          <w:rFonts w:cs="FrankRuehl"/>
          <w:sz w:val="32"/>
          <w:rtl/>
        </w:rPr>
        <w:footnoteReference w:customMarkFollows="1" w:id="1"/>
        <w:t>*</w:t>
      </w:r>
    </w:p>
    <w:p w:rsidR="008D2F93" w:rsidRDefault="008D2F93" w:rsidP="000E68CD">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46(ב) לחוק העתיקות, תשל"ח</w:t>
      </w:r>
      <w:r w:rsidR="000E68CD">
        <w:rPr>
          <w:rStyle w:val="default"/>
          <w:rFonts w:cs="FrankRuehl" w:hint="cs"/>
          <w:rtl/>
        </w:rPr>
        <w:t>-</w:t>
      </w:r>
      <w:r>
        <w:rPr>
          <w:rStyle w:val="default"/>
          <w:rFonts w:cs="FrankRuehl"/>
          <w:rtl/>
        </w:rPr>
        <w:t>1978 (</w:t>
      </w:r>
      <w:r>
        <w:rPr>
          <w:rStyle w:val="default"/>
          <w:rFonts w:cs="FrankRuehl" w:hint="cs"/>
          <w:rtl/>
        </w:rPr>
        <w:t>להלן החוק), ושאר הסמכויות הנתונות לי לפי כל דין, אני מתקין תקנות אלה:</w:t>
      </w:r>
    </w:p>
    <w:p w:rsidR="008D2F93" w:rsidRDefault="008D2F93">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9.8pt;z-index:251644416" o:allowincell="f" filled="f" stroked="f" strokecolor="lime" strokeweight=".25pt">
            <v:textbox inset="0,0,0,0">
              <w:txbxContent>
                <w:p w:rsidR="008D2F93" w:rsidRDefault="008D2F93">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sidR="000E68CD">
        <w:rPr>
          <w:rStyle w:val="default"/>
          <w:rFonts w:cs="FrankRuehl"/>
          <w:rtl/>
        </w:rPr>
        <w:t>–</w:t>
      </w:r>
    </w:p>
    <w:p w:rsidR="008D2F93" w:rsidRDefault="008D2F93" w:rsidP="000E68CD">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 xml:space="preserve">עדה" </w:t>
      </w:r>
      <w:r w:rsidR="000E68CD">
        <w:rPr>
          <w:rStyle w:val="default"/>
          <w:rFonts w:cs="FrankRuehl" w:hint="cs"/>
          <w:rtl/>
        </w:rPr>
        <w:t>-</w:t>
      </w:r>
      <w:r>
        <w:rPr>
          <w:rStyle w:val="default"/>
          <w:rFonts w:cs="FrankRuehl"/>
          <w:rtl/>
        </w:rPr>
        <w:t xml:space="preserve"> </w:t>
      </w:r>
      <w:r>
        <w:rPr>
          <w:rStyle w:val="default"/>
          <w:rFonts w:cs="FrankRuehl" w:hint="cs"/>
          <w:rtl/>
        </w:rPr>
        <w:t>ועדת ערר שנתמנתה לפי סעיף 35 לחוק;</w:t>
      </w:r>
    </w:p>
    <w:p w:rsidR="008D2F93" w:rsidRDefault="008D2F93" w:rsidP="000E68C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ח</w:t>
      </w:r>
      <w:r>
        <w:rPr>
          <w:rStyle w:val="default"/>
          <w:rFonts w:cs="FrankRuehl" w:hint="cs"/>
          <w:rtl/>
        </w:rPr>
        <w:t xml:space="preserve">לטה" </w:t>
      </w:r>
      <w:r w:rsidR="000E68CD">
        <w:rPr>
          <w:rStyle w:val="default"/>
          <w:rFonts w:cs="FrankRuehl" w:hint="cs"/>
          <w:rtl/>
        </w:rPr>
        <w:t>-</w:t>
      </w:r>
      <w:r>
        <w:rPr>
          <w:rStyle w:val="default"/>
          <w:rFonts w:cs="FrankRuehl"/>
          <w:rtl/>
        </w:rPr>
        <w:t xml:space="preserve"> </w:t>
      </w:r>
      <w:r>
        <w:rPr>
          <w:rStyle w:val="default"/>
          <w:rFonts w:cs="FrankRuehl" w:hint="cs"/>
          <w:rtl/>
        </w:rPr>
        <w:t>החלטה מהחלטות המנהל המפורטות בסעיף 36(א) לחוק.</w:t>
      </w:r>
    </w:p>
    <w:p w:rsidR="008D2F93" w:rsidRDefault="008D2F93">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14.4pt;z-index:251645440" o:allowincell="f" filled="f" stroked="f" strokecolor="lime" strokeweight=".25pt">
            <v:textbox inset="0,0,0,0">
              <w:txbxContent>
                <w:p w:rsidR="008D2F93" w:rsidRDefault="008D2F93">
                  <w:pPr>
                    <w:spacing w:line="160" w:lineRule="exact"/>
                    <w:jc w:val="left"/>
                    <w:rPr>
                      <w:rFonts w:cs="Miriam"/>
                      <w:noProof/>
                      <w:sz w:val="18"/>
                      <w:szCs w:val="18"/>
                      <w:rtl/>
                    </w:rPr>
                  </w:pPr>
                  <w:r>
                    <w:rPr>
                      <w:rFonts w:cs="Miriam"/>
                      <w:sz w:val="18"/>
                      <w:szCs w:val="18"/>
                      <w:rtl/>
                    </w:rPr>
                    <w:t>הג</w:t>
                  </w:r>
                  <w:r>
                    <w:rPr>
                      <w:rFonts w:cs="Miriam" w:hint="cs"/>
                      <w:sz w:val="18"/>
                      <w:szCs w:val="18"/>
                      <w:rtl/>
                    </w:rPr>
                    <w:t>שת ערר</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רר על החלטת המנהל יוגש תוך שלושים יום מיום שהומצא לעורר העתק ההחלטה או מיום שנודע לו עליה, לפי המוקדם יותר; אולם רשאי יושב-ראש הועדה להאריך את מועד הגשת הערר לתקופה אחת נוספת שלא תעלה על ארבע</w:t>
      </w:r>
      <w:r>
        <w:rPr>
          <w:rStyle w:val="default"/>
          <w:rFonts w:cs="FrankRuehl"/>
          <w:rtl/>
        </w:rPr>
        <w:t xml:space="preserve">ה </w:t>
      </w:r>
      <w:r>
        <w:rPr>
          <w:rStyle w:val="default"/>
          <w:rFonts w:cs="FrankRuehl" w:hint="cs"/>
          <w:rtl/>
        </w:rPr>
        <w:t>עשר יום.</w:t>
      </w:r>
    </w:p>
    <w:p w:rsidR="008D2F93" w:rsidRDefault="008D2F9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ערר יוגש בכתב וימסר לועדה או ישלח אליה בדואר ר</w:t>
      </w:r>
      <w:r>
        <w:rPr>
          <w:rStyle w:val="default"/>
          <w:rFonts w:cs="FrankRuehl"/>
          <w:rtl/>
        </w:rPr>
        <w:t>ש</w:t>
      </w:r>
      <w:r>
        <w:rPr>
          <w:rStyle w:val="default"/>
          <w:rFonts w:cs="FrankRuehl" w:hint="cs"/>
          <w:rtl/>
        </w:rPr>
        <w:t>ום לפי מענה שפורסם ברשומות; היה מענה של הועדה בית משפט, יימסר הערר במשרד הרישום של אותו בית משפט.</w:t>
      </w:r>
    </w:p>
    <w:p w:rsidR="008D2F93" w:rsidRDefault="008D2F93">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11.7pt;z-index:251646464" o:allowincell="f" filled="f" stroked="f" strokecolor="lime" strokeweight=".25pt">
            <v:textbox inset="0,0,0,0">
              <w:txbxContent>
                <w:p w:rsidR="008D2F93" w:rsidRDefault="008D2F93">
                  <w:pPr>
                    <w:spacing w:line="160" w:lineRule="exact"/>
                    <w:jc w:val="left"/>
                    <w:rPr>
                      <w:rFonts w:cs="Miriam"/>
                      <w:noProof/>
                      <w:sz w:val="18"/>
                      <w:szCs w:val="18"/>
                      <w:rtl/>
                    </w:rPr>
                  </w:pPr>
                  <w:r>
                    <w:rPr>
                      <w:rFonts w:cs="Miriam"/>
                      <w:sz w:val="18"/>
                      <w:szCs w:val="18"/>
                      <w:rtl/>
                    </w:rPr>
                    <w:t>כת</w:t>
                  </w:r>
                  <w:r>
                    <w:rPr>
                      <w:rFonts w:cs="Miriam" w:hint="cs"/>
                      <w:sz w:val="18"/>
                      <w:szCs w:val="18"/>
                      <w:rtl/>
                    </w:rPr>
                    <w:t>ב ערר</w:t>
                  </w:r>
                </w:p>
              </w:txbxContent>
            </v:textbox>
            <w10:anchorlock/>
          </v:rect>
        </w:pict>
      </w:r>
      <w:r>
        <w:rPr>
          <w:rStyle w:val="big-number"/>
          <w:rFonts w:cs="Miriam"/>
          <w:rtl/>
        </w:rPr>
        <w:t>3.</w:t>
      </w:r>
      <w:r>
        <w:rPr>
          <w:rStyle w:val="big-number"/>
          <w:rFonts w:cs="Miriam"/>
          <w:rtl/>
        </w:rPr>
        <w:tab/>
      </w:r>
      <w:r>
        <w:rPr>
          <w:rStyle w:val="default"/>
          <w:rFonts w:cs="FrankRuehl"/>
          <w:rtl/>
        </w:rPr>
        <w:t>הע</w:t>
      </w:r>
      <w:r>
        <w:rPr>
          <w:rStyle w:val="default"/>
          <w:rFonts w:cs="FrankRuehl" w:hint="cs"/>
          <w:rtl/>
        </w:rPr>
        <w:t>רר יוגש בשלושה העתקים, ייחתם בידי העורר או בא כוחו ויפורטו בו:</w:t>
      </w:r>
    </w:p>
    <w:p w:rsidR="008D2F93" w:rsidRDefault="008D2F93">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מו של העורר, משלח יד</w:t>
      </w:r>
      <w:r>
        <w:rPr>
          <w:rStyle w:val="default"/>
          <w:rFonts w:cs="FrankRuehl"/>
          <w:rtl/>
        </w:rPr>
        <w:t xml:space="preserve">ו </w:t>
      </w:r>
      <w:r>
        <w:rPr>
          <w:rStyle w:val="default"/>
          <w:rFonts w:cs="FrankRuehl" w:hint="cs"/>
          <w:rtl/>
        </w:rPr>
        <w:t>ומענו;</w:t>
      </w:r>
    </w:p>
    <w:p w:rsidR="008D2F93" w:rsidRDefault="008D2F93">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מועד שבו נמסר לעורר העתק ההחלטה או המוע</w:t>
      </w:r>
      <w:r>
        <w:rPr>
          <w:rStyle w:val="default"/>
          <w:rFonts w:cs="FrankRuehl"/>
          <w:rtl/>
        </w:rPr>
        <w:t>ד</w:t>
      </w:r>
      <w:r>
        <w:rPr>
          <w:rStyle w:val="default"/>
          <w:rFonts w:cs="FrankRuehl" w:hint="cs"/>
          <w:rtl/>
        </w:rPr>
        <w:t xml:space="preserve"> שבו נודע לו עליה;</w:t>
      </w:r>
    </w:p>
    <w:p w:rsidR="008D2F93" w:rsidRDefault="008D2F93">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עובדות שעליהן מסתמך העורר;</w:t>
      </w:r>
    </w:p>
    <w:p w:rsidR="008D2F93" w:rsidRDefault="008D2F93">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נימוקים שעליהם מבסס העורר את עררו, לרבות נימוקים משפטיים, כל נימוק בפסקה מיוחדת;</w:t>
      </w:r>
    </w:p>
    <w:p w:rsidR="008D2F93" w:rsidRDefault="008D2F93">
      <w:pPr>
        <w:pStyle w:val="P22"/>
        <w:spacing w:before="72"/>
        <w:ind w:left="1021"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סעד המבוקש.</w:t>
      </w:r>
    </w:p>
    <w:p w:rsidR="008D2F93" w:rsidRDefault="008D2F93">
      <w:pPr>
        <w:pStyle w:val="P00"/>
        <w:spacing w:before="72"/>
        <w:ind w:left="0" w:right="1134"/>
        <w:rPr>
          <w:rStyle w:val="default"/>
          <w:rFonts w:cs="FrankRuehl"/>
          <w:rtl/>
        </w:rPr>
      </w:pPr>
      <w:bookmarkStart w:id="3" w:name="Seif3"/>
      <w:bookmarkEnd w:id="3"/>
      <w:r>
        <w:rPr>
          <w:lang w:val="he-IL"/>
        </w:rPr>
        <w:pict>
          <v:rect id="_x0000_s1029" style="position:absolute;left:0;text-align:left;margin-left:464.5pt;margin-top:8.05pt;width:75.05pt;height:13.35pt;z-index:251647488" o:allowincell="f" filled="f" stroked="f" strokecolor="lime" strokeweight=".25pt">
            <v:textbox inset="0,0,0,0">
              <w:txbxContent>
                <w:p w:rsidR="008D2F93" w:rsidRDefault="008D2F93">
                  <w:pPr>
                    <w:spacing w:line="160" w:lineRule="exact"/>
                    <w:jc w:val="left"/>
                    <w:rPr>
                      <w:rFonts w:cs="Miriam"/>
                      <w:noProof/>
                      <w:sz w:val="18"/>
                      <w:szCs w:val="18"/>
                      <w:rtl/>
                    </w:rPr>
                  </w:pPr>
                  <w:r>
                    <w:rPr>
                      <w:rFonts w:cs="Miriam"/>
                      <w:sz w:val="18"/>
                      <w:szCs w:val="18"/>
                      <w:rtl/>
                    </w:rPr>
                    <w:t>צי</w:t>
                  </w:r>
                  <w:r>
                    <w:rPr>
                      <w:rFonts w:cs="Miriam" w:hint="cs"/>
                      <w:sz w:val="18"/>
                      <w:szCs w:val="18"/>
                      <w:rtl/>
                    </w:rPr>
                    <w:t>רוף מסמכים</w:t>
                  </w:r>
                </w:p>
              </w:txbxContent>
            </v:textbox>
            <w10:anchorlock/>
          </v:rect>
        </w:pict>
      </w:r>
      <w:r>
        <w:rPr>
          <w:rStyle w:val="big-number"/>
          <w:rFonts w:cs="Miriam"/>
          <w:rtl/>
        </w:rPr>
        <w:t>4.</w:t>
      </w:r>
      <w:r>
        <w:rPr>
          <w:rStyle w:val="big-number"/>
          <w:rFonts w:cs="Miriam"/>
          <w:rtl/>
        </w:rPr>
        <w:tab/>
      </w:r>
      <w:r>
        <w:rPr>
          <w:rStyle w:val="default"/>
          <w:rFonts w:cs="FrankRuehl"/>
          <w:rtl/>
        </w:rPr>
        <w:t>לכ</w:t>
      </w:r>
      <w:r>
        <w:rPr>
          <w:rStyle w:val="default"/>
          <w:rFonts w:cs="FrankRuehl" w:hint="cs"/>
          <w:rtl/>
        </w:rPr>
        <w:t>תב הערר יצורפו:</w:t>
      </w:r>
    </w:p>
    <w:p w:rsidR="008D2F93" w:rsidRDefault="008D2F93">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לושה העתקים של ההחלטה</w:t>
      </w:r>
      <w:r>
        <w:rPr>
          <w:rStyle w:val="default"/>
          <w:rFonts w:cs="FrankRuehl"/>
          <w:rtl/>
        </w:rPr>
        <w:t xml:space="preserve"> נ</w:t>
      </w:r>
      <w:r>
        <w:rPr>
          <w:rStyle w:val="default"/>
          <w:rFonts w:cs="FrankRuehl" w:hint="cs"/>
          <w:rtl/>
        </w:rPr>
        <w:t>ושא הערר;</w:t>
      </w:r>
    </w:p>
    <w:p w:rsidR="008D2F93" w:rsidRDefault="008D2F93">
      <w:pPr>
        <w:pStyle w:val="P22"/>
        <w:spacing w:before="72"/>
        <w:ind w:left="1021"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צהיר או תצהירים לאימות העובדות שעליהן מסתמך העורר;</w:t>
      </w:r>
    </w:p>
    <w:p w:rsidR="008D2F93" w:rsidRDefault="008D2F93">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סמכים שהעורר מסתמך עליהם והנמצאים ברשותו.</w:t>
      </w:r>
    </w:p>
    <w:p w:rsidR="008D2F93" w:rsidRDefault="008D2F93">
      <w:pPr>
        <w:pStyle w:val="P00"/>
        <w:spacing w:before="72"/>
        <w:ind w:left="0" w:right="1134"/>
        <w:rPr>
          <w:rStyle w:val="default"/>
          <w:rFonts w:cs="FrankRuehl"/>
          <w:rtl/>
        </w:rPr>
      </w:pPr>
      <w:bookmarkStart w:id="4" w:name="Seif4"/>
      <w:bookmarkEnd w:id="4"/>
      <w:r>
        <w:rPr>
          <w:lang w:val="he-IL"/>
        </w:rPr>
        <w:pict>
          <v:rect id="_x0000_s1030" style="position:absolute;left:0;text-align:left;margin-left:464.5pt;margin-top:8.05pt;width:75.05pt;height:10.85pt;z-index:251648512" o:allowincell="f" filled="f" stroked="f" strokecolor="lime" strokeweight=".25pt">
            <v:textbox inset="0,0,0,0">
              <w:txbxContent>
                <w:p w:rsidR="008D2F93" w:rsidRDefault="008D2F93">
                  <w:pPr>
                    <w:spacing w:line="160" w:lineRule="exact"/>
                    <w:jc w:val="left"/>
                    <w:rPr>
                      <w:rFonts w:cs="Miriam"/>
                      <w:noProof/>
                      <w:sz w:val="18"/>
                      <w:szCs w:val="18"/>
                      <w:rtl/>
                    </w:rPr>
                  </w:pPr>
                  <w:r>
                    <w:rPr>
                      <w:rFonts w:cs="Miriam"/>
                      <w:sz w:val="18"/>
                      <w:szCs w:val="18"/>
                      <w:rtl/>
                    </w:rPr>
                    <w:t>לי</w:t>
                  </w:r>
                  <w:r>
                    <w:rPr>
                      <w:rFonts w:cs="Miriam" w:hint="cs"/>
                      <w:sz w:val="18"/>
                      <w:szCs w:val="18"/>
                      <w:rtl/>
                    </w:rPr>
                    <w:t>קוי בכתב הערר</w:t>
                  </w:r>
                </w:p>
              </w:txbxContent>
            </v:textbox>
            <w10:anchorlock/>
          </v:rect>
        </w:pict>
      </w:r>
      <w:r>
        <w:rPr>
          <w:rStyle w:val="big-number"/>
          <w:rFonts w:cs="Miriam"/>
          <w:rtl/>
        </w:rPr>
        <w:t>5.</w:t>
      </w:r>
      <w:r>
        <w:rPr>
          <w:rStyle w:val="big-number"/>
          <w:rFonts w:cs="Miriam"/>
          <w:rtl/>
        </w:rPr>
        <w:tab/>
      </w:r>
      <w:r>
        <w:rPr>
          <w:rStyle w:val="default"/>
          <w:rFonts w:cs="FrankRuehl"/>
          <w:rtl/>
        </w:rPr>
        <w:t>כת</w:t>
      </w:r>
      <w:r>
        <w:rPr>
          <w:rStyle w:val="default"/>
          <w:rFonts w:cs="FrankRuehl" w:hint="cs"/>
          <w:rtl/>
        </w:rPr>
        <w:t xml:space="preserve">ב ערר שלא נתקיימה בו הוראה מהוראות תקנות </w:t>
      </w:r>
      <w:r>
        <w:rPr>
          <w:rStyle w:val="default"/>
          <w:rFonts w:cs="FrankRuehl"/>
          <w:rtl/>
        </w:rPr>
        <w:t>3 ו</w:t>
      </w:r>
      <w:r>
        <w:rPr>
          <w:rStyle w:val="default"/>
          <w:rFonts w:cs="FrankRuehl" w:hint="cs"/>
          <w:rtl/>
        </w:rPr>
        <w:t>-4, לא יתקבל על ידי הועדה או משרד הרישום; אולם משקיבלו כתב ערר, לא ייפסל על יסוד אי קיום הוראה כאמור, אלא אם היה באי פסילה כזו משום עיוות דין.</w:t>
      </w:r>
    </w:p>
    <w:p w:rsidR="008D2F93" w:rsidRDefault="008D2F93">
      <w:pPr>
        <w:pStyle w:val="P00"/>
        <w:spacing w:before="72"/>
        <w:ind w:left="0" w:right="1134"/>
        <w:rPr>
          <w:rStyle w:val="default"/>
          <w:rFonts w:cs="FrankRuehl"/>
          <w:rtl/>
        </w:rPr>
      </w:pPr>
      <w:bookmarkStart w:id="5" w:name="Seif5"/>
      <w:bookmarkEnd w:id="5"/>
      <w:r>
        <w:rPr>
          <w:lang w:val="he-IL"/>
        </w:rPr>
        <w:pict>
          <v:rect id="_x0000_s1031" style="position:absolute;left:0;text-align:left;margin-left:464.5pt;margin-top:8.05pt;width:75.05pt;height:9.7pt;z-index:251649536" o:allowincell="f" filled="f" stroked="f" strokecolor="lime" strokeweight=".25pt">
            <v:textbox inset="0,0,0,0">
              <w:txbxContent>
                <w:p w:rsidR="008D2F93" w:rsidRDefault="008D2F93">
                  <w:pPr>
                    <w:spacing w:line="160" w:lineRule="exact"/>
                    <w:jc w:val="left"/>
                    <w:rPr>
                      <w:rFonts w:cs="Miriam"/>
                      <w:noProof/>
                      <w:sz w:val="18"/>
                      <w:szCs w:val="18"/>
                      <w:rtl/>
                    </w:rPr>
                  </w:pPr>
                  <w:r>
                    <w:rPr>
                      <w:rFonts w:cs="Miriam"/>
                      <w:sz w:val="18"/>
                      <w:szCs w:val="18"/>
                      <w:rtl/>
                    </w:rPr>
                    <w:t>מס</w:t>
                  </w:r>
                  <w:r>
                    <w:rPr>
                      <w:rFonts w:cs="Miriam" w:hint="cs"/>
                      <w:sz w:val="18"/>
                      <w:szCs w:val="18"/>
                      <w:rtl/>
                    </w:rPr>
                    <w:t>ירה למשיב</w:t>
                  </w:r>
                </w:p>
              </w:txbxContent>
            </v:textbox>
            <w10:anchorlock/>
          </v:rect>
        </w:pict>
      </w:r>
      <w:r>
        <w:rPr>
          <w:rStyle w:val="big-number"/>
          <w:rFonts w:cs="Miriam"/>
          <w:rtl/>
        </w:rPr>
        <w:t>6.</w:t>
      </w:r>
      <w:r>
        <w:rPr>
          <w:rStyle w:val="big-number"/>
          <w:rFonts w:cs="Miriam"/>
          <w:rtl/>
        </w:rPr>
        <w:tab/>
      </w:r>
      <w:r>
        <w:rPr>
          <w:rStyle w:val="default"/>
          <w:rFonts w:cs="FrankRuehl"/>
          <w:rtl/>
        </w:rPr>
        <w:t>הו</w:t>
      </w:r>
      <w:r>
        <w:rPr>
          <w:rStyle w:val="default"/>
          <w:rFonts w:cs="FrankRuehl" w:hint="cs"/>
          <w:rtl/>
        </w:rPr>
        <w:t>עדה תמסור למנהל העתק מכתב הערר על נספחיו.</w:t>
      </w:r>
    </w:p>
    <w:p w:rsidR="008D2F93" w:rsidRDefault="008D2F93">
      <w:pPr>
        <w:pStyle w:val="P00"/>
        <w:spacing w:before="72"/>
        <w:ind w:left="0" w:right="1134"/>
        <w:rPr>
          <w:rStyle w:val="default"/>
          <w:rFonts w:cs="FrankRuehl"/>
          <w:rtl/>
        </w:rPr>
      </w:pPr>
      <w:bookmarkStart w:id="6" w:name="Seif6"/>
      <w:bookmarkEnd w:id="6"/>
      <w:r>
        <w:rPr>
          <w:lang w:val="he-IL"/>
        </w:rPr>
        <w:pict>
          <v:rect id="_x0000_s1032" style="position:absolute;left:0;text-align:left;margin-left:464.5pt;margin-top:8.05pt;width:75.05pt;height:12.2pt;z-index:251650560" o:allowincell="f" filled="f" stroked="f" strokecolor="lime" strokeweight=".25pt">
            <v:textbox inset="0,0,0,0">
              <w:txbxContent>
                <w:p w:rsidR="008D2F93" w:rsidRDefault="008D2F93">
                  <w:pPr>
                    <w:spacing w:line="160" w:lineRule="exact"/>
                    <w:jc w:val="left"/>
                    <w:rPr>
                      <w:rFonts w:cs="Miriam"/>
                      <w:noProof/>
                      <w:sz w:val="18"/>
                      <w:szCs w:val="18"/>
                      <w:rtl/>
                    </w:rPr>
                  </w:pPr>
                  <w:r>
                    <w:rPr>
                      <w:rFonts w:cs="Miriam"/>
                      <w:sz w:val="18"/>
                      <w:szCs w:val="18"/>
                      <w:rtl/>
                    </w:rPr>
                    <w:t>תש</w:t>
                  </w:r>
                  <w:r>
                    <w:rPr>
                      <w:rFonts w:cs="Miriam" w:hint="cs"/>
                      <w:sz w:val="18"/>
                      <w:szCs w:val="18"/>
                      <w:rtl/>
                    </w:rPr>
                    <w:t>ובת המנהל</w:t>
                  </w:r>
                </w:p>
              </w:txbxContent>
            </v:textbox>
            <w10:anchorlock/>
          </v:rect>
        </w:pict>
      </w:r>
      <w:r>
        <w:rPr>
          <w:rStyle w:val="big-number"/>
          <w:rFonts w:cs="Miriam"/>
          <w:rtl/>
        </w:rPr>
        <w:t>7.</w:t>
      </w:r>
      <w:r>
        <w:rPr>
          <w:rStyle w:val="big-number"/>
          <w:rFonts w:cs="Miriam"/>
          <w:rtl/>
        </w:rPr>
        <w:tab/>
      </w:r>
      <w:r>
        <w:rPr>
          <w:rStyle w:val="default"/>
          <w:rFonts w:cs="FrankRuehl"/>
          <w:rtl/>
        </w:rPr>
        <w:t>המ</w:t>
      </w:r>
      <w:r>
        <w:rPr>
          <w:rStyle w:val="default"/>
          <w:rFonts w:cs="FrankRuehl" w:hint="cs"/>
          <w:rtl/>
        </w:rPr>
        <w:t>נהל יגיש לועדה, תוך שלושים יום מיום שנמסר לו העתק כתב הע</w:t>
      </w:r>
      <w:r>
        <w:rPr>
          <w:rStyle w:val="default"/>
          <w:rFonts w:cs="FrankRuehl"/>
          <w:rtl/>
        </w:rPr>
        <w:t>רר</w:t>
      </w:r>
      <w:r>
        <w:rPr>
          <w:rStyle w:val="default"/>
          <w:rFonts w:cs="FrankRuehl" w:hint="cs"/>
          <w:rtl/>
        </w:rPr>
        <w:t>, תשובה מנומקת בכתב חתומה בידו, בצירוף הראיות שעליהן היא מסתמכת; לענין זה יחולו הוראות תקנה 2, בשינויים המחוייבים.</w:t>
      </w:r>
    </w:p>
    <w:p w:rsidR="008D2F93" w:rsidRDefault="008D2F93">
      <w:pPr>
        <w:pStyle w:val="P00"/>
        <w:spacing w:before="72"/>
        <w:ind w:left="0" w:right="1134"/>
        <w:rPr>
          <w:rStyle w:val="default"/>
          <w:rFonts w:cs="FrankRuehl"/>
          <w:rtl/>
        </w:rPr>
      </w:pPr>
      <w:bookmarkStart w:id="7" w:name="Seif7"/>
      <w:bookmarkEnd w:id="7"/>
      <w:r>
        <w:rPr>
          <w:lang w:val="he-IL"/>
        </w:rPr>
        <w:pict>
          <v:rect id="_x0000_s1033" style="position:absolute;left:0;text-align:left;margin-left:464.5pt;margin-top:8.05pt;width:75.05pt;height:11.1pt;z-index:251651584" o:allowincell="f" filled="f" stroked="f" strokecolor="lime" strokeweight=".25pt">
            <v:textbox inset="0,0,0,0">
              <w:txbxContent>
                <w:p w:rsidR="008D2F93" w:rsidRDefault="008D2F93">
                  <w:pPr>
                    <w:spacing w:line="160" w:lineRule="exact"/>
                    <w:jc w:val="left"/>
                    <w:rPr>
                      <w:rFonts w:cs="Miriam"/>
                      <w:noProof/>
                      <w:sz w:val="18"/>
                      <w:szCs w:val="18"/>
                      <w:rtl/>
                    </w:rPr>
                  </w:pPr>
                  <w:r>
                    <w:rPr>
                      <w:rFonts w:cs="Miriam"/>
                      <w:sz w:val="18"/>
                      <w:szCs w:val="18"/>
                      <w:rtl/>
                    </w:rPr>
                    <w:t>מסיר</w:t>
                  </w:r>
                  <w:r>
                    <w:rPr>
                      <w:rFonts w:cs="Miriam" w:hint="cs"/>
                      <w:sz w:val="18"/>
                      <w:szCs w:val="18"/>
                      <w:rtl/>
                    </w:rPr>
                    <w:t>ה לעורר</w:t>
                  </w:r>
                </w:p>
              </w:txbxContent>
            </v:textbox>
            <w10:anchorlock/>
          </v:rect>
        </w:pict>
      </w:r>
      <w:r>
        <w:rPr>
          <w:rStyle w:val="big-number"/>
          <w:rFonts w:cs="Miriam"/>
          <w:rtl/>
        </w:rPr>
        <w:t>8.</w:t>
      </w:r>
      <w:r>
        <w:rPr>
          <w:rStyle w:val="big-number"/>
          <w:rFonts w:cs="Miriam"/>
          <w:rtl/>
        </w:rPr>
        <w:tab/>
      </w:r>
      <w:r>
        <w:rPr>
          <w:rStyle w:val="default"/>
          <w:rFonts w:cs="FrankRuehl"/>
          <w:rtl/>
        </w:rPr>
        <w:t>הו</w:t>
      </w:r>
      <w:r>
        <w:rPr>
          <w:rStyle w:val="default"/>
          <w:rFonts w:cs="FrankRuehl" w:hint="cs"/>
          <w:rtl/>
        </w:rPr>
        <w:t>עדה תמציא לעורר העתק מתשובת המנהל על נספחיה.</w:t>
      </w:r>
    </w:p>
    <w:p w:rsidR="008D2F93" w:rsidRDefault="008D2F93">
      <w:pPr>
        <w:pStyle w:val="P00"/>
        <w:spacing w:before="72"/>
        <w:ind w:left="0" w:right="1134"/>
        <w:rPr>
          <w:rStyle w:val="default"/>
          <w:rFonts w:cs="FrankRuehl"/>
          <w:rtl/>
        </w:rPr>
      </w:pPr>
      <w:bookmarkStart w:id="8" w:name="Seif8"/>
      <w:bookmarkEnd w:id="8"/>
      <w:r>
        <w:rPr>
          <w:lang w:val="he-IL"/>
        </w:rPr>
        <w:pict>
          <v:rect id="_x0000_s1034" style="position:absolute;left:0;text-align:left;margin-left:464.5pt;margin-top:8.05pt;width:75.05pt;height:13.55pt;z-index:251652608" o:allowincell="f" filled="f" stroked="f" strokecolor="lime" strokeweight=".25pt">
            <v:textbox inset="0,0,0,0">
              <w:txbxContent>
                <w:p w:rsidR="008D2F93" w:rsidRDefault="008D2F93">
                  <w:pPr>
                    <w:spacing w:line="160" w:lineRule="exact"/>
                    <w:jc w:val="left"/>
                    <w:rPr>
                      <w:rFonts w:cs="Miriam"/>
                      <w:noProof/>
                      <w:sz w:val="18"/>
                      <w:szCs w:val="18"/>
                      <w:rtl/>
                    </w:rPr>
                  </w:pPr>
                  <w:r>
                    <w:rPr>
                      <w:rFonts w:cs="Miriam"/>
                      <w:sz w:val="18"/>
                      <w:szCs w:val="18"/>
                      <w:rtl/>
                    </w:rPr>
                    <w:t>תש</w:t>
                  </w:r>
                  <w:r>
                    <w:rPr>
                      <w:rFonts w:cs="Miriam" w:hint="cs"/>
                      <w:sz w:val="18"/>
                      <w:szCs w:val="18"/>
                      <w:rtl/>
                    </w:rPr>
                    <w:t>ובת העורר</w:t>
                  </w:r>
                </w:p>
              </w:txbxContent>
            </v:textbox>
            <w10:anchorlock/>
          </v:rect>
        </w:pict>
      </w:r>
      <w:r>
        <w:rPr>
          <w:rStyle w:val="big-number"/>
          <w:rFonts w:cs="Miriam"/>
          <w:rtl/>
        </w:rPr>
        <w:t>9.</w:t>
      </w:r>
      <w:r>
        <w:rPr>
          <w:rStyle w:val="big-number"/>
          <w:rFonts w:cs="Miriam"/>
          <w:rtl/>
        </w:rPr>
        <w:tab/>
      </w:r>
      <w:r>
        <w:rPr>
          <w:rStyle w:val="default"/>
          <w:rFonts w:cs="FrankRuehl"/>
          <w:rtl/>
        </w:rPr>
        <w:t>הע</w:t>
      </w:r>
      <w:r>
        <w:rPr>
          <w:rStyle w:val="default"/>
          <w:rFonts w:cs="FrankRuehl" w:hint="cs"/>
          <w:rtl/>
        </w:rPr>
        <w:t>ורר רשאי, תוך שבוע מיום שהומצאה לו תשובת המנהל</w:t>
      </w:r>
      <w:r>
        <w:rPr>
          <w:rStyle w:val="default"/>
          <w:rFonts w:cs="FrankRuehl"/>
          <w:rtl/>
        </w:rPr>
        <w:t xml:space="preserve">, </w:t>
      </w:r>
      <w:r>
        <w:rPr>
          <w:rStyle w:val="default"/>
          <w:rFonts w:cs="FrankRuehl" w:hint="cs"/>
          <w:rtl/>
        </w:rPr>
        <w:t xml:space="preserve">להגיש לועדה תשובה בכתב; התשובה על </w:t>
      </w:r>
      <w:r>
        <w:rPr>
          <w:rStyle w:val="default"/>
          <w:rFonts w:cs="FrankRuehl"/>
          <w:rtl/>
        </w:rPr>
        <w:t>נס</w:t>
      </w:r>
      <w:r>
        <w:rPr>
          <w:rStyle w:val="default"/>
          <w:rFonts w:cs="FrankRuehl" w:hint="cs"/>
          <w:rtl/>
        </w:rPr>
        <w:t>פחיה תוגש בשלושה העתקים והועדה תמציא למנהל העתק אחד ממנה.</w:t>
      </w:r>
    </w:p>
    <w:p w:rsidR="008D2F93" w:rsidRDefault="008D2F93">
      <w:pPr>
        <w:pStyle w:val="P00"/>
        <w:spacing w:before="72"/>
        <w:ind w:left="0" w:right="1134"/>
        <w:rPr>
          <w:rStyle w:val="default"/>
          <w:rFonts w:cs="FrankRuehl"/>
          <w:rtl/>
        </w:rPr>
      </w:pPr>
      <w:bookmarkStart w:id="9" w:name="Seif9"/>
      <w:bookmarkEnd w:id="9"/>
      <w:r>
        <w:rPr>
          <w:lang w:val="he-IL"/>
        </w:rPr>
        <w:pict>
          <v:rect id="_x0000_s1035" style="position:absolute;left:0;text-align:left;margin-left:464.5pt;margin-top:8.05pt;width:75.05pt;height:14.25pt;z-index:251653632" o:allowincell="f" filled="f" stroked="f" strokecolor="lime" strokeweight=".25pt">
            <v:textbox inset="0,0,0,0">
              <w:txbxContent>
                <w:p w:rsidR="008D2F93" w:rsidRDefault="008D2F93">
                  <w:pPr>
                    <w:spacing w:line="160" w:lineRule="exact"/>
                    <w:jc w:val="left"/>
                    <w:rPr>
                      <w:rFonts w:cs="Miriam"/>
                      <w:noProof/>
                      <w:sz w:val="18"/>
                      <w:szCs w:val="18"/>
                      <w:rtl/>
                    </w:rPr>
                  </w:pPr>
                  <w:r>
                    <w:rPr>
                      <w:rFonts w:cs="Miriam"/>
                      <w:sz w:val="18"/>
                      <w:szCs w:val="18"/>
                      <w:rtl/>
                    </w:rPr>
                    <w:t>טע</w:t>
                  </w:r>
                  <w:r>
                    <w:rPr>
                      <w:rFonts w:cs="Miriam" w:hint="cs"/>
                      <w:sz w:val="18"/>
                      <w:szCs w:val="18"/>
                      <w:rtl/>
                    </w:rPr>
                    <w:t>נות פגם</w:t>
                  </w:r>
                </w:p>
              </w:txbxContent>
            </v:textbox>
            <w10:anchorlock/>
          </v:rect>
        </w:pict>
      </w:r>
      <w:r>
        <w:rPr>
          <w:rStyle w:val="big-number"/>
          <w:rFonts w:cs="Miriam"/>
          <w:rtl/>
        </w:rPr>
        <w:t>10.</w:t>
      </w:r>
      <w:r>
        <w:rPr>
          <w:rStyle w:val="big-number"/>
          <w:rFonts w:cs="Miriam"/>
          <w:rtl/>
        </w:rPr>
        <w:tab/>
      </w:r>
      <w:r>
        <w:rPr>
          <w:rStyle w:val="default"/>
          <w:rFonts w:cs="FrankRuehl"/>
          <w:rtl/>
        </w:rPr>
        <w:t>בש</w:t>
      </w:r>
      <w:r>
        <w:rPr>
          <w:rStyle w:val="default"/>
          <w:rFonts w:cs="FrankRuehl" w:hint="cs"/>
          <w:rtl/>
        </w:rPr>
        <w:t>מיעת הערר לא תיזקק הועדה לכל טענה של פגם בצורת כתב הערר, אלא אם נכללה טענה כזו בתשובת המנהל והעורר לא תיקן את הפגם תוך שבוע מיום שהומצאה לו אותה תשובה.</w:t>
      </w:r>
    </w:p>
    <w:p w:rsidR="008D2F93" w:rsidRDefault="008D2F93">
      <w:pPr>
        <w:pStyle w:val="P00"/>
        <w:spacing w:before="72"/>
        <w:ind w:left="0" w:right="1134"/>
        <w:rPr>
          <w:rStyle w:val="default"/>
          <w:rFonts w:cs="FrankRuehl"/>
          <w:rtl/>
        </w:rPr>
      </w:pPr>
      <w:bookmarkStart w:id="10" w:name="Seif10"/>
      <w:bookmarkEnd w:id="10"/>
      <w:r>
        <w:rPr>
          <w:lang w:val="he-IL"/>
        </w:rPr>
        <w:pict>
          <v:rect id="_x0000_s1036" style="position:absolute;left:0;text-align:left;margin-left:464.5pt;margin-top:8.05pt;width:75.05pt;height:11pt;z-index:251654656" o:allowincell="f" filled="f" stroked="f" strokecolor="lime" strokeweight=".25pt">
            <v:textbox inset="0,0,0,0">
              <w:txbxContent>
                <w:p w:rsidR="008D2F93" w:rsidRDefault="008D2F93">
                  <w:pPr>
                    <w:spacing w:line="160" w:lineRule="exact"/>
                    <w:jc w:val="left"/>
                    <w:rPr>
                      <w:rFonts w:cs="Miriam"/>
                      <w:noProof/>
                      <w:sz w:val="18"/>
                      <w:szCs w:val="18"/>
                      <w:rtl/>
                    </w:rPr>
                  </w:pPr>
                  <w:r>
                    <w:rPr>
                      <w:rFonts w:cs="Miriam"/>
                      <w:sz w:val="18"/>
                      <w:szCs w:val="18"/>
                      <w:rtl/>
                    </w:rPr>
                    <w:t>אי</w:t>
                  </w:r>
                  <w:r>
                    <w:rPr>
                      <w:rFonts w:cs="Miriam" w:hint="cs"/>
                      <w:sz w:val="18"/>
                      <w:szCs w:val="18"/>
                      <w:rtl/>
                    </w:rPr>
                    <w:t>חוד עררים</w:t>
                  </w:r>
                </w:p>
              </w:txbxContent>
            </v:textbox>
            <w10:anchorlock/>
          </v:rect>
        </w:pict>
      </w:r>
      <w:r>
        <w:rPr>
          <w:rStyle w:val="big-number"/>
          <w:rFonts w:cs="Miriam"/>
          <w:rtl/>
        </w:rPr>
        <w:t>11.</w:t>
      </w:r>
      <w:r>
        <w:rPr>
          <w:rStyle w:val="big-number"/>
          <w:rFonts w:cs="Miriam"/>
          <w:rtl/>
        </w:rPr>
        <w:tab/>
      </w:r>
      <w:r>
        <w:rPr>
          <w:rStyle w:val="default"/>
          <w:rFonts w:cs="FrankRuehl"/>
          <w:rtl/>
        </w:rPr>
        <w:t>הו</w:t>
      </w:r>
      <w:r>
        <w:rPr>
          <w:rStyle w:val="default"/>
          <w:rFonts w:cs="FrankRuehl" w:hint="cs"/>
          <w:rtl/>
        </w:rPr>
        <w:t xml:space="preserve">גשו מספר עררים בידי אותו עורר </w:t>
      </w:r>
      <w:r>
        <w:rPr>
          <w:rStyle w:val="default"/>
          <w:rFonts w:cs="FrankRuehl"/>
          <w:rtl/>
        </w:rPr>
        <w:t>או</w:t>
      </w:r>
      <w:r>
        <w:rPr>
          <w:rStyle w:val="default"/>
          <w:rFonts w:cs="FrankRuehl" w:hint="cs"/>
          <w:rtl/>
        </w:rPr>
        <w:t xml:space="preserve"> הוגשו מספר עררים שמתעוררות בהם שאלות משפטיות או עובדתיות משותפות, רשאי יושב-ראש הועדה להורות על איחוד הדיון בעררים אלה.</w:t>
      </w:r>
    </w:p>
    <w:p w:rsidR="008D2F93" w:rsidRDefault="008D2F93">
      <w:pPr>
        <w:pStyle w:val="P00"/>
        <w:spacing w:before="72"/>
        <w:ind w:left="0" w:right="1134"/>
        <w:rPr>
          <w:rStyle w:val="default"/>
          <w:rFonts w:cs="FrankRuehl" w:hint="cs"/>
          <w:rtl/>
        </w:rPr>
      </w:pPr>
      <w:bookmarkStart w:id="11" w:name="Seif11"/>
      <w:bookmarkEnd w:id="11"/>
      <w:r>
        <w:rPr>
          <w:lang w:val="he-IL"/>
        </w:rPr>
        <w:pict>
          <v:rect id="_x0000_s1037" style="position:absolute;left:0;text-align:left;margin-left:464.5pt;margin-top:8.05pt;width:75.05pt;height:20.9pt;z-index:251655680" o:allowincell="f" filled="f" stroked="f" strokecolor="lime" strokeweight=".25pt">
            <v:textbox inset="0,0,0,0">
              <w:txbxContent>
                <w:p w:rsidR="008D2F93" w:rsidRDefault="008D2F93">
                  <w:pPr>
                    <w:spacing w:line="160" w:lineRule="exact"/>
                    <w:jc w:val="left"/>
                    <w:rPr>
                      <w:rFonts w:cs="Miriam"/>
                      <w:noProof/>
                      <w:sz w:val="18"/>
                      <w:szCs w:val="18"/>
                      <w:rtl/>
                    </w:rPr>
                  </w:pPr>
                  <w:r>
                    <w:rPr>
                      <w:rFonts w:cs="Miriam"/>
                      <w:sz w:val="18"/>
                      <w:szCs w:val="18"/>
                      <w:rtl/>
                    </w:rPr>
                    <w:t>מח</w:t>
                  </w:r>
                  <w:r>
                    <w:rPr>
                      <w:rFonts w:cs="Miriam" w:hint="cs"/>
                      <w:sz w:val="18"/>
                      <w:szCs w:val="18"/>
                      <w:rtl/>
                    </w:rPr>
                    <w:t>יקת הערר או פרטים ממנו</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תשובתו רשאי המנהל לבקש מהועדה </w:t>
      </w:r>
      <w:r w:rsidR="000E68CD">
        <w:rPr>
          <w:rStyle w:val="default"/>
          <w:rFonts w:cs="FrankRuehl"/>
          <w:rtl/>
        </w:rPr>
        <w:t>–</w:t>
      </w:r>
    </w:p>
    <w:p w:rsidR="008D2F93" w:rsidRDefault="008D2F93">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מחוק ערר שאינו מנומק או שאינו מגלה עילה, או שהוא טרדני או קנטרני;</w:t>
      </w:r>
    </w:p>
    <w:p w:rsidR="008D2F93" w:rsidRDefault="008D2F93">
      <w:pPr>
        <w:pStyle w:val="P22"/>
        <w:spacing w:before="72"/>
        <w:ind w:left="1021" w:right="1134"/>
        <w:rPr>
          <w:rStyle w:val="default"/>
          <w:rFonts w:cs="FrankRuehl"/>
          <w:rtl/>
        </w:rPr>
      </w:pPr>
      <w:r>
        <w:rPr>
          <w:rStyle w:val="default"/>
          <w:rFonts w:cs="FrankRuehl" w:hint="cs"/>
          <w:rtl/>
        </w:rPr>
        <w:lastRenderedPageBreak/>
        <w:t>(2)</w:t>
      </w:r>
      <w:r>
        <w:rPr>
          <w:rStyle w:val="default"/>
          <w:rFonts w:cs="FrankRuehl"/>
          <w:rtl/>
        </w:rPr>
        <w:tab/>
        <w:t>ל</w:t>
      </w:r>
      <w:r>
        <w:rPr>
          <w:rStyle w:val="default"/>
          <w:rFonts w:cs="FrankRuehl" w:hint="cs"/>
          <w:rtl/>
        </w:rPr>
        <w:t xml:space="preserve">מחוק מכתב הערר </w:t>
      </w:r>
      <w:r>
        <w:rPr>
          <w:rStyle w:val="default"/>
          <w:rFonts w:cs="FrankRuehl"/>
          <w:rtl/>
        </w:rPr>
        <w:t>כל</w:t>
      </w:r>
      <w:r>
        <w:rPr>
          <w:rStyle w:val="default"/>
          <w:rFonts w:cs="FrankRuehl" w:hint="cs"/>
          <w:rtl/>
        </w:rPr>
        <w:t xml:space="preserve"> דבר שאינו דרוש לענין.</w:t>
      </w:r>
    </w:p>
    <w:p w:rsidR="008D2F93" w:rsidRDefault="008D2F9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ועדה רשאית למחוק את הערר או חלק ממנו כאמור בתקנת משנה (א), גם מיוזמתה.</w:t>
      </w:r>
    </w:p>
    <w:p w:rsidR="008D2F93" w:rsidRDefault="008D2F93">
      <w:pPr>
        <w:pStyle w:val="P00"/>
        <w:spacing w:before="72"/>
        <w:ind w:left="0" w:right="1134"/>
        <w:rPr>
          <w:rStyle w:val="default"/>
          <w:rFonts w:cs="FrankRuehl"/>
          <w:rtl/>
        </w:rPr>
      </w:pPr>
      <w:bookmarkStart w:id="12" w:name="Seif12"/>
      <w:bookmarkEnd w:id="12"/>
      <w:r>
        <w:rPr>
          <w:lang w:val="he-IL"/>
        </w:rPr>
        <w:pict>
          <v:rect id="_x0000_s1038" style="position:absolute;left:0;text-align:left;margin-left:464.5pt;margin-top:8.05pt;width:75.05pt;height:12.75pt;z-index:251656704" o:allowincell="f" filled="f" stroked="f" strokecolor="lime" strokeweight=".25pt">
            <v:textbox inset="0,0,0,0">
              <w:txbxContent>
                <w:p w:rsidR="008D2F93" w:rsidRDefault="008D2F93">
                  <w:pPr>
                    <w:spacing w:line="160" w:lineRule="exact"/>
                    <w:jc w:val="left"/>
                    <w:rPr>
                      <w:rFonts w:cs="Miriam"/>
                      <w:noProof/>
                      <w:sz w:val="18"/>
                      <w:szCs w:val="18"/>
                      <w:rtl/>
                    </w:rPr>
                  </w:pPr>
                  <w:r>
                    <w:rPr>
                      <w:rFonts w:cs="Miriam"/>
                      <w:sz w:val="18"/>
                      <w:szCs w:val="18"/>
                      <w:rtl/>
                    </w:rPr>
                    <w:t>פר</w:t>
                  </w:r>
                  <w:r>
                    <w:rPr>
                      <w:rFonts w:cs="Miriam" w:hint="cs"/>
                      <w:sz w:val="18"/>
                      <w:szCs w:val="18"/>
                      <w:rtl/>
                    </w:rPr>
                    <w:t>טים נוספים</w:t>
                  </w:r>
                </w:p>
              </w:txbxContent>
            </v:textbox>
            <w10:anchorlock/>
          </v:rect>
        </w:pict>
      </w:r>
      <w:r>
        <w:rPr>
          <w:rStyle w:val="big-number"/>
          <w:rFonts w:cs="Miriam"/>
          <w:rtl/>
        </w:rPr>
        <w:t>13.</w:t>
      </w:r>
      <w:r>
        <w:rPr>
          <w:rStyle w:val="big-number"/>
          <w:rFonts w:cs="Miriam"/>
          <w:rtl/>
        </w:rPr>
        <w:tab/>
      </w:r>
      <w:r>
        <w:rPr>
          <w:rStyle w:val="default"/>
          <w:rFonts w:cs="FrankRuehl"/>
          <w:rtl/>
        </w:rPr>
        <w:t>הו</w:t>
      </w:r>
      <w:r>
        <w:rPr>
          <w:rStyle w:val="default"/>
          <w:rFonts w:cs="FrankRuehl" w:hint="cs"/>
          <w:rtl/>
        </w:rPr>
        <w:t>עדה רשאית בכל עת להורות למנהל ולעורר להמציא לה פרטים נוספים ומפורטים לכל נימוק שבערר או שבתשובה, לפי הענין, והצד הנדרש חייב לספקם לועדה תוך שבוע מי</w:t>
      </w:r>
      <w:r>
        <w:rPr>
          <w:rStyle w:val="default"/>
          <w:rFonts w:cs="FrankRuehl"/>
          <w:rtl/>
        </w:rPr>
        <w:t>ום</w:t>
      </w:r>
      <w:r>
        <w:rPr>
          <w:rStyle w:val="default"/>
          <w:rFonts w:cs="FrankRuehl" w:hint="cs"/>
          <w:rtl/>
        </w:rPr>
        <w:t xml:space="preserve"> קבלת הדרישה.</w:t>
      </w:r>
    </w:p>
    <w:p w:rsidR="008D2F93" w:rsidRDefault="008D2F93">
      <w:pPr>
        <w:pStyle w:val="P00"/>
        <w:spacing w:before="72"/>
        <w:ind w:left="0" w:right="1134"/>
        <w:rPr>
          <w:rStyle w:val="default"/>
          <w:rFonts w:cs="FrankRuehl"/>
          <w:rtl/>
        </w:rPr>
      </w:pPr>
      <w:bookmarkStart w:id="13" w:name="Seif13"/>
      <w:bookmarkEnd w:id="13"/>
      <w:r>
        <w:rPr>
          <w:lang w:val="he-IL"/>
        </w:rPr>
        <w:pict>
          <v:rect id="_x0000_s1039" style="position:absolute;left:0;text-align:left;margin-left:464.5pt;margin-top:8.05pt;width:75.05pt;height:11.65pt;z-index:251657728" o:allowincell="f" filled="f" stroked="f" strokecolor="lime" strokeweight=".25pt">
            <v:textbox inset="0,0,0,0">
              <w:txbxContent>
                <w:p w:rsidR="008D2F93" w:rsidRDefault="008D2F93">
                  <w:pPr>
                    <w:spacing w:line="160" w:lineRule="exact"/>
                    <w:jc w:val="left"/>
                    <w:rPr>
                      <w:rFonts w:cs="Miriam"/>
                      <w:noProof/>
                      <w:sz w:val="18"/>
                      <w:szCs w:val="18"/>
                      <w:rtl/>
                    </w:rPr>
                  </w:pPr>
                  <w:r>
                    <w:rPr>
                      <w:rFonts w:cs="Miriam"/>
                      <w:sz w:val="18"/>
                      <w:szCs w:val="18"/>
                      <w:rtl/>
                    </w:rPr>
                    <w:t>חז</w:t>
                  </w:r>
                  <w:r>
                    <w:rPr>
                      <w:rFonts w:cs="Miriam" w:hint="cs"/>
                      <w:sz w:val="18"/>
                      <w:szCs w:val="18"/>
                      <w:rtl/>
                    </w:rPr>
                    <w:t>רה מן הערר</w:t>
                  </w:r>
                </w:p>
              </w:txbxContent>
            </v:textbox>
            <w10:anchorlock/>
          </v:rect>
        </w:pict>
      </w:r>
      <w:r>
        <w:rPr>
          <w:rStyle w:val="big-number"/>
          <w:rFonts w:cs="Miriam"/>
          <w:rtl/>
        </w:rPr>
        <w:t>14.</w:t>
      </w:r>
      <w:r>
        <w:rPr>
          <w:rStyle w:val="big-number"/>
          <w:rFonts w:cs="Miriam"/>
          <w:rtl/>
        </w:rPr>
        <w:tab/>
      </w:r>
      <w:r>
        <w:rPr>
          <w:rStyle w:val="default"/>
          <w:rFonts w:cs="FrankRuehl"/>
          <w:rtl/>
        </w:rPr>
        <w:t>בכ</w:t>
      </w:r>
      <w:r>
        <w:rPr>
          <w:rStyle w:val="default"/>
          <w:rFonts w:cs="FrankRuehl" w:hint="cs"/>
          <w:rtl/>
        </w:rPr>
        <w:t>ל עת רשאי העורר, בהסכמת הועדה, לחזור בו מן הערר. חזר בו כאמור, יורה יושב-ראש הועדה על מסירת הודעה על כך למנהל.</w:t>
      </w:r>
    </w:p>
    <w:p w:rsidR="008D2F93" w:rsidRDefault="008D2F93">
      <w:pPr>
        <w:pStyle w:val="P00"/>
        <w:spacing w:before="72"/>
        <w:ind w:left="0" w:right="1134"/>
        <w:rPr>
          <w:rStyle w:val="default"/>
          <w:rFonts w:cs="FrankRuehl"/>
          <w:rtl/>
        </w:rPr>
      </w:pPr>
      <w:bookmarkStart w:id="14" w:name="Seif14"/>
      <w:bookmarkEnd w:id="14"/>
      <w:r>
        <w:rPr>
          <w:lang w:val="he-IL"/>
        </w:rPr>
        <w:pict>
          <v:rect id="_x0000_s1040" style="position:absolute;left:0;text-align:left;margin-left:464.5pt;margin-top:8.05pt;width:75.05pt;height:16pt;z-index:251658752" o:allowincell="f" filled="f" stroked="f" strokecolor="lime" strokeweight=".25pt">
            <v:textbox inset="0,0,0,0">
              <w:txbxContent>
                <w:p w:rsidR="008D2F93" w:rsidRDefault="008D2F93" w:rsidP="000E68CD">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 התייצבות</w:t>
                  </w:r>
                  <w:r w:rsidR="000E68CD">
                    <w:rPr>
                      <w:rFonts w:cs="Miriam" w:hint="cs"/>
                      <w:sz w:val="18"/>
                      <w:szCs w:val="18"/>
                      <w:rtl/>
                    </w:rPr>
                    <w:t xml:space="preserve"> </w:t>
                  </w:r>
                  <w:r>
                    <w:rPr>
                      <w:rFonts w:cs="Miriam"/>
                      <w:sz w:val="18"/>
                      <w:szCs w:val="18"/>
                      <w:rtl/>
                    </w:rPr>
                    <w:t>הע</w:t>
                  </w:r>
                  <w:r>
                    <w:rPr>
                      <w:rFonts w:cs="Miriam" w:hint="cs"/>
                      <w:sz w:val="18"/>
                      <w:szCs w:val="18"/>
                      <w:rtl/>
                    </w:rPr>
                    <w:t>ורר</w:t>
                  </w:r>
                </w:p>
              </w:txbxContent>
            </v:textbox>
            <w10:anchorlock/>
          </v:rect>
        </w:pict>
      </w:r>
      <w:r>
        <w:rPr>
          <w:rStyle w:val="big-number"/>
          <w:rFonts w:cs="Miriam"/>
          <w:rtl/>
        </w:rPr>
        <w:t>15.</w:t>
      </w:r>
      <w:r>
        <w:rPr>
          <w:rStyle w:val="big-number"/>
          <w:rFonts w:cs="Miriam"/>
          <w:rtl/>
        </w:rPr>
        <w:tab/>
      </w:r>
      <w:r>
        <w:rPr>
          <w:rStyle w:val="default"/>
          <w:rFonts w:cs="FrankRuehl"/>
          <w:rtl/>
        </w:rPr>
        <w:t>לא</w:t>
      </w:r>
      <w:r>
        <w:rPr>
          <w:rStyle w:val="default"/>
          <w:rFonts w:cs="FrankRuehl" w:hint="cs"/>
          <w:rtl/>
        </w:rPr>
        <w:t xml:space="preserve"> התייצב העורר לפני הועדה כנדרש והוכח לועדה שההזמנה הומצאה לו, תבטל הועדה את הערר, זול</w:t>
      </w:r>
      <w:r>
        <w:rPr>
          <w:rStyle w:val="default"/>
          <w:rFonts w:cs="FrankRuehl"/>
          <w:rtl/>
        </w:rPr>
        <w:t xml:space="preserve">ת </w:t>
      </w:r>
      <w:r>
        <w:rPr>
          <w:rStyle w:val="default"/>
          <w:rFonts w:cs="FrankRuehl" w:hint="cs"/>
          <w:rtl/>
        </w:rPr>
        <w:t>אם החליטה מטעמים מיוחדים שתפרש בהחלטתה, לדון ולהחליט בו שלא בפניו.</w:t>
      </w:r>
    </w:p>
    <w:p w:rsidR="008D2F93" w:rsidRDefault="008D2F93">
      <w:pPr>
        <w:pStyle w:val="P00"/>
        <w:spacing w:before="72"/>
        <w:ind w:left="0" w:right="1134"/>
        <w:rPr>
          <w:rStyle w:val="default"/>
          <w:rFonts w:cs="FrankRuehl"/>
          <w:rtl/>
        </w:rPr>
      </w:pPr>
      <w:bookmarkStart w:id="15" w:name="Seif15"/>
      <w:bookmarkEnd w:id="15"/>
      <w:r>
        <w:rPr>
          <w:lang w:val="he-IL"/>
        </w:rPr>
        <w:pict>
          <v:rect id="_x0000_s1041" style="position:absolute;left:0;text-align:left;margin-left:464.5pt;margin-top:8.05pt;width:75.05pt;height:16pt;z-index:251659776" o:allowincell="f" filled="f" stroked="f" strokecolor="lime" strokeweight=".25pt">
            <v:textbox inset="0,0,0,0">
              <w:txbxContent>
                <w:p w:rsidR="008D2F93" w:rsidRDefault="008D2F93" w:rsidP="000E68CD">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 התייצבות</w:t>
                  </w:r>
                  <w:r w:rsidR="000E68CD">
                    <w:rPr>
                      <w:rFonts w:cs="Miriam" w:hint="cs"/>
                      <w:sz w:val="18"/>
                      <w:szCs w:val="18"/>
                      <w:rtl/>
                    </w:rPr>
                    <w:t xml:space="preserve"> </w:t>
                  </w:r>
                  <w:r>
                    <w:rPr>
                      <w:rFonts w:cs="Miriam"/>
                      <w:sz w:val="18"/>
                      <w:szCs w:val="18"/>
                      <w:rtl/>
                    </w:rPr>
                    <w:t>המ</w:t>
                  </w:r>
                  <w:r>
                    <w:rPr>
                      <w:rFonts w:cs="Miriam" w:hint="cs"/>
                      <w:sz w:val="18"/>
                      <w:szCs w:val="18"/>
                      <w:rtl/>
                    </w:rPr>
                    <w:t>נהל</w:t>
                  </w:r>
                </w:p>
              </w:txbxContent>
            </v:textbox>
            <w10:anchorlock/>
          </v:rect>
        </w:pict>
      </w:r>
      <w:r>
        <w:rPr>
          <w:rStyle w:val="big-number"/>
          <w:rFonts w:cs="Miriam"/>
          <w:rtl/>
        </w:rPr>
        <w:t>16.</w:t>
      </w:r>
      <w:r>
        <w:rPr>
          <w:rStyle w:val="big-number"/>
          <w:rFonts w:cs="Miriam"/>
          <w:rtl/>
        </w:rPr>
        <w:tab/>
      </w:r>
      <w:r>
        <w:rPr>
          <w:rStyle w:val="default"/>
          <w:rFonts w:cs="FrankRuehl"/>
          <w:rtl/>
        </w:rPr>
        <w:t>לא</w:t>
      </w:r>
      <w:r>
        <w:rPr>
          <w:rStyle w:val="default"/>
          <w:rFonts w:cs="FrankRuehl" w:hint="cs"/>
          <w:rtl/>
        </w:rPr>
        <w:t xml:space="preserve"> התייצב המנהל לפני הו</w:t>
      </w:r>
      <w:r>
        <w:rPr>
          <w:rStyle w:val="default"/>
          <w:rFonts w:cs="FrankRuehl"/>
          <w:rtl/>
        </w:rPr>
        <w:t>ע</w:t>
      </w:r>
      <w:r>
        <w:rPr>
          <w:rStyle w:val="default"/>
          <w:rFonts w:cs="FrankRuehl" w:hint="cs"/>
          <w:rtl/>
        </w:rPr>
        <w:t>דה במועד שנקבע לשמיעת הערר, והוכח לועדה שההזמנה הומצאה לו, רשאית הועדה לדון בערר ולהחליט בו שלא בפניו.</w:t>
      </w:r>
    </w:p>
    <w:p w:rsidR="008D2F93" w:rsidRDefault="008D2F93">
      <w:pPr>
        <w:pStyle w:val="P00"/>
        <w:spacing w:before="72"/>
        <w:ind w:left="0" w:right="1134"/>
        <w:rPr>
          <w:rStyle w:val="default"/>
          <w:rFonts w:cs="FrankRuehl"/>
          <w:rtl/>
        </w:rPr>
      </w:pPr>
      <w:bookmarkStart w:id="16" w:name="Seif16"/>
      <w:bookmarkEnd w:id="16"/>
      <w:r>
        <w:rPr>
          <w:lang w:val="he-IL"/>
        </w:rPr>
        <w:pict>
          <v:rect id="_x0000_s1042" style="position:absolute;left:0;text-align:left;margin-left:464.5pt;margin-top:8.05pt;width:75.05pt;height:13.7pt;z-index:251660800" o:allowincell="f" filled="f" stroked="f" strokecolor="lime" strokeweight=".25pt">
            <v:textbox inset="0,0,0,0">
              <w:txbxContent>
                <w:p w:rsidR="008D2F93" w:rsidRDefault="008D2F93">
                  <w:pPr>
                    <w:spacing w:line="160" w:lineRule="exact"/>
                    <w:jc w:val="left"/>
                    <w:rPr>
                      <w:rFonts w:cs="Miriam"/>
                      <w:noProof/>
                      <w:sz w:val="18"/>
                      <w:szCs w:val="18"/>
                      <w:rtl/>
                    </w:rPr>
                  </w:pPr>
                  <w:r>
                    <w:rPr>
                      <w:rFonts w:cs="Miriam"/>
                      <w:sz w:val="18"/>
                      <w:szCs w:val="18"/>
                      <w:rtl/>
                    </w:rPr>
                    <w:t>דח</w:t>
                  </w:r>
                  <w:r>
                    <w:rPr>
                      <w:rFonts w:cs="Miriam" w:hint="cs"/>
                      <w:sz w:val="18"/>
                      <w:szCs w:val="18"/>
                      <w:rtl/>
                    </w:rPr>
                    <w:t>יית הדיון</w:t>
                  </w:r>
                </w:p>
              </w:txbxContent>
            </v:textbox>
            <w10:anchorlock/>
          </v:rect>
        </w:pict>
      </w:r>
      <w:r>
        <w:rPr>
          <w:rStyle w:val="big-number"/>
          <w:rFonts w:cs="Miriam"/>
          <w:rtl/>
        </w:rPr>
        <w:t>17.</w:t>
      </w:r>
      <w:r>
        <w:rPr>
          <w:rStyle w:val="big-number"/>
          <w:rFonts w:cs="Miriam"/>
          <w:rtl/>
        </w:rPr>
        <w:tab/>
      </w:r>
      <w:r>
        <w:rPr>
          <w:rStyle w:val="default"/>
          <w:rFonts w:cs="FrankRuehl"/>
          <w:rtl/>
        </w:rPr>
        <w:t>הו</w:t>
      </w:r>
      <w:r>
        <w:rPr>
          <w:rStyle w:val="default"/>
          <w:rFonts w:cs="FrankRuehl" w:hint="cs"/>
          <w:rtl/>
        </w:rPr>
        <w:t>עדה רשאית לדחות את שמיעת הערר למועד אחר, ומשהתחי</w:t>
      </w:r>
      <w:r>
        <w:rPr>
          <w:rStyle w:val="default"/>
          <w:rFonts w:cs="FrankRuehl"/>
          <w:rtl/>
        </w:rPr>
        <w:t>לה</w:t>
      </w:r>
      <w:r>
        <w:rPr>
          <w:rStyle w:val="default"/>
          <w:rFonts w:cs="FrankRuehl" w:hint="cs"/>
          <w:rtl/>
        </w:rPr>
        <w:t xml:space="preserve"> בשמיעתו לדחות את המשך הדיון בו, אם הדחיה דרושה, לדעתה, למען הצדק.</w:t>
      </w:r>
    </w:p>
    <w:p w:rsidR="008D2F93" w:rsidRDefault="008D2F93">
      <w:pPr>
        <w:pStyle w:val="P00"/>
        <w:spacing w:before="72"/>
        <w:ind w:left="0" w:right="1134"/>
        <w:rPr>
          <w:rStyle w:val="default"/>
          <w:rFonts w:cs="FrankRuehl"/>
          <w:rtl/>
        </w:rPr>
      </w:pPr>
      <w:bookmarkStart w:id="17" w:name="Seif17"/>
      <w:bookmarkEnd w:id="17"/>
      <w:r>
        <w:rPr>
          <w:lang w:val="he-IL"/>
        </w:rPr>
        <w:pict>
          <v:rect id="_x0000_s1043" style="position:absolute;left:0;text-align:left;margin-left:464.5pt;margin-top:8.05pt;width:75.05pt;height:19.95pt;z-index:251661824" o:allowincell="f" filled="f" stroked="f" strokecolor="lime" strokeweight=".25pt">
            <v:textbox inset="0,0,0,0">
              <w:txbxContent>
                <w:p w:rsidR="008D2F93" w:rsidRDefault="008D2F93" w:rsidP="000E68CD">
                  <w:pPr>
                    <w:spacing w:line="160" w:lineRule="exact"/>
                    <w:jc w:val="left"/>
                    <w:rPr>
                      <w:rFonts w:cs="Miriam"/>
                      <w:noProof/>
                      <w:sz w:val="18"/>
                      <w:szCs w:val="18"/>
                      <w:rtl/>
                    </w:rPr>
                  </w:pPr>
                  <w:r>
                    <w:rPr>
                      <w:rFonts w:cs="Miriam"/>
                      <w:sz w:val="18"/>
                      <w:szCs w:val="18"/>
                      <w:rtl/>
                    </w:rPr>
                    <w:t>הג</w:t>
                  </w:r>
                  <w:r>
                    <w:rPr>
                      <w:rFonts w:cs="Miriam" w:hint="cs"/>
                      <w:sz w:val="18"/>
                      <w:szCs w:val="18"/>
                      <w:rtl/>
                    </w:rPr>
                    <w:t>בלת הדיון</w:t>
                  </w:r>
                  <w:r w:rsidR="000E68CD">
                    <w:rPr>
                      <w:rFonts w:cs="Miriam" w:hint="cs"/>
                      <w:sz w:val="18"/>
                      <w:szCs w:val="18"/>
                      <w:rtl/>
                    </w:rPr>
                    <w:t xml:space="preserve"> </w:t>
                  </w:r>
                  <w:r>
                    <w:rPr>
                      <w:rFonts w:cs="Miriam"/>
                      <w:sz w:val="18"/>
                      <w:szCs w:val="18"/>
                      <w:rtl/>
                    </w:rPr>
                    <w:t>לנ</w:t>
                  </w:r>
                  <w:r>
                    <w:rPr>
                      <w:rFonts w:cs="Miriam" w:hint="cs"/>
                      <w:sz w:val="18"/>
                      <w:szCs w:val="18"/>
                      <w:rtl/>
                    </w:rPr>
                    <w:t>ימוקים שפורשו</w:t>
                  </w:r>
                </w:p>
              </w:txbxContent>
            </v:textbox>
            <w10:anchorlock/>
          </v:rect>
        </w:pict>
      </w:r>
      <w:r>
        <w:rPr>
          <w:rStyle w:val="big-number"/>
          <w:rFonts w:cs="Miriam"/>
          <w:rtl/>
        </w:rPr>
        <w:t>18.</w:t>
      </w:r>
      <w:r>
        <w:rPr>
          <w:rStyle w:val="big-number"/>
          <w:rFonts w:cs="Miriam"/>
          <w:rtl/>
        </w:rPr>
        <w:tab/>
      </w:r>
      <w:r>
        <w:rPr>
          <w:rStyle w:val="default"/>
          <w:rFonts w:cs="FrankRuehl"/>
          <w:rtl/>
        </w:rPr>
        <w:t>הו</w:t>
      </w:r>
      <w:r>
        <w:rPr>
          <w:rStyle w:val="default"/>
          <w:rFonts w:cs="FrankRuehl" w:hint="cs"/>
          <w:rtl/>
        </w:rPr>
        <w:t>עדה לא תיזקק לכל נימוק או טענה של העורר שלא הביאם בפני המנהל, ושהיתה לו הזדמנות להביאם בפני המנהל לפני מתן החלטתו, ולא תיזקק לכל נימוק שלא פורש בכתב הערר או בכתבי התשובה.</w:t>
      </w:r>
    </w:p>
    <w:p w:rsidR="008D2F93" w:rsidRDefault="008D2F93">
      <w:pPr>
        <w:pStyle w:val="P00"/>
        <w:spacing w:before="72"/>
        <w:ind w:left="0" w:right="1134"/>
        <w:rPr>
          <w:rStyle w:val="default"/>
          <w:rFonts w:cs="FrankRuehl"/>
          <w:rtl/>
        </w:rPr>
      </w:pPr>
      <w:bookmarkStart w:id="18" w:name="Seif18"/>
      <w:bookmarkEnd w:id="18"/>
      <w:r>
        <w:rPr>
          <w:lang w:val="he-IL"/>
        </w:rPr>
        <w:pict>
          <v:rect id="_x0000_s1044" style="position:absolute;left:0;text-align:left;margin-left:464.5pt;margin-top:8.05pt;width:75.05pt;height:18.85pt;z-index:251662848" o:allowincell="f" filled="f" stroked="f" strokecolor="lime" strokeweight=".25pt">
            <v:textbox inset="0,0,0,0">
              <w:txbxContent>
                <w:p w:rsidR="008D2F93" w:rsidRDefault="008D2F93" w:rsidP="000E68CD">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 קיום</w:t>
                  </w:r>
                  <w:r w:rsidR="000E68CD">
                    <w:rPr>
                      <w:rFonts w:cs="Miriam" w:hint="cs"/>
                      <w:sz w:val="18"/>
                      <w:szCs w:val="18"/>
                      <w:rtl/>
                    </w:rPr>
                    <w:t xml:space="preserve"> </w:t>
                  </w:r>
                  <w:r>
                    <w:rPr>
                      <w:rFonts w:cs="Miriam"/>
                      <w:sz w:val="18"/>
                      <w:szCs w:val="18"/>
                      <w:rtl/>
                    </w:rPr>
                    <w:t>הו</w:t>
                  </w:r>
                  <w:r>
                    <w:rPr>
                      <w:rFonts w:cs="Miriam" w:hint="cs"/>
                      <w:sz w:val="18"/>
                      <w:szCs w:val="18"/>
                      <w:rtl/>
                    </w:rPr>
                    <w:t>ראות הועדה</w:t>
                  </w:r>
                </w:p>
              </w:txbxContent>
            </v:textbox>
            <w10:anchorlock/>
          </v:rect>
        </w:pict>
      </w:r>
      <w:r>
        <w:rPr>
          <w:rStyle w:val="big-number"/>
          <w:rFonts w:cs="Miriam"/>
          <w:rtl/>
        </w:rPr>
        <w:t>19.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ל</w:t>
      </w:r>
      <w:r>
        <w:rPr>
          <w:rStyle w:val="default"/>
          <w:rFonts w:cs="FrankRuehl"/>
          <w:rtl/>
        </w:rPr>
        <w:t>א</w:t>
      </w:r>
      <w:r>
        <w:rPr>
          <w:rStyle w:val="default"/>
          <w:rFonts w:cs="FrankRuehl" w:hint="cs"/>
          <w:rtl/>
        </w:rPr>
        <w:t xml:space="preserve"> קיים העורר את המוטל עליו בידי הועדה לצרכי ניהול הדיון בערר, רשאית הועדה למחוק את הערר או לדחותו.</w:t>
      </w:r>
    </w:p>
    <w:p w:rsidR="008D2F93" w:rsidRDefault="008D2F9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קיים המנהל את המוטל עליו בידי הועדה לצרכי ניהול הדיון בערר, רשאית הועדה להחליט בערר בלי להתיר למנהל להשמיע דבריו.</w:t>
      </w:r>
    </w:p>
    <w:p w:rsidR="008D2F93" w:rsidRDefault="008D2F93">
      <w:pPr>
        <w:pStyle w:val="P00"/>
        <w:spacing w:before="72"/>
        <w:ind w:left="0" w:right="1134"/>
        <w:rPr>
          <w:rStyle w:val="default"/>
          <w:rFonts w:cs="FrankRuehl"/>
          <w:rtl/>
        </w:rPr>
      </w:pPr>
      <w:bookmarkStart w:id="19" w:name="Seif19"/>
      <w:bookmarkEnd w:id="19"/>
      <w:r>
        <w:rPr>
          <w:lang w:val="he-IL"/>
        </w:rPr>
        <w:pict>
          <v:rect id="_x0000_s1045" style="position:absolute;left:0;text-align:left;margin-left:464.5pt;margin-top:8.05pt;width:75.05pt;height:12.3pt;z-index:251663872" o:allowincell="f" filled="f" stroked="f" strokecolor="lime" strokeweight=".25pt">
            <v:textbox inset="0,0,0,0">
              <w:txbxContent>
                <w:p w:rsidR="008D2F93" w:rsidRDefault="008D2F93">
                  <w:pPr>
                    <w:spacing w:line="160" w:lineRule="exact"/>
                    <w:jc w:val="left"/>
                    <w:rPr>
                      <w:rFonts w:cs="Miriam"/>
                      <w:noProof/>
                      <w:sz w:val="18"/>
                      <w:szCs w:val="18"/>
                      <w:rtl/>
                    </w:rPr>
                  </w:pPr>
                  <w:r>
                    <w:rPr>
                      <w:rFonts w:cs="Miriam"/>
                      <w:sz w:val="18"/>
                      <w:szCs w:val="18"/>
                      <w:rtl/>
                    </w:rPr>
                    <w:t>די</w:t>
                  </w:r>
                  <w:r>
                    <w:rPr>
                      <w:rFonts w:cs="Miriam" w:hint="cs"/>
                      <w:sz w:val="18"/>
                      <w:szCs w:val="18"/>
                      <w:rtl/>
                    </w:rPr>
                    <w:t>ון חוזר</w:t>
                  </w:r>
                </w:p>
              </w:txbxContent>
            </v:textbox>
            <w10:anchorlock/>
          </v:rect>
        </w:pict>
      </w:r>
      <w:r>
        <w:rPr>
          <w:rStyle w:val="big-number"/>
          <w:rFonts w:cs="Miriam"/>
          <w:rtl/>
        </w:rPr>
        <w:t>20.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וטל או נדחה ערר לפי תקנה</w:t>
      </w:r>
      <w:r>
        <w:rPr>
          <w:rStyle w:val="default"/>
          <w:rFonts w:cs="FrankRuehl"/>
          <w:rtl/>
        </w:rPr>
        <w:t xml:space="preserve"> 15, ר</w:t>
      </w:r>
      <w:r>
        <w:rPr>
          <w:rStyle w:val="default"/>
          <w:rFonts w:cs="FrankRuehl" w:hint="cs"/>
          <w:rtl/>
        </w:rPr>
        <w:t>שאי העורר, ת</w:t>
      </w:r>
      <w:r>
        <w:rPr>
          <w:rStyle w:val="default"/>
          <w:rFonts w:cs="FrankRuehl"/>
          <w:rtl/>
        </w:rPr>
        <w:t>ו</w:t>
      </w:r>
      <w:r>
        <w:rPr>
          <w:rStyle w:val="default"/>
          <w:rFonts w:cs="FrankRuehl" w:hint="cs"/>
          <w:rtl/>
        </w:rPr>
        <w:t>ך ארבעה עשר יום מיום המצאת ההחלטה לידיו, לבקש מהועדה לדון בערר; הוכיח העורר כי נבצר ממנו מסיבה מספקת להתייצב במועד שנקבע לדיון, רשאית הועדה לדון בערר, בתנאים שייראו לה בדבר תשלום הוצאות.</w:t>
      </w:r>
    </w:p>
    <w:p w:rsidR="008D2F93" w:rsidRDefault="008D2F9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חליטה הועדה בערר שלא בפני המנהל כאמור בתקנה </w:t>
      </w:r>
      <w:r>
        <w:rPr>
          <w:rStyle w:val="default"/>
          <w:rFonts w:cs="FrankRuehl"/>
          <w:rtl/>
        </w:rPr>
        <w:t>16, ר</w:t>
      </w:r>
      <w:r>
        <w:rPr>
          <w:rStyle w:val="default"/>
          <w:rFonts w:cs="FrankRuehl" w:hint="cs"/>
          <w:rtl/>
        </w:rPr>
        <w:t>שאי המנהל, תו</w:t>
      </w:r>
      <w:r>
        <w:rPr>
          <w:rStyle w:val="default"/>
          <w:rFonts w:cs="FrankRuehl"/>
          <w:rtl/>
        </w:rPr>
        <w:t>ך</w:t>
      </w:r>
      <w:r>
        <w:rPr>
          <w:rStyle w:val="default"/>
          <w:rFonts w:cs="FrankRuehl" w:hint="cs"/>
          <w:rtl/>
        </w:rPr>
        <w:t xml:space="preserve"> ארבעה עשר יום מיום המצאת ההחלטה לידיו, לבקש מהועדה לשוב ולדון בערר. הוכיח המנהל כי נבצר ממנו מסיבה מספקת להתייצב במועד שנקבע לדיון, רשאית הועדה לשוב ולדון בערר, בתנאים שייראו לה בדבר תשלום הוצאות.</w:t>
      </w:r>
    </w:p>
    <w:p w:rsidR="008D2F93" w:rsidRDefault="008D2F93">
      <w:pPr>
        <w:pStyle w:val="P00"/>
        <w:spacing w:before="72"/>
        <w:ind w:left="0" w:right="1134"/>
        <w:rPr>
          <w:rStyle w:val="default"/>
          <w:rFonts w:cs="FrankRuehl"/>
          <w:rtl/>
        </w:rPr>
      </w:pPr>
      <w:bookmarkStart w:id="20" w:name="Seif20"/>
      <w:bookmarkEnd w:id="20"/>
      <w:r>
        <w:rPr>
          <w:lang w:val="he-IL"/>
        </w:rPr>
        <w:pict>
          <v:rect id="_x0000_s1046" style="position:absolute;left:0;text-align:left;margin-left:464.5pt;margin-top:8.05pt;width:75.05pt;height:11.6pt;z-index:251664896" o:allowincell="f" filled="f" stroked="f" strokecolor="lime" strokeweight=".25pt">
            <v:textbox inset="0,0,0,0">
              <w:txbxContent>
                <w:p w:rsidR="008D2F93" w:rsidRDefault="008D2F93">
                  <w:pPr>
                    <w:spacing w:line="160" w:lineRule="exact"/>
                    <w:jc w:val="left"/>
                    <w:rPr>
                      <w:rFonts w:cs="Miriam"/>
                      <w:noProof/>
                      <w:sz w:val="18"/>
                      <w:szCs w:val="18"/>
                      <w:rtl/>
                    </w:rPr>
                  </w:pPr>
                  <w:r>
                    <w:rPr>
                      <w:rFonts w:cs="Miriam"/>
                      <w:sz w:val="18"/>
                      <w:szCs w:val="18"/>
                      <w:rtl/>
                    </w:rPr>
                    <w:t>או</w:t>
                  </w:r>
                  <w:r>
                    <w:rPr>
                      <w:rFonts w:cs="Miriam" w:hint="cs"/>
                      <w:sz w:val="18"/>
                      <w:szCs w:val="18"/>
                      <w:rtl/>
                    </w:rPr>
                    <w:t>פן גביית ראיות</w:t>
                  </w:r>
                </w:p>
              </w:txbxContent>
            </v:textbox>
            <w10:anchorlock/>
          </v:rect>
        </w:pict>
      </w:r>
      <w:r>
        <w:rPr>
          <w:rStyle w:val="big-number"/>
          <w:rFonts w:cs="Miriam"/>
          <w:rtl/>
        </w:rPr>
        <w:t>21.</w:t>
      </w:r>
      <w:r>
        <w:rPr>
          <w:rStyle w:val="big-number"/>
          <w:rFonts w:cs="Miriam"/>
          <w:rtl/>
        </w:rPr>
        <w:tab/>
      </w:r>
      <w:r>
        <w:rPr>
          <w:rStyle w:val="default"/>
          <w:rFonts w:cs="FrankRuehl"/>
          <w:rtl/>
        </w:rPr>
        <w:t>בכ</w:t>
      </w:r>
      <w:r>
        <w:rPr>
          <w:rStyle w:val="default"/>
          <w:rFonts w:cs="FrankRuehl" w:hint="cs"/>
          <w:rtl/>
        </w:rPr>
        <w:t xml:space="preserve">ל </w:t>
      </w:r>
      <w:r>
        <w:rPr>
          <w:rStyle w:val="default"/>
          <w:rFonts w:cs="FrankRuehl"/>
          <w:rtl/>
        </w:rPr>
        <w:t>ענ</w:t>
      </w:r>
      <w:r>
        <w:rPr>
          <w:rStyle w:val="default"/>
          <w:rFonts w:cs="FrankRuehl" w:hint="cs"/>
          <w:rtl/>
        </w:rPr>
        <w:t>ין שלא נקבעה לו הוראה מיוחדת בתקנות אלה, תהא גביית הראיות בדרך הנראית לועדה כמועילה ביותר לבירור השאלות העומדות להכרעתה.</w:t>
      </w:r>
    </w:p>
    <w:p w:rsidR="008D2F93" w:rsidRDefault="008D2F93">
      <w:pPr>
        <w:pStyle w:val="P00"/>
        <w:spacing w:before="72"/>
        <w:ind w:left="0" w:right="1134"/>
        <w:rPr>
          <w:rStyle w:val="default"/>
          <w:rFonts w:cs="FrankRuehl"/>
          <w:rtl/>
        </w:rPr>
      </w:pPr>
      <w:bookmarkStart w:id="21" w:name="Seif21"/>
      <w:bookmarkEnd w:id="21"/>
      <w:r>
        <w:rPr>
          <w:lang w:val="he-IL"/>
        </w:rPr>
        <w:pict>
          <v:rect id="_x0000_s1047" style="position:absolute;left:0;text-align:left;margin-left:464.5pt;margin-top:8.05pt;width:75.05pt;height:16pt;z-index:251665920" o:allowincell="f" filled="f" stroked="f" strokecolor="lime" strokeweight=".25pt">
            <v:textbox inset="0,0,0,0">
              <w:txbxContent>
                <w:p w:rsidR="008D2F93" w:rsidRDefault="008D2F93" w:rsidP="000E68CD">
                  <w:pPr>
                    <w:spacing w:line="160" w:lineRule="exact"/>
                    <w:jc w:val="left"/>
                    <w:rPr>
                      <w:rFonts w:cs="Miriam"/>
                      <w:noProof/>
                      <w:sz w:val="18"/>
                      <w:szCs w:val="18"/>
                      <w:rtl/>
                    </w:rPr>
                  </w:pPr>
                  <w:r>
                    <w:rPr>
                      <w:rFonts w:cs="Miriam"/>
                      <w:sz w:val="18"/>
                      <w:szCs w:val="18"/>
                      <w:rtl/>
                    </w:rPr>
                    <w:t>שי</w:t>
                  </w:r>
                  <w:r>
                    <w:rPr>
                      <w:rFonts w:cs="Miriam" w:hint="cs"/>
                      <w:sz w:val="18"/>
                      <w:szCs w:val="18"/>
                      <w:rtl/>
                    </w:rPr>
                    <w:t>נוי בהרכב</w:t>
                  </w:r>
                  <w:r w:rsidR="000E68CD">
                    <w:rPr>
                      <w:rFonts w:cs="Miriam" w:hint="cs"/>
                      <w:sz w:val="18"/>
                      <w:szCs w:val="18"/>
                      <w:rtl/>
                    </w:rPr>
                    <w:t xml:space="preserve"> </w:t>
                  </w:r>
                  <w:r>
                    <w:rPr>
                      <w:rFonts w:cs="Miriam"/>
                      <w:sz w:val="18"/>
                      <w:szCs w:val="18"/>
                      <w:rtl/>
                    </w:rPr>
                    <w:t>הו</w:t>
                  </w:r>
                  <w:r>
                    <w:rPr>
                      <w:rFonts w:cs="Miriam" w:hint="cs"/>
                      <w:sz w:val="18"/>
                      <w:szCs w:val="18"/>
                      <w:rtl/>
                    </w:rPr>
                    <w:t>עדה</w:t>
                  </w:r>
                </w:p>
              </w:txbxContent>
            </v:textbox>
            <w10:anchorlock/>
          </v:rect>
        </w:pict>
      </w:r>
      <w:r>
        <w:rPr>
          <w:rStyle w:val="big-number"/>
          <w:rFonts w:cs="Miriam"/>
          <w:rtl/>
        </w:rPr>
        <w:t>22.</w:t>
      </w:r>
      <w:r>
        <w:rPr>
          <w:rStyle w:val="big-number"/>
          <w:rFonts w:cs="Miriam"/>
          <w:rtl/>
        </w:rPr>
        <w:tab/>
      </w:r>
      <w:r>
        <w:rPr>
          <w:rStyle w:val="default"/>
          <w:rFonts w:cs="FrankRuehl"/>
          <w:rtl/>
        </w:rPr>
        <w:t>נב</w:t>
      </w:r>
      <w:r>
        <w:rPr>
          <w:rStyle w:val="default"/>
          <w:rFonts w:cs="FrankRuehl" w:hint="cs"/>
          <w:rtl/>
        </w:rPr>
        <w:t>צר מחברי הועדה כולם או מקצתם, להמשיך את הדיון בכל שלב משלבי הדיון בערר, רשאית ועדה בהרכב אחר להמשיך בדיון</w:t>
      </w:r>
      <w:r>
        <w:rPr>
          <w:rStyle w:val="default"/>
          <w:rFonts w:cs="FrankRuehl"/>
          <w:rtl/>
        </w:rPr>
        <w:t xml:space="preserve"> </w:t>
      </w:r>
      <w:r>
        <w:rPr>
          <w:rStyle w:val="default"/>
          <w:rFonts w:cs="FrankRuehl" w:hint="cs"/>
          <w:rtl/>
        </w:rPr>
        <w:t xml:space="preserve">מן השלב שאליו הגיעה </w:t>
      </w:r>
      <w:r>
        <w:rPr>
          <w:rStyle w:val="default"/>
          <w:rFonts w:cs="FrankRuehl"/>
          <w:rtl/>
        </w:rPr>
        <w:t>הו</w:t>
      </w:r>
      <w:r>
        <w:rPr>
          <w:rStyle w:val="default"/>
          <w:rFonts w:cs="FrankRuehl" w:hint="cs"/>
          <w:rtl/>
        </w:rPr>
        <w:t>עדה הקודמת.</w:t>
      </w:r>
    </w:p>
    <w:p w:rsidR="008D2F93" w:rsidRDefault="008D2F93">
      <w:pPr>
        <w:pStyle w:val="P00"/>
        <w:spacing w:before="72"/>
        <w:ind w:left="0" w:right="1134"/>
        <w:rPr>
          <w:rStyle w:val="default"/>
          <w:rFonts w:cs="FrankRuehl"/>
          <w:rtl/>
        </w:rPr>
      </w:pPr>
      <w:bookmarkStart w:id="22" w:name="Seif22"/>
      <w:bookmarkEnd w:id="22"/>
      <w:r>
        <w:rPr>
          <w:lang w:val="he-IL"/>
        </w:rPr>
        <w:pict>
          <v:rect id="_x0000_s1048" style="position:absolute;left:0;text-align:left;margin-left:464.5pt;margin-top:8.05pt;width:75.05pt;height:12.95pt;z-index:251666944" o:allowincell="f" filled="f" stroked="f" strokecolor="lime" strokeweight=".25pt">
            <v:textbox inset="0,0,0,0">
              <w:txbxContent>
                <w:p w:rsidR="008D2F93" w:rsidRDefault="008D2F93">
                  <w:pPr>
                    <w:spacing w:line="160" w:lineRule="exact"/>
                    <w:jc w:val="left"/>
                    <w:rPr>
                      <w:rFonts w:cs="Miriam"/>
                      <w:noProof/>
                      <w:sz w:val="18"/>
                      <w:szCs w:val="18"/>
                      <w:rtl/>
                    </w:rPr>
                  </w:pPr>
                  <w:r>
                    <w:rPr>
                      <w:rFonts w:cs="Miriam"/>
                      <w:sz w:val="18"/>
                      <w:szCs w:val="18"/>
                      <w:rtl/>
                    </w:rPr>
                    <w:t>המ</w:t>
                  </w:r>
                  <w:r>
                    <w:rPr>
                      <w:rFonts w:cs="Miriam" w:hint="cs"/>
                      <w:sz w:val="18"/>
                      <w:szCs w:val="18"/>
                      <w:rtl/>
                    </w:rPr>
                    <w:t>צא</w:t>
                  </w:r>
                  <w:r>
                    <w:rPr>
                      <w:rFonts w:cs="Miriam"/>
                      <w:sz w:val="18"/>
                      <w:szCs w:val="18"/>
                      <w:rtl/>
                    </w:rPr>
                    <w:t xml:space="preserve">ת </w:t>
                  </w:r>
                  <w:r>
                    <w:rPr>
                      <w:rFonts w:cs="Miriam" w:hint="cs"/>
                      <w:sz w:val="18"/>
                      <w:szCs w:val="18"/>
                      <w:rtl/>
                    </w:rPr>
                    <w:t>מסמכים</w:t>
                  </w:r>
                </w:p>
              </w:txbxContent>
            </v:textbox>
            <w10:anchorlock/>
          </v:rect>
        </w:pict>
      </w:r>
      <w:r>
        <w:rPr>
          <w:rStyle w:val="big-number"/>
          <w:rFonts w:cs="Miriam"/>
          <w:rtl/>
        </w:rPr>
        <w:t>23.</w:t>
      </w:r>
      <w:r>
        <w:rPr>
          <w:rStyle w:val="big-number"/>
          <w:rFonts w:cs="Miriam"/>
          <w:rtl/>
        </w:rPr>
        <w:tab/>
      </w:r>
      <w:r>
        <w:rPr>
          <w:rStyle w:val="default"/>
          <w:rFonts w:cs="FrankRuehl"/>
          <w:rtl/>
        </w:rPr>
        <w:t>מס</w:t>
      </w:r>
      <w:r>
        <w:rPr>
          <w:rStyle w:val="default"/>
          <w:rFonts w:cs="FrankRuehl" w:hint="cs"/>
          <w:rtl/>
        </w:rPr>
        <w:t>מך שיש להמציא או לשלוח על פי תקנות אלה לבעלי הדין, יומצא להם אישית או בדרך שמוסרים כתב בי-דין בהליכים אזרחיים בבית משפט.</w:t>
      </w:r>
    </w:p>
    <w:p w:rsidR="008D2F93" w:rsidRDefault="008D2F93">
      <w:pPr>
        <w:pStyle w:val="P00"/>
        <w:spacing w:before="72"/>
        <w:ind w:left="0" w:right="1134"/>
        <w:rPr>
          <w:rStyle w:val="default"/>
          <w:rFonts w:cs="FrankRuehl"/>
          <w:rtl/>
        </w:rPr>
      </w:pPr>
      <w:bookmarkStart w:id="23" w:name="Seif23"/>
      <w:bookmarkEnd w:id="23"/>
      <w:r>
        <w:rPr>
          <w:lang w:val="he-IL"/>
        </w:rPr>
        <w:pict>
          <v:rect id="_x0000_s1049" style="position:absolute;left:0;text-align:left;margin-left:464.5pt;margin-top:8.05pt;width:75.05pt;height:13.65pt;z-index:251667968" o:allowincell="f" filled="f" stroked="f" strokecolor="lime" strokeweight=".25pt">
            <v:textbox inset="0,0,0,0">
              <w:txbxContent>
                <w:p w:rsidR="008D2F93" w:rsidRDefault="008D2F93">
                  <w:pPr>
                    <w:spacing w:line="160" w:lineRule="exact"/>
                    <w:jc w:val="left"/>
                    <w:rPr>
                      <w:rFonts w:cs="Miriam"/>
                      <w:noProof/>
                      <w:sz w:val="18"/>
                      <w:szCs w:val="18"/>
                      <w:rtl/>
                    </w:rPr>
                  </w:pPr>
                  <w:r>
                    <w:rPr>
                      <w:rFonts w:cs="Miriam"/>
                      <w:sz w:val="18"/>
                      <w:szCs w:val="18"/>
                      <w:rtl/>
                    </w:rPr>
                    <w:t>יי</w:t>
                  </w:r>
                  <w:r>
                    <w:rPr>
                      <w:rFonts w:cs="Miriam" w:hint="cs"/>
                      <w:sz w:val="18"/>
                      <w:szCs w:val="18"/>
                      <w:rtl/>
                    </w:rPr>
                    <w:t>צוג המנהל</w:t>
                  </w:r>
                </w:p>
              </w:txbxContent>
            </v:textbox>
            <w10:anchorlock/>
          </v:rect>
        </w:pict>
      </w:r>
      <w:r>
        <w:rPr>
          <w:rStyle w:val="big-number"/>
          <w:rFonts w:cs="Miriam"/>
          <w:rtl/>
        </w:rPr>
        <w:t>24.</w:t>
      </w:r>
      <w:r>
        <w:rPr>
          <w:rStyle w:val="big-number"/>
          <w:rFonts w:cs="Miriam"/>
          <w:rtl/>
        </w:rPr>
        <w:tab/>
      </w:r>
      <w:r>
        <w:rPr>
          <w:rStyle w:val="default"/>
          <w:rFonts w:cs="FrankRuehl"/>
          <w:rtl/>
        </w:rPr>
        <w:t>המ</w:t>
      </w:r>
      <w:r>
        <w:rPr>
          <w:rStyle w:val="default"/>
          <w:rFonts w:cs="FrankRuehl" w:hint="cs"/>
          <w:rtl/>
        </w:rPr>
        <w:t>נהל רשאי להיות מיוצג בכל הליכי הערר בידי היועץ המשפטי לממשלה או נציגו.</w:t>
      </w:r>
    </w:p>
    <w:p w:rsidR="008D2F93" w:rsidRDefault="008D2F93">
      <w:pPr>
        <w:pStyle w:val="P00"/>
        <w:spacing w:before="72"/>
        <w:ind w:left="0" w:right="1134"/>
        <w:rPr>
          <w:rStyle w:val="default"/>
          <w:rFonts w:cs="FrankRuehl"/>
          <w:rtl/>
        </w:rPr>
      </w:pPr>
      <w:bookmarkStart w:id="24" w:name="Seif24"/>
      <w:bookmarkEnd w:id="24"/>
      <w:r>
        <w:rPr>
          <w:lang w:val="he-IL"/>
        </w:rPr>
        <w:pict>
          <v:rect id="_x0000_s1050" style="position:absolute;left:0;text-align:left;margin-left:464.5pt;margin-top:8.05pt;width:75.05pt;height:21.7pt;z-index:251668992" o:allowincell="f" filled="f" stroked="f" strokecolor="lime" strokeweight=".25pt">
            <v:textbox inset="0,0,0,0">
              <w:txbxContent>
                <w:p w:rsidR="008D2F93" w:rsidRDefault="008D2F93" w:rsidP="000E68CD">
                  <w:pPr>
                    <w:spacing w:line="160" w:lineRule="exact"/>
                    <w:jc w:val="left"/>
                    <w:rPr>
                      <w:rFonts w:cs="Miriam"/>
                      <w:noProof/>
                      <w:sz w:val="18"/>
                      <w:szCs w:val="18"/>
                      <w:rtl/>
                    </w:rPr>
                  </w:pPr>
                  <w:r>
                    <w:rPr>
                      <w:rFonts w:cs="Miriam"/>
                      <w:sz w:val="18"/>
                      <w:szCs w:val="18"/>
                      <w:rtl/>
                    </w:rPr>
                    <w:t>מס</w:t>
                  </w:r>
                  <w:r>
                    <w:rPr>
                      <w:rFonts w:cs="Miriam" w:hint="cs"/>
                      <w:sz w:val="18"/>
                      <w:szCs w:val="18"/>
                      <w:rtl/>
                    </w:rPr>
                    <w:t>ירת החלטת</w:t>
                  </w:r>
                  <w:r w:rsidR="000E68CD">
                    <w:rPr>
                      <w:rFonts w:cs="Miriam" w:hint="cs"/>
                      <w:sz w:val="18"/>
                      <w:szCs w:val="18"/>
                      <w:rtl/>
                    </w:rPr>
                    <w:t xml:space="preserve"> </w:t>
                  </w:r>
                  <w:r>
                    <w:rPr>
                      <w:rFonts w:cs="Miriam"/>
                      <w:sz w:val="18"/>
                      <w:szCs w:val="18"/>
                      <w:rtl/>
                    </w:rPr>
                    <w:t>הו</w:t>
                  </w:r>
                  <w:r>
                    <w:rPr>
                      <w:rFonts w:cs="Miriam" w:hint="cs"/>
                      <w:sz w:val="18"/>
                      <w:szCs w:val="18"/>
                      <w:rtl/>
                    </w:rPr>
                    <w:t>עדה</w:t>
                  </w:r>
                </w:p>
              </w:txbxContent>
            </v:textbox>
            <w10:anchorlock/>
          </v:rect>
        </w:pict>
      </w:r>
      <w:r>
        <w:rPr>
          <w:rStyle w:val="big-number"/>
          <w:rFonts w:cs="Miriam"/>
          <w:rtl/>
        </w:rPr>
        <w:t>25.</w:t>
      </w:r>
      <w:r>
        <w:rPr>
          <w:rStyle w:val="big-number"/>
          <w:rFonts w:cs="Miriam"/>
          <w:rtl/>
        </w:rPr>
        <w:tab/>
      </w:r>
      <w:r>
        <w:rPr>
          <w:rStyle w:val="default"/>
          <w:rFonts w:cs="FrankRuehl"/>
          <w:rtl/>
        </w:rPr>
        <w:t>הע</w:t>
      </w:r>
      <w:r>
        <w:rPr>
          <w:rStyle w:val="default"/>
          <w:rFonts w:cs="FrankRuehl" w:hint="cs"/>
          <w:rtl/>
        </w:rPr>
        <w:t>תק החלטת הועדה מאושר בידי היו</w:t>
      </w:r>
      <w:r>
        <w:rPr>
          <w:rStyle w:val="default"/>
          <w:rFonts w:cs="FrankRuehl"/>
          <w:rtl/>
        </w:rPr>
        <w:t>שב</w:t>
      </w:r>
      <w:r>
        <w:rPr>
          <w:rStyle w:val="default"/>
          <w:rFonts w:cs="FrankRuehl" w:hint="cs"/>
          <w:rtl/>
        </w:rPr>
        <w:t xml:space="preserve"> ראש יישלח לעורר ולמנהל סמוך ככל האפשר למועד מתן ההחלטה.</w:t>
      </w:r>
    </w:p>
    <w:p w:rsidR="008D2F93" w:rsidRDefault="008D2F93">
      <w:pPr>
        <w:pStyle w:val="P00"/>
        <w:spacing w:before="72"/>
        <w:ind w:left="0" w:right="1134"/>
        <w:rPr>
          <w:rStyle w:val="default"/>
          <w:rFonts w:cs="FrankRuehl"/>
          <w:rtl/>
        </w:rPr>
      </w:pPr>
      <w:bookmarkStart w:id="25" w:name="Seif25"/>
      <w:bookmarkEnd w:id="25"/>
      <w:r>
        <w:rPr>
          <w:lang w:val="he-IL"/>
        </w:rPr>
        <w:pict>
          <v:rect id="_x0000_s1051" style="position:absolute;left:0;text-align:left;margin-left:464.5pt;margin-top:8.05pt;width:75.05pt;height:11.2pt;z-index:251670016" o:allowincell="f" filled="f" stroked="f" strokecolor="lime" strokeweight=".25pt">
            <v:textbox inset="0,0,0,0">
              <w:txbxContent>
                <w:p w:rsidR="008D2F93" w:rsidRDefault="008D2F93">
                  <w:pPr>
                    <w:spacing w:line="160" w:lineRule="exact"/>
                    <w:jc w:val="left"/>
                    <w:rPr>
                      <w:rFonts w:cs="Miriam"/>
                      <w:noProof/>
                      <w:sz w:val="18"/>
                      <w:szCs w:val="18"/>
                      <w:rtl/>
                    </w:rPr>
                  </w:pPr>
                  <w:r>
                    <w:rPr>
                      <w:rFonts w:cs="Miriam"/>
                      <w:sz w:val="18"/>
                      <w:szCs w:val="18"/>
                      <w:rtl/>
                    </w:rPr>
                    <w:t>הו</w:t>
                  </w:r>
                  <w:r>
                    <w:rPr>
                      <w:rFonts w:cs="Miriam" w:hint="cs"/>
                      <w:sz w:val="18"/>
                      <w:szCs w:val="18"/>
                      <w:rtl/>
                    </w:rPr>
                    <w:t>ראות מעבר</w:t>
                  </w:r>
                </w:p>
              </w:txbxContent>
            </v:textbox>
            <w10:anchorlock/>
          </v:rect>
        </w:pict>
      </w:r>
      <w:r>
        <w:rPr>
          <w:rStyle w:val="big-number"/>
          <w:rFonts w:cs="Miriam"/>
          <w:rtl/>
        </w:rPr>
        <w:t>26.</w:t>
      </w:r>
      <w:r>
        <w:rPr>
          <w:rStyle w:val="big-number"/>
          <w:rFonts w:cs="Miriam"/>
          <w:rtl/>
        </w:rPr>
        <w:tab/>
      </w:r>
      <w:r>
        <w:rPr>
          <w:rStyle w:val="default"/>
          <w:rFonts w:cs="FrankRuehl"/>
          <w:rtl/>
        </w:rPr>
        <w:t>הר</w:t>
      </w:r>
      <w:r>
        <w:rPr>
          <w:rStyle w:val="default"/>
          <w:rFonts w:cs="FrankRuehl" w:hint="cs"/>
          <w:rtl/>
        </w:rPr>
        <w:t>ואה עצמו נפגע מהחלטת המנהל שניתנה לפני תחילתן של תקנות אלה, רשאי לערור עליה תוך ארבעה עשר יום מיום תחילתן.</w:t>
      </w:r>
    </w:p>
    <w:p w:rsidR="008D2F93" w:rsidRDefault="008D2F93">
      <w:pPr>
        <w:pStyle w:val="P00"/>
        <w:spacing w:before="72"/>
        <w:ind w:left="0" w:right="1134"/>
        <w:rPr>
          <w:rStyle w:val="default"/>
          <w:rFonts w:cs="FrankRuehl"/>
          <w:rtl/>
        </w:rPr>
      </w:pPr>
      <w:bookmarkStart w:id="26" w:name="Seif26"/>
      <w:bookmarkEnd w:id="26"/>
      <w:r>
        <w:rPr>
          <w:lang w:val="he-IL"/>
        </w:rPr>
        <w:pict>
          <v:rect id="_x0000_s1052" style="position:absolute;left:0;text-align:left;margin-left:464.5pt;margin-top:8.05pt;width:75.05pt;height:9.65pt;z-index:251671040" o:allowincell="f" filled="f" stroked="f" strokecolor="lime" strokeweight=".25pt">
            <v:textbox inset="0,0,0,0">
              <w:txbxContent>
                <w:p w:rsidR="008D2F93" w:rsidRDefault="008D2F93">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27.</w:t>
      </w:r>
      <w:r>
        <w:rPr>
          <w:rStyle w:val="big-number"/>
          <w:rFonts w:cs="Miriam"/>
          <w:rtl/>
        </w:rPr>
        <w:tab/>
      </w:r>
      <w:r>
        <w:rPr>
          <w:rStyle w:val="default"/>
          <w:rFonts w:cs="FrankRuehl"/>
          <w:rtl/>
        </w:rPr>
        <w:t>תח</w:t>
      </w:r>
      <w:r>
        <w:rPr>
          <w:rStyle w:val="default"/>
          <w:rFonts w:cs="FrankRuehl" w:hint="cs"/>
          <w:rtl/>
        </w:rPr>
        <w:t>ילתן של תקנות אלה שלושים יום מיום פרסומן.</w:t>
      </w:r>
    </w:p>
    <w:p w:rsidR="008D2F93" w:rsidRDefault="008D2F93">
      <w:pPr>
        <w:pStyle w:val="P00"/>
        <w:spacing w:before="72"/>
        <w:ind w:left="0" w:right="1134"/>
        <w:rPr>
          <w:rStyle w:val="default"/>
          <w:rFonts w:cs="FrankRuehl" w:hint="cs"/>
          <w:rtl/>
        </w:rPr>
      </w:pPr>
    </w:p>
    <w:p w:rsidR="000E68CD" w:rsidRDefault="000E68CD">
      <w:pPr>
        <w:pStyle w:val="P00"/>
        <w:spacing w:before="72"/>
        <w:ind w:left="0" w:right="1134"/>
        <w:rPr>
          <w:rStyle w:val="default"/>
          <w:rFonts w:cs="FrankRuehl" w:hint="cs"/>
          <w:rtl/>
        </w:rPr>
      </w:pPr>
    </w:p>
    <w:p w:rsidR="008D2F93" w:rsidRDefault="008D2F93">
      <w:pPr>
        <w:pStyle w:val="sig-0"/>
        <w:ind w:left="0" w:right="1134"/>
        <w:rPr>
          <w:rFonts w:cs="FrankRuehl"/>
          <w:sz w:val="26"/>
          <w:rtl/>
        </w:rPr>
      </w:pPr>
      <w:r>
        <w:rPr>
          <w:rFonts w:cs="FrankRuehl"/>
          <w:sz w:val="26"/>
          <w:rtl/>
        </w:rPr>
        <w:t>י"</w:t>
      </w:r>
      <w:r>
        <w:rPr>
          <w:rFonts w:cs="FrankRuehl" w:hint="cs"/>
          <w:sz w:val="26"/>
          <w:rtl/>
        </w:rPr>
        <w:t>ז באדר ב' תשמ"א (23 במרס 1981)</w:t>
      </w:r>
      <w:r>
        <w:rPr>
          <w:rFonts w:cs="FrankRuehl"/>
          <w:sz w:val="26"/>
          <w:rtl/>
        </w:rPr>
        <w:tab/>
      </w:r>
      <w:r>
        <w:rPr>
          <w:rFonts w:cs="FrankRuehl" w:hint="cs"/>
          <w:sz w:val="26"/>
          <w:rtl/>
        </w:rPr>
        <w:t>מ</w:t>
      </w:r>
      <w:r>
        <w:rPr>
          <w:rFonts w:cs="FrankRuehl"/>
          <w:sz w:val="26"/>
          <w:rtl/>
        </w:rPr>
        <w:t>ש</w:t>
      </w:r>
      <w:r>
        <w:rPr>
          <w:rFonts w:cs="FrankRuehl" w:hint="cs"/>
          <w:sz w:val="26"/>
          <w:rtl/>
        </w:rPr>
        <w:t>ה נסים</w:t>
      </w:r>
    </w:p>
    <w:p w:rsidR="008D2F93" w:rsidRDefault="008D2F93">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 המשפטים</w:t>
      </w:r>
    </w:p>
    <w:p w:rsidR="008D2F93" w:rsidRPr="000E68CD" w:rsidRDefault="008D2F93" w:rsidP="000E68CD">
      <w:pPr>
        <w:pStyle w:val="P00"/>
        <w:spacing w:before="72"/>
        <w:ind w:left="0" w:right="1134"/>
        <w:rPr>
          <w:rStyle w:val="default"/>
          <w:rFonts w:cs="FrankRuehl"/>
          <w:rtl/>
        </w:rPr>
      </w:pPr>
    </w:p>
    <w:p w:rsidR="008D2F93" w:rsidRPr="000E68CD" w:rsidRDefault="008D2F93" w:rsidP="000E68CD">
      <w:pPr>
        <w:pStyle w:val="P00"/>
        <w:spacing w:before="72"/>
        <w:ind w:left="0" w:right="1134"/>
        <w:rPr>
          <w:rStyle w:val="default"/>
          <w:rFonts w:cs="FrankRuehl"/>
          <w:rtl/>
        </w:rPr>
      </w:pPr>
    </w:p>
    <w:p w:rsidR="008D2F93" w:rsidRPr="000E68CD" w:rsidRDefault="008D2F93" w:rsidP="000E68CD">
      <w:pPr>
        <w:pStyle w:val="P00"/>
        <w:spacing w:before="72"/>
        <w:ind w:left="0" w:right="1134"/>
        <w:rPr>
          <w:rStyle w:val="default"/>
          <w:rFonts w:cs="FrankRuehl"/>
          <w:rtl/>
        </w:rPr>
      </w:pPr>
      <w:bookmarkStart w:id="27" w:name="LawPartEnd"/>
    </w:p>
    <w:bookmarkEnd w:id="27"/>
    <w:p w:rsidR="008D2F93" w:rsidRPr="000E68CD" w:rsidRDefault="008D2F93" w:rsidP="000E68CD">
      <w:pPr>
        <w:pStyle w:val="P00"/>
        <w:spacing w:before="72"/>
        <w:ind w:left="0" w:right="1134"/>
        <w:rPr>
          <w:rStyle w:val="default"/>
          <w:rFonts w:cs="FrankRuehl"/>
          <w:rtl/>
        </w:rPr>
      </w:pPr>
    </w:p>
    <w:sectPr w:rsidR="008D2F93" w:rsidRPr="000E68CD">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C622F" w:rsidRDefault="001C622F">
      <w:r>
        <w:separator/>
      </w:r>
    </w:p>
  </w:endnote>
  <w:endnote w:type="continuationSeparator" w:id="0">
    <w:p w:rsidR="001C622F" w:rsidRDefault="001C6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D2F93" w:rsidRDefault="008D2F9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8D2F93" w:rsidRDefault="008D2F9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8D2F93" w:rsidRDefault="008D2F9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E68CD">
      <w:rPr>
        <w:rFonts w:cs="TopType Jerushalmi"/>
        <w:noProof/>
        <w:color w:val="000000"/>
        <w:sz w:val="14"/>
        <w:szCs w:val="14"/>
      </w:rPr>
      <w:t>D:\Yael\hakika\Revadim</w:t>
    </w:r>
    <w:r w:rsidR="000E68CD" w:rsidRPr="000E68CD">
      <w:rPr>
        <w:rFonts w:cs="TopType Jerushalmi"/>
        <w:noProof/>
        <w:color w:val="000000"/>
        <w:sz w:val="14"/>
        <w:szCs w:val="14"/>
        <w:rtl/>
      </w:rPr>
      <w:t>\קישורים\</w:t>
    </w:r>
    <w:r w:rsidR="000E68CD">
      <w:rPr>
        <w:rFonts w:cs="TopType Jerushalmi"/>
        <w:noProof/>
        <w:color w:val="000000"/>
        <w:sz w:val="14"/>
        <w:szCs w:val="14"/>
      </w:rPr>
      <w:t>p186_006.doc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D2F93" w:rsidRDefault="008D2F9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C287B">
      <w:rPr>
        <w:rFonts w:hAnsi="FrankRuehl" w:cs="FrankRuehl"/>
        <w:noProof/>
        <w:sz w:val="24"/>
        <w:szCs w:val="24"/>
        <w:rtl/>
      </w:rPr>
      <w:t>2</w:t>
    </w:r>
    <w:r>
      <w:rPr>
        <w:rFonts w:hAnsi="FrankRuehl" w:cs="FrankRuehl"/>
        <w:sz w:val="24"/>
        <w:szCs w:val="24"/>
        <w:rtl/>
      </w:rPr>
      <w:fldChar w:fldCharType="end"/>
    </w:r>
  </w:p>
  <w:p w:rsidR="008D2F93" w:rsidRDefault="008D2F9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8D2F93" w:rsidRDefault="008D2F9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E68CD">
      <w:rPr>
        <w:rFonts w:cs="TopType Jerushalmi"/>
        <w:noProof/>
        <w:color w:val="000000"/>
        <w:sz w:val="14"/>
        <w:szCs w:val="14"/>
      </w:rPr>
      <w:t>D:\Yael\hakika\Revadim</w:t>
    </w:r>
    <w:r w:rsidR="000E68CD" w:rsidRPr="000E68CD">
      <w:rPr>
        <w:rFonts w:cs="TopType Jerushalmi"/>
        <w:noProof/>
        <w:color w:val="000000"/>
        <w:sz w:val="14"/>
        <w:szCs w:val="14"/>
        <w:rtl/>
      </w:rPr>
      <w:t>\קישורים\</w:t>
    </w:r>
    <w:r w:rsidR="000E68CD">
      <w:rPr>
        <w:rFonts w:cs="TopType Jerushalmi"/>
        <w:noProof/>
        <w:color w:val="000000"/>
        <w:sz w:val="14"/>
        <w:szCs w:val="14"/>
      </w:rPr>
      <w:t>p186_006.doc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C622F" w:rsidRDefault="001C622F" w:rsidP="000E68CD">
      <w:pPr>
        <w:spacing w:before="60" w:line="240" w:lineRule="auto"/>
        <w:ind w:right="1134"/>
      </w:pPr>
      <w:r>
        <w:separator/>
      </w:r>
    </w:p>
  </w:footnote>
  <w:footnote w:type="continuationSeparator" w:id="0">
    <w:p w:rsidR="001C622F" w:rsidRDefault="001C622F">
      <w:r>
        <w:continuationSeparator/>
      </w:r>
    </w:p>
  </w:footnote>
  <w:footnote w:id="1">
    <w:p w:rsidR="000E68CD" w:rsidRPr="000E68CD" w:rsidRDefault="000E68CD" w:rsidP="000E68C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0E68CD">
        <w:rPr>
          <w:rFonts w:cs="FrankRuehl"/>
          <w:rtl/>
        </w:rPr>
        <w:t xml:space="preserve">* </w:t>
      </w:r>
      <w:r>
        <w:rPr>
          <w:rFonts w:cs="FrankRuehl"/>
          <w:rtl/>
        </w:rPr>
        <w:t>פו</w:t>
      </w:r>
      <w:r>
        <w:rPr>
          <w:rFonts w:cs="FrankRuehl" w:hint="cs"/>
          <w:rtl/>
        </w:rPr>
        <w:t xml:space="preserve">רסמו </w:t>
      </w:r>
      <w:hyperlink r:id="rId1" w:history="1">
        <w:r w:rsidRPr="00677F25">
          <w:rPr>
            <w:rStyle w:val="Hyperlink"/>
            <w:rFonts w:cs="FrankRuehl" w:hint="cs"/>
            <w:rtl/>
          </w:rPr>
          <w:t>ק"ת תשמ"א מס' 4231</w:t>
        </w:r>
      </w:hyperlink>
      <w:r>
        <w:rPr>
          <w:rFonts w:cs="FrankRuehl" w:hint="cs"/>
          <w:rtl/>
        </w:rPr>
        <w:t xml:space="preserve"> מיום 4.5.1981 עמ' 952.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D2F93" w:rsidRDefault="008D2F9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העתיקות (סדרי דין בועדת ערר), תשמ"א–1981</w:t>
    </w:r>
  </w:p>
  <w:p w:rsidR="008D2F93" w:rsidRDefault="008D2F9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D2F93" w:rsidRDefault="008D2F93">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D2F93" w:rsidRDefault="008D2F93" w:rsidP="000E68C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העתיקות (סדרי דין בועדת ערר), תשמ"א</w:t>
    </w:r>
    <w:r w:rsidR="000E68CD">
      <w:rPr>
        <w:rFonts w:hAnsi="FrankRuehl" w:cs="FrankRuehl" w:hint="cs"/>
        <w:color w:val="000000"/>
        <w:sz w:val="28"/>
        <w:szCs w:val="28"/>
        <w:rtl/>
      </w:rPr>
      <w:t>-</w:t>
    </w:r>
    <w:r>
      <w:rPr>
        <w:rFonts w:hAnsi="FrankRuehl" w:cs="FrankRuehl"/>
        <w:color w:val="000000"/>
        <w:sz w:val="28"/>
        <w:szCs w:val="28"/>
        <w:rtl/>
      </w:rPr>
      <w:t>1981</w:t>
    </w:r>
  </w:p>
  <w:p w:rsidR="008D2F93" w:rsidRDefault="008D2F9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D2F93" w:rsidRDefault="008D2F93">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77F25"/>
    <w:rsid w:val="000E68CD"/>
    <w:rsid w:val="001C622F"/>
    <w:rsid w:val="002153F5"/>
    <w:rsid w:val="00576F49"/>
    <w:rsid w:val="00677F25"/>
    <w:rsid w:val="008D2F93"/>
    <w:rsid w:val="00987A1A"/>
    <w:rsid w:val="00B83C95"/>
    <w:rsid w:val="00C90851"/>
    <w:rsid w:val="00DC287B"/>
    <w:rsid w:val="00F433E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D32BA877-806A-4D86-B8B3-A9DE10AB5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0E68CD"/>
    <w:rPr>
      <w:sz w:val="20"/>
      <w:szCs w:val="20"/>
    </w:rPr>
  </w:style>
  <w:style w:type="character" w:styleId="a6">
    <w:name w:val="footnote reference"/>
    <w:basedOn w:val="a0"/>
    <w:semiHidden/>
    <w:rsid w:val="000E68C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423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1096</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פרק 186</vt:lpstr>
    </vt:vector>
  </TitlesOfParts>
  <Company/>
  <LinksUpToDate>false</LinksUpToDate>
  <CharactersWithSpaces>7330</CharactersWithSpaces>
  <SharedDoc>false</SharedDoc>
  <HLinks>
    <vt:vector size="168" baseType="variant">
      <vt:variant>
        <vt:i4>3473448</vt:i4>
      </vt:variant>
      <vt:variant>
        <vt:i4>159</vt:i4>
      </vt:variant>
      <vt:variant>
        <vt:i4>0</vt:i4>
      </vt:variant>
      <vt:variant>
        <vt:i4>5</vt:i4>
      </vt:variant>
      <vt:variant>
        <vt:lpwstr/>
      </vt:variant>
      <vt:variant>
        <vt:lpwstr>Seif26</vt:lpwstr>
      </vt:variant>
      <vt:variant>
        <vt:i4>3538984</vt:i4>
      </vt:variant>
      <vt:variant>
        <vt:i4>153</vt:i4>
      </vt:variant>
      <vt:variant>
        <vt:i4>0</vt:i4>
      </vt:variant>
      <vt:variant>
        <vt:i4>5</vt:i4>
      </vt:variant>
      <vt:variant>
        <vt:lpwstr/>
      </vt:variant>
      <vt:variant>
        <vt:lpwstr>Seif25</vt:lpwstr>
      </vt:variant>
      <vt:variant>
        <vt:i4>3604520</vt:i4>
      </vt:variant>
      <vt:variant>
        <vt:i4>147</vt:i4>
      </vt:variant>
      <vt:variant>
        <vt:i4>0</vt:i4>
      </vt:variant>
      <vt:variant>
        <vt:i4>5</vt:i4>
      </vt:variant>
      <vt:variant>
        <vt:lpwstr/>
      </vt:variant>
      <vt:variant>
        <vt:lpwstr>Seif24</vt:lpwstr>
      </vt:variant>
      <vt:variant>
        <vt:i4>3145768</vt:i4>
      </vt:variant>
      <vt:variant>
        <vt:i4>141</vt:i4>
      </vt:variant>
      <vt:variant>
        <vt:i4>0</vt:i4>
      </vt:variant>
      <vt:variant>
        <vt:i4>5</vt:i4>
      </vt:variant>
      <vt:variant>
        <vt:lpwstr/>
      </vt:variant>
      <vt:variant>
        <vt:lpwstr>Seif23</vt:lpwstr>
      </vt:variant>
      <vt:variant>
        <vt:i4>3211304</vt:i4>
      </vt:variant>
      <vt:variant>
        <vt:i4>135</vt:i4>
      </vt:variant>
      <vt:variant>
        <vt:i4>0</vt:i4>
      </vt:variant>
      <vt:variant>
        <vt:i4>5</vt:i4>
      </vt:variant>
      <vt:variant>
        <vt:lpwstr/>
      </vt:variant>
      <vt:variant>
        <vt:lpwstr>Seif22</vt:lpwstr>
      </vt:variant>
      <vt:variant>
        <vt:i4>3276840</vt:i4>
      </vt:variant>
      <vt:variant>
        <vt:i4>129</vt:i4>
      </vt:variant>
      <vt:variant>
        <vt:i4>0</vt:i4>
      </vt:variant>
      <vt:variant>
        <vt:i4>5</vt:i4>
      </vt:variant>
      <vt:variant>
        <vt:lpwstr/>
      </vt:variant>
      <vt:variant>
        <vt:lpwstr>Seif21</vt:lpwstr>
      </vt:variant>
      <vt:variant>
        <vt:i4>3342376</vt:i4>
      </vt:variant>
      <vt:variant>
        <vt:i4>123</vt:i4>
      </vt:variant>
      <vt:variant>
        <vt:i4>0</vt:i4>
      </vt:variant>
      <vt:variant>
        <vt:i4>5</vt:i4>
      </vt:variant>
      <vt:variant>
        <vt:lpwstr/>
      </vt:variant>
      <vt:variant>
        <vt:lpwstr>Seif20</vt:lpwstr>
      </vt:variant>
      <vt:variant>
        <vt:i4>3801131</vt:i4>
      </vt:variant>
      <vt:variant>
        <vt:i4>117</vt:i4>
      </vt:variant>
      <vt:variant>
        <vt:i4>0</vt:i4>
      </vt:variant>
      <vt:variant>
        <vt:i4>5</vt:i4>
      </vt:variant>
      <vt:variant>
        <vt:lpwstr/>
      </vt:variant>
      <vt:variant>
        <vt:lpwstr>Seif19</vt:lpwstr>
      </vt:variant>
      <vt:variant>
        <vt:i4>3866667</vt:i4>
      </vt:variant>
      <vt:variant>
        <vt:i4>111</vt:i4>
      </vt:variant>
      <vt:variant>
        <vt:i4>0</vt:i4>
      </vt:variant>
      <vt:variant>
        <vt:i4>5</vt:i4>
      </vt:variant>
      <vt:variant>
        <vt:lpwstr/>
      </vt:variant>
      <vt:variant>
        <vt:lpwstr>Seif18</vt:lpwstr>
      </vt:variant>
      <vt:variant>
        <vt:i4>3407915</vt:i4>
      </vt:variant>
      <vt:variant>
        <vt:i4>105</vt:i4>
      </vt:variant>
      <vt:variant>
        <vt:i4>0</vt:i4>
      </vt:variant>
      <vt:variant>
        <vt:i4>5</vt:i4>
      </vt:variant>
      <vt:variant>
        <vt:lpwstr/>
      </vt:variant>
      <vt:variant>
        <vt:lpwstr>Seif17</vt:lpwstr>
      </vt:variant>
      <vt:variant>
        <vt:i4>3473451</vt:i4>
      </vt:variant>
      <vt:variant>
        <vt:i4>99</vt:i4>
      </vt:variant>
      <vt:variant>
        <vt:i4>0</vt:i4>
      </vt:variant>
      <vt:variant>
        <vt:i4>5</vt:i4>
      </vt:variant>
      <vt:variant>
        <vt:lpwstr/>
      </vt:variant>
      <vt:variant>
        <vt:lpwstr>Seif16</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8257547</vt:i4>
      </vt:variant>
      <vt:variant>
        <vt:i4>0</vt:i4>
      </vt:variant>
      <vt:variant>
        <vt:i4>0</vt:i4>
      </vt:variant>
      <vt:variant>
        <vt:i4>5</vt:i4>
      </vt:variant>
      <vt:variant>
        <vt:lpwstr>http://www.nevo.co.il/Law_word/law06/TAK-4231.pdf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186</dc:title>
  <dc:subject/>
  <dc:creator>eli</dc:creator>
  <cp:keywords/>
  <dc:description/>
  <cp:lastModifiedBy>Shimon Doodkin</cp:lastModifiedBy>
  <cp:revision>2</cp:revision>
  <dcterms:created xsi:type="dcterms:W3CDTF">2023-06-05T20:29:00Z</dcterms:created>
  <dcterms:modified xsi:type="dcterms:W3CDTF">2023-06-05T20:29:00Z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p186</vt:lpwstr>
  </property>
  <property fmtid="{D5CDD505-2E9C-101B-9397-08002B2CF9AE}" pid="3" name="CHNAME">
    <vt:lpwstr>עתיקות</vt:lpwstr>
  </property>
  <property fmtid="{D5CDD505-2E9C-101B-9397-08002B2CF9AE}" pid="4" name="LAWNAME">
    <vt:lpwstr>תקנות העתיקות (סדרי דין בועדת ערר), תשמ"א-1981</vt:lpwstr>
  </property>
  <property fmtid="{D5CDD505-2E9C-101B-9397-08002B2CF9AE}" pid="5" name="LAWNUMBER">
    <vt:lpwstr>0006</vt:lpwstr>
  </property>
  <property fmtid="{D5CDD505-2E9C-101B-9397-08002B2CF9AE}" pid="6" name="TYPE">
    <vt:lpwstr>01</vt:lpwstr>
  </property>
  <property fmtid="{D5CDD505-2E9C-101B-9397-08002B2CF9AE}" pid="7" name="MEKOR_NAME1">
    <vt:lpwstr>חוק העתיקות</vt:lpwstr>
  </property>
  <property fmtid="{D5CDD505-2E9C-101B-9397-08002B2CF9AE}" pid="8" name="MEKOR_SAIF1">
    <vt:lpwstr>46XבX</vt:lpwstr>
  </property>
  <property fmtid="{D5CDD505-2E9C-101B-9397-08002B2CF9AE}" pid="9" name="NOSE11">
    <vt:lpwstr>רשויות ומשפט מנהלי</vt:lpwstr>
  </property>
  <property fmtid="{D5CDD505-2E9C-101B-9397-08002B2CF9AE}" pid="10" name="NOSE21">
    <vt:lpwstr>עתיקות</vt:lpwstr>
  </property>
  <property fmtid="{D5CDD505-2E9C-101B-9397-08002B2CF9AE}" pid="11" name="NOSE31">
    <vt:lpwstr/>
  </property>
  <property fmtid="{D5CDD505-2E9C-101B-9397-08002B2CF9AE}" pid="12" name="NOSE41">
    <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