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87E" w:rsidRDefault="00E9487E" w:rsidP="00BE1E4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העתיקות (רשיון ואגרות), תשמ"ד</w:t>
      </w:r>
      <w:r w:rsidR="00BE1E4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:rsidR="00D361CC" w:rsidRDefault="00D361CC" w:rsidP="00D361CC">
      <w:pPr>
        <w:spacing w:line="320" w:lineRule="auto"/>
        <w:jc w:val="left"/>
        <w:rPr>
          <w:rFonts w:hint="cs"/>
          <w:rtl/>
        </w:rPr>
      </w:pPr>
    </w:p>
    <w:p w:rsidR="0053253A" w:rsidRDefault="0053253A" w:rsidP="00D361CC">
      <w:pPr>
        <w:spacing w:line="320" w:lineRule="auto"/>
        <w:jc w:val="left"/>
        <w:rPr>
          <w:rFonts w:hint="cs"/>
          <w:rtl/>
        </w:rPr>
      </w:pPr>
    </w:p>
    <w:p w:rsidR="00D361CC" w:rsidRPr="00D361CC" w:rsidRDefault="00D361CC" w:rsidP="00D361CC">
      <w:pPr>
        <w:spacing w:line="320" w:lineRule="auto"/>
        <w:jc w:val="left"/>
        <w:rPr>
          <w:rFonts w:cs="Miriam"/>
          <w:szCs w:val="22"/>
          <w:rtl/>
        </w:rPr>
      </w:pPr>
      <w:r w:rsidRPr="00D361CC">
        <w:rPr>
          <w:rFonts w:cs="Miriam"/>
          <w:szCs w:val="22"/>
          <w:rtl/>
        </w:rPr>
        <w:t>רשויות ומשפט מנהלי</w:t>
      </w:r>
      <w:r w:rsidRPr="00D361CC">
        <w:rPr>
          <w:rFonts w:cs="FrankRuehl"/>
          <w:szCs w:val="26"/>
          <w:rtl/>
        </w:rPr>
        <w:t xml:space="preserve"> – עתיקות</w:t>
      </w:r>
    </w:p>
    <w:p w:rsidR="00E9487E" w:rsidRDefault="00E9487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87B49" w:rsidRPr="00787B49" w:rsidTr="00787B4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787B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87B49" w:rsidRPr="00787B49" w:rsidTr="00787B4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טופס הרשיון</w:t>
            </w:r>
          </w:p>
        </w:tc>
        <w:tc>
          <w:tcPr>
            <w:tcW w:w="567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טופס הרשיון" w:history="1">
              <w:r w:rsidRPr="00787B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87B49" w:rsidRPr="00787B49" w:rsidTr="00787B4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תקפו של רשיון</w:t>
            </w:r>
          </w:p>
        </w:tc>
        <w:tc>
          <w:tcPr>
            <w:tcW w:w="567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קפו של רשיון" w:history="1">
              <w:r w:rsidRPr="00787B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87B49" w:rsidRPr="00787B49" w:rsidTr="00787B4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אגרה</w:t>
            </w:r>
          </w:p>
        </w:tc>
        <w:tc>
          <w:tcPr>
            <w:tcW w:w="567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גרה" w:history="1">
              <w:r w:rsidRPr="00787B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87B49" w:rsidRPr="00787B49" w:rsidTr="00787B4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ביטול" w:history="1">
              <w:r w:rsidRPr="00787B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87B49" w:rsidRPr="00787B49" w:rsidTr="00787B4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87B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87B49" w:rsidRPr="00787B49" w:rsidRDefault="00787B49" w:rsidP="00787B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E9487E" w:rsidRDefault="00E9487E">
      <w:pPr>
        <w:pStyle w:val="big-header"/>
        <w:ind w:left="0" w:right="1134"/>
        <w:rPr>
          <w:rFonts w:cs="FrankRuehl"/>
          <w:sz w:val="32"/>
          <w:rtl/>
        </w:rPr>
      </w:pPr>
    </w:p>
    <w:p w:rsidR="00E9487E" w:rsidRDefault="00E9487E" w:rsidP="00D361C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העתיקות (רשיון ואגרות), תשמ"ד</w:t>
      </w:r>
      <w:r w:rsidR="00BE1E4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  <w:r w:rsidR="00BE1E4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E9487E" w:rsidRDefault="00E9487E" w:rsidP="00FC12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15 ו-46(א) לחוק העתיקות, תשל"ח</w:t>
      </w:r>
      <w:r w:rsidR="00FC123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1978 (</w:t>
      </w:r>
      <w:r>
        <w:rPr>
          <w:rStyle w:val="default"/>
          <w:rFonts w:cs="FrankRuehl" w:hint="cs"/>
          <w:rtl/>
        </w:rPr>
        <w:t xml:space="preserve">להלן </w:t>
      </w:r>
      <w:r w:rsidR="0053253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הכספים של הכנסת לפי סעיף 1(ב) לחוק-יסוד: משק המדינה, אני מתקין תקנות אלה:</w:t>
      </w:r>
    </w:p>
    <w:p w:rsidR="00E9487E" w:rsidRDefault="00E948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1.65pt;z-index:251653120" o:allowincell="f" filled="f" stroked="f" strokecolor="lime" strokeweight=".25pt">
            <v:textbox inset="0,0,0,0">
              <w:txbxContent>
                <w:p w:rsidR="00E9487E" w:rsidRDefault="00E9487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FC123E">
        <w:rPr>
          <w:rStyle w:val="default"/>
          <w:rFonts w:cs="FrankRuehl"/>
          <w:rtl/>
        </w:rPr>
        <w:t>–</w:t>
      </w:r>
    </w:p>
    <w:p w:rsidR="00E9487E" w:rsidRDefault="00E9487E" w:rsidP="00FC12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מנהל" </w:t>
      </w:r>
      <w:r w:rsidR="0053253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מי שהוא הסמיכו לענין תקנות אלה;</w:t>
      </w:r>
    </w:p>
    <w:p w:rsidR="00E9487E" w:rsidRDefault="00E9487E" w:rsidP="00FC12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שיון" </w:t>
      </w:r>
      <w:r w:rsidR="0053253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רשיון למסחר בעתיקות לפי סעיף 15 לחוק;</w:t>
      </w:r>
    </w:p>
    <w:p w:rsidR="00E9487E" w:rsidRDefault="00E9487E" w:rsidP="00FC12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 xml:space="preserve">תיקות" </w:t>
      </w:r>
      <w:r w:rsidR="0053253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למעט עתיקה שהיא נכס המדינה לפי הוראות החוק.</w:t>
      </w:r>
    </w:p>
    <w:p w:rsidR="00E9487E" w:rsidRDefault="00E948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4.55pt;z-index:251654144" o:allowincell="f" filled="f" stroked="f" strokecolor="lime" strokeweight=".25pt">
            <v:textbox inset="0,0,0,0">
              <w:txbxContent>
                <w:p w:rsidR="00E9487E" w:rsidRDefault="00E9487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פס הרשיון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יון יהיה לפי הטופס שבתוספת, אולם רשאי המנהל, אם נראה לו הדבר דרוש לענין רשיון מסויים, לקבוע ברשיון תנאים נוספים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ל אלה המפורטים בטופס האמור.</w:t>
      </w:r>
    </w:p>
    <w:p w:rsidR="00E9487E" w:rsidRDefault="00E948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15.2pt;z-index:251655168" o:allowincell="f" filled="f" stroked="f" strokecolor="lime" strokeweight=".25pt">
            <v:textbox inset="0,0,0,0">
              <w:txbxContent>
                <w:p w:rsidR="00E9487E" w:rsidRDefault="00E9487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פו של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פו של רשיון הוא עד 31 בדצמבר </w:t>
      </w:r>
      <w:r w:rsidR="00FC123E">
        <w:rPr>
          <w:rStyle w:val="default"/>
          <w:rFonts w:cs="FrankRuehl"/>
          <w:rtl/>
        </w:rPr>
        <w:t>–</w:t>
      </w:r>
    </w:p>
    <w:p w:rsidR="00E9487E" w:rsidRDefault="00E9487E" w:rsidP="00FC123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ל השנה שבה ניתן </w:t>
      </w:r>
      <w:r w:rsidR="0053253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אם ניתן בין 1 בינואר ו-30 ביוני;</w:t>
      </w:r>
    </w:p>
    <w:p w:rsidR="00E9487E" w:rsidRDefault="00E9487E" w:rsidP="00FC123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ל השנה שלאחריה </w:t>
      </w:r>
      <w:r w:rsidR="0053253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אם ניתן בין 1 ביולי ו-31 בדצמבר.</w:t>
      </w:r>
    </w:p>
    <w:p w:rsidR="00E9487E" w:rsidRDefault="00E9487E" w:rsidP="00FC12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>
          <v:rect id="_x0000_s1029" style="position:absolute;left:0;text-align:left;margin-left:464.5pt;margin-top:8.05pt;width:75.05pt;height:14.2pt;z-index:251656192" o:allowincell="f" filled="f" stroked="f" strokecolor="lime" strokeweight=".25pt">
            <v:textbox inset="0,0,0,0">
              <w:txbxContent>
                <w:p w:rsidR="00E9487E" w:rsidRDefault="00E9487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ם הגשת בקשה לרישיון או לחידושו תשולם אגרה כמפורט בסעיף קטן (ב); נדחתה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בקשה </w:t>
      </w:r>
      <w:r w:rsidR="0053253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תוחזר האגרה למבקש.</w:t>
      </w:r>
    </w:p>
    <w:p w:rsidR="00E9487E" w:rsidRDefault="00E9487E" w:rsidP="00FC12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0" style="position:absolute;left:0;text-align:left;margin-left:464.5pt;margin-top:8.05pt;width:75.05pt;height:12.95pt;z-index:251657216" o:allowincell="f" filled="f" stroked="f" strokecolor="lime" strokeweight=".25pt">
            <v:textbox inset="0,0,0,0">
              <w:txbxContent>
                <w:p w:rsidR="00E9487E" w:rsidRDefault="00E9487E" w:rsidP="00FC12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תשמ"ט</w:t>
                  </w:r>
                  <w:r w:rsidR="00FC123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וגשה הבקשה לפני יום ג' באב </w:t>
      </w:r>
      <w:r w:rsidR="00EE67C6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תשמ"ד (1 באוגוסט 1984) תשולם אגרה בסכום של 36,800 שקלים; הוגשה הבקשה אחרי היום האמור </w:t>
      </w:r>
      <w:r w:rsidR="0053253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תשולם אגרה בסכום של 330 שקלים חדשים לשנה.</w:t>
      </w:r>
    </w:p>
    <w:p w:rsidR="00E9487E" w:rsidRDefault="00E948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1" style="position:absolute;left:0;text-align:left;margin-left:464.5pt;margin-top:8.05pt;width:75.05pt;height:13.2pt;z-index:251658240" o:allowincell="f" filled="f" stroked="f" strokecolor="lime" strokeweight=".25pt">
            <v:textbox inset="0,0,0,0">
              <w:txbxContent>
                <w:p w:rsidR="00E9487E" w:rsidRDefault="00E9487E" w:rsidP="00FC12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תשמ"ח</w:t>
                  </w:r>
                  <w:r w:rsidR="00FC123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האגר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ישתנה ב-1 בנובמבר של כל שנה לפי שיעור השינוי במדד שפורסם לחודש אוגוסט שקדם לו לעומת המדד שפורסם לחודש אוגוסט של השנה שקדמה לה.</w:t>
      </w:r>
    </w:p>
    <w:p w:rsidR="00E9487E" w:rsidRDefault="00E9487E" w:rsidP="00FC12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 xml:space="preserve">משנה זו, "מדד" </w:t>
      </w:r>
      <w:r w:rsidR="0053253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מדד המחירים לצרכן שמפרסמת הלשכה המרכזית לסטטיסטיקה.</w:t>
      </w:r>
    </w:p>
    <w:p w:rsidR="00E9487E" w:rsidRDefault="00E948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2" style="position:absolute;left:0;text-align:left;margin-left:464.5pt;margin-top:8.05pt;width:75.05pt;height:13.7pt;z-index:251659264" o:allowincell="f" filled="f" stroked="f" strokecolor="lime" strokeweight=".25pt">
            <v:textbox inset="0,0,0,0">
              <w:txbxContent>
                <w:p w:rsidR="00E9487E" w:rsidRDefault="00E9487E" w:rsidP="00FC12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תשמ"ח</w:t>
                  </w:r>
                  <w:r w:rsidR="00FC123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ששונה כאמור בתקנת משנה (ג) יעוגל לסכום שהוא מכפלה של עשרה שקלים חדשים, וסכום של חמישה שקלים חדשים יעוגל כלפי מעלה.</w:t>
      </w:r>
    </w:p>
    <w:p w:rsidR="00E9487E" w:rsidRDefault="00E948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יפרסם בהודעה ברשומות את סכום האגרה כפי שהשתנתה ע</w:t>
      </w:r>
      <w:r>
        <w:rPr>
          <w:rStyle w:val="default"/>
          <w:rFonts w:cs="FrankRuehl"/>
          <w:rtl/>
        </w:rPr>
        <w:t>קב</w:t>
      </w:r>
      <w:r>
        <w:rPr>
          <w:rStyle w:val="default"/>
          <w:rFonts w:cs="FrankRuehl" w:hint="cs"/>
          <w:rtl/>
        </w:rPr>
        <w:t xml:space="preserve"> האמור בתקנות משנה (ג) ו-(ד).</w:t>
      </w:r>
    </w:p>
    <w:p w:rsidR="00AC6A9C" w:rsidRPr="00FC123E" w:rsidRDefault="00AC6A9C" w:rsidP="00C8697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10"/>
      <w:r w:rsidRPr="00FC123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5.5.1985</w:t>
      </w:r>
    </w:p>
    <w:p w:rsidR="00AC6A9C" w:rsidRPr="00FC123E" w:rsidRDefault="00AC6A9C" w:rsidP="00C8697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C123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תשמ"ה-1985</w:t>
      </w:r>
    </w:p>
    <w:p w:rsidR="00C86974" w:rsidRPr="00FC123E" w:rsidRDefault="00C86974" w:rsidP="00AC6A9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FC123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4800</w:t>
        </w:r>
      </w:hyperlink>
      <w:r w:rsidRPr="00FC123E">
        <w:rPr>
          <w:rFonts w:cs="FrankRuehl" w:hint="cs"/>
          <w:vanish/>
          <w:szCs w:val="20"/>
          <w:shd w:val="clear" w:color="auto" w:fill="FFFF99"/>
          <w:rtl/>
        </w:rPr>
        <w:t xml:space="preserve"> מיום 5.5.1985 עמ' 1224</w:t>
      </w:r>
    </w:p>
    <w:p w:rsidR="008941D4" w:rsidRPr="00FC123E" w:rsidRDefault="008941D4" w:rsidP="00FC123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C123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C1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FC1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C1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C1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וגשה הבקשה לפני יום ג' באב </w:t>
      </w:r>
      <w:r w:rsidR="00EE67C6" w:rsidRPr="00FC1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FC1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תשמ"ד (1 באוגוסט 1984) תשולם אגרה בסכום של 36,800 שקלים; הוגשה הבקשה אחרי היום האמור </w:t>
      </w:r>
      <w:r w:rsidR="00FC123E" w:rsidRPr="00FC1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FC1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C1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תשולם אגרה בסכום של </w:t>
      </w:r>
      <w:r w:rsidRPr="00FC1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49,200 שקלים</w:t>
      </w:r>
      <w:r w:rsidR="003452B7" w:rsidRPr="00FC1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452B7" w:rsidRPr="00FC1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245,000 שקלים</w:t>
      </w:r>
      <w:r w:rsidRPr="00FC1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BD65CD" w:rsidRPr="00FC123E" w:rsidRDefault="00BD65CD" w:rsidP="00BD65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5443D6" w:rsidRPr="00FC123E" w:rsidRDefault="005443D6" w:rsidP="00BD65CD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C123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7.7.1986</w:t>
      </w:r>
    </w:p>
    <w:p w:rsidR="005443D6" w:rsidRPr="00FC123E" w:rsidRDefault="005443D6" w:rsidP="00BD65C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C123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תשמ"ו-1986</w:t>
      </w:r>
    </w:p>
    <w:p w:rsidR="005443D6" w:rsidRPr="00FC123E" w:rsidRDefault="005443D6" w:rsidP="005443D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FC123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FC123E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FC123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תשמ"ו מס' 4946</w:t>
        </w:r>
      </w:hyperlink>
      <w:r w:rsidRPr="00FC123E">
        <w:rPr>
          <w:rFonts w:cs="FrankRuehl" w:hint="cs"/>
          <w:vanish/>
          <w:szCs w:val="20"/>
          <w:shd w:val="clear" w:color="auto" w:fill="FFFF99"/>
          <w:rtl/>
        </w:rPr>
        <w:t xml:space="preserve"> מיום 7.7.1986 עמ' 1100</w:t>
      </w:r>
    </w:p>
    <w:p w:rsidR="005443D6" w:rsidRPr="00FC123E" w:rsidRDefault="005443D6" w:rsidP="00FC123E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FC123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C1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FC1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C1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C1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וגשה הבקשה לפני יום ג' באב התשמ"ד (1 באוגוסט 1984) תשולם אגרה בסכום של 36,800 שקלים; הוגשה הבקשה אחרי היום האמור </w:t>
      </w:r>
      <w:r w:rsidR="00FC123E" w:rsidRPr="00FC1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FC1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C1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תשולם אגרה בסכום של </w:t>
      </w:r>
      <w:r w:rsidRPr="00FC1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245,000 שקלים</w:t>
      </w:r>
      <w:r w:rsidR="008A1B24" w:rsidRPr="00FC1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A1B24" w:rsidRPr="00FC1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282 שקלים חדשים</w:t>
      </w:r>
      <w:r w:rsidRPr="00FC1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BD65CD" w:rsidRPr="00FC123E" w:rsidRDefault="00BD65CD" w:rsidP="00BD65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FD6847" w:rsidRPr="00FC123E" w:rsidRDefault="00FD6847" w:rsidP="00BD65CD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C123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25.12.1987</w:t>
      </w:r>
    </w:p>
    <w:p w:rsidR="00FD6847" w:rsidRPr="00FC123E" w:rsidRDefault="00FD6847" w:rsidP="00BD65C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C123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תשמ"ח-1987</w:t>
      </w:r>
    </w:p>
    <w:p w:rsidR="00FD6847" w:rsidRPr="00FC123E" w:rsidRDefault="00FD6847" w:rsidP="00FD684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FC123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FC123E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FC123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תשמ"ח מס' 5072</w:t>
        </w:r>
      </w:hyperlink>
      <w:r w:rsidRPr="00FC123E">
        <w:rPr>
          <w:rFonts w:cs="FrankRuehl" w:hint="cs"/>
          <w:vanish/>
          <w:szCs w:val="20"/>
          <w:shd w:val="clear" w:color="auto" w:fill="FFFF99"/>
          <w:rtl/>
        </w:rPr>
        <w:t xml:space="preserve"> מיום 25.12.1987 עמ' 285</w:t>
      </w:r>
    </w:p>
    <w:p w:rsidR="00FD6847" w:rsidRPr="00FC123E" w:rsidRDefault="00FD6847" w:rsidP="00FC123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C123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תקנות משנה 4(ג)</w:t>
      </w:r>
      <w:r w:rsidR="00FC123E" w:rsidRPr="00FC123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,</w:t>
      </w:r>
      <w:r w:rsidRPr="00FC123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4(ד)</w:t>
      </w:r>
    </w:p>
    <w:p w:rsidR="004D6F15" w:rsidRPr="00FC123E" w:rsidRDefault="004D6F15" w:rsidP="00AC0E54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C123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E75EE7" w:rsidRPr="00FC123E" w:rsidRDefault="00E30D21" w:rsidP="00E30D21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C123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C123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(ג</w:t>
      </w:r>
      <w:r w:rsidRPr="00FC1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FC123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AC0E54" w:rsidRPr="00FC1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סכום האגרה ישתנה ב-1 באפריל של כל שנה (להלן </w:t>
      </w:r>
      <w:r w:rsidR="00AC0E54" w:rsidRPr="00FC123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AC0E54" w:rsidRPr="00FC1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מועד העדכון)</w:t>
      </w:r>
      <w:r w:rsidR="009128CF" w:rsidRPr="00FC1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לפי שיעור עליית המדד החדש לעומת המדד היסודי; בתקנה זו</w:t>
      </w:r>
      <w:r w:rsidR="00E75EE7" w:rsidRPr="00FC1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E75EE7" w:rsidRPr="00FC123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E75EE7" w:rsidRPr="00FC1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E75EE7" w:rsidRPr="00FC123E" w:rsidRDefault="00E75EE7" w:rsidP="00E75EE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C1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"מדד" </w:t>
      </w:r>
      <w:r w:rsidRPr="00FC123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C1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מדד המחירים לצרכן שמפרסמת הלשכה המרכזית לסטטיסטיקה;</w:t>
      </w:r>
    </w:p>
    <w:p w:rsidR="00315B45" w:rsidRPr="00FC123E" w:rsidRDefault="00E75EE7" w:rsidP="00E75EE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C1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"המדד החדש" </w:t>
      </w:r>
      <w:r w:rsidRPr="00FC123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C1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שפורסם </w:t>
      </w:r>
      <w:r w:rsidR="00315B45" w:rsidRPr="00FC1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לחודש ינואר שקדם למועד העדכון;</w:t>
      </w:r>
    </w:p>
    <w:p w:rsidR="00E30D21" w:rsidRPr="00FC123E" w:rsidRDefault="00315B45" w:rsidP="00315B45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C1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"המדד היסודי" </w:t>
      </w:r>
      <w:r w:rsidRPr="00FC123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C1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שפורסם לחודש מאי בשנה שקדמה למועד העדכון.</w:t>
      </w:r>
    </w:p>
    <w:p w:rsidR="004D6F15" w:rsidRPr="00FC123E" w:rsidRDefault="00E30D21" w:rsidP="004D1C7F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C123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C123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(ד</w:t>
      </w:r>
      <w:r w:rsidRPr="00FC1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FC123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315B45" w:rsidRPr="00FC1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סכום מוגדל כאמור בתקנת משנה (ב)</w:t>
      </w:r>
      <w:r w:rsidR="004D1C7F" w:rsidRPr="00FC1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יעוגל לסכום הקרוב שהוא מכפלה של 100 שקלים</w:t>
      </w:r>
      <w:r w:rsidRPr="00FC1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</w:p>
    <w:p w:rsidR="00BD65CD" w:rsidRPr="00FC123E" w:rsidRDefault="00BD65CD" w:rsidP="00C8697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825845" w:rsidRPr="00FC123E" w:rsidRDefault="00825845" w:rsidP="0082584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C123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1.11.1988</w:t>
      </w:r>
    </w:p>
    <w:p w:rsidR="00825845" w:rsidRPr="00FC123E" w:rsidRDefault="007659BA" w:rsidP="0082584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C123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תשמ"ט-</w:t>
      </w:r>
      <w:r w:rsidRPr="00FC123E">
        <w:rPr>
          <w:rFonts w:cs="FrankRuehl"/>
          <w:b/>
          <w:bCs/>
          <w:vanish/>
          <w:szCs w:val="20"/>
          <w:shd w:val="clear" w:color="auto" w:fill="FFFF99"/>
          <w:rtl/>
        </w:rPr>
        <w:t>1988</w:t>
      </w:r>
    </w:p>
    <w:p w:rsidR="00825845" w:rsidRPr="00FC123E" w:rsidRDefault="00825845" w:rsidP="007659B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FC123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FC123E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FC123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</w:t>
        </w:r>
        <w:r w:rsidRPr="00FC123E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מ"</w:t>
        </w:r>
        <w:r w:rsidRPr="00FC123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ט מס' 5148</w:t>
        </w:r>
      </w:hyperlink>
      <w:r w:rsidRPr="00FC123E">
        <w:rPr>
          <w:rFonts w:cs="FrankRuehl" w:hint="cs"/>
          <w:vanish/>
          <w:szCs w:val="20"/>
          <w:shd w:val="clear" w:color="auto" w:fill="FFFF99"/>
          <w:rtl/>
        </w:rPr>
        <w:t xml:space="preserve"> מיום 25.11.1988 עמ' 184</w:t>
      </w:r>
    </w:p>
    <w:p w:rsidR="007659BA" w:rsidRPr="003F5929" w:rsidRDefault="007659BA" w:rsidP="00FC123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C123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C1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FC1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C1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C1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וגשה הבקשה לפני יום ג' באב התשמ"ד (1 באוגוסט 1984) תשולם אגרה בסכום של 36,800 שקלים; הוגשה הבקשה אחרי היום האמור </w:t>
      </w:r>
      <w:r w:rsidR="00FC123E" w:rsidRPr="00FC1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FC1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C1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תשולם אגרה בסכום של </w:t>
      </w:r>
      <w:r w:rsidRPr="00FC1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282 שקלים חדשים</w:t>
      </w:r>
      <w:r w:rsidRPr="00FC1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C1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330 שקלים חדשים</w:t>
      </w:r>
      <w:r w:rsidR="009B1091" w:rsidRPr="00FC1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לשנה</w:t>
      </w:r>
      <w:r w:rsidRPr="00FC1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4"/>
    </w:p>
    <w:p w:rsidR="00E9487E" w:rsidRDefault="00E9487E" w:rsidP="00FC12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3" style="position:absolute;left:0;text-align:left;margin-left:464.5pt;margin-top:8.05pt;width:75.05pt;height:12.1pt;z-index:251660288" o:allowincell="f" filled="f" stroked="f" strokecolor="lime" strokeweight=".25pt">
            <v:textbox inset="0,0,0,0">
              <w:txbxContent>
                <w:p w:rsidR="00E9487E" w:rsidRDefault="00E9487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נות 4 ו-4א(1) לתקנות העתיקות, 1930 </w:t>
      </w:r>
      <w:r w:rsidR="0053253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E9487E" w:rsidRPr="00FC123E" w:rsidRDefault="00E9487E" w:rsidP="00FC12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9487E" w:rsidRPr="00AB7889" w:rsidRDefault="00E9487E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6" w:name="med0"/>
      <w:bookmarkEnd w:id="6"/>
      <w:r w:rsidRPr="00AB7889">
        <w:rPr>
          <w:rFonts w:cs="FrankRuehl"/>
          <w:noProof/>
          <w:rtl/>
        </w:rPr>
        <w:t>תו</w:t>
      </w:r>
      <w:r w:rsidRPr="00AB7889">
        <w:rPr>
          <w:rFonts w:cs="FrankRuehl" w:hint="cs"/>
          <w:noProof/>
          <w:rtl/>
        </w:rPr>
        <w:t>ספת</w:t>
      </w:r>
    </w:p>
    <w:p w:rsidR="00E9487E" w:rsidRPr="0053253A" w:rsidRDefault="00E9487E" w:rsidP="0053253A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53253A">
        <w:rPr>
          <w:rStyle w:val="default"/>
          <w:rFonts w:cs="FrankRuehl"/>
          <w:sz w:val="24"/>
          <w:szCs w:val="24"/>
          <w:rtl/>
        </w:rPr>
        <w:t>(ת</w:t>
      </w:r>
      <w:r w:rsidRPr="0053253A">
        <w:rPr>
          <w:rStyle w:val="default"/>
          <w:rFonts w:cs="FrankRuehl" w:hint="cs"/>
          <w:sz w:val="24"/>
          <w:szCs w:val="24"/>
          <w:rtl/>
        </w:rPr>
        <w:t>קנה 2)</w:t>
      </w:r>
    </w:p>
    <w:p w:rsidR="00E9487E" w:rsidRPr="0053253A" w:rsidRDefault="00E9487E" w:rsidP="0053253A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53253A">
        <w:rPr>
          <w:rStyle w:val="default"/>
          <w:rFonts w:cs="FrankRuehl" w:hint="cs"/>
          <w:sz w:val="24"/>
          <w:szCs w:val="24"/>
          <w:rtl/>
        </w:rPr>
        <w:t>מ</w:t>
      </w:r>
      <w:r w:rsidRPr="0053253A">
        <w:rPr>
          <w:rStyle w:val="default"/>
          <w:rFonts w:cs="FrankRuehl"/>
          <w:sz w:val="24"/>
          <w:szCs w:val="24"/>
          <w:rtl/>
        </w:rPr>
        <w:t>ד</w:t>
      </w:r>
      <w:r w:rsidRPr="0053253A">
        <w:rPr>
          <w:rStyle w:val="default"/>
          <w:rFonts w:cs="FrankRuehl" w:hint="cs"/>
          <w:sz w:val="24"/>
          <w:szCs w:val="24"/>
          <w:rtl/>
        </w:rPr>
        <w:t>ינת ישראל</w:t>
      </w:r>
    </w:p>
    <w:p w:rsidR="00E9487E" w:rsidRPr="0053253A" w:rsidRDefault="00E9487E" w:rsidP="0053253A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53253A">
        <w:rPr>
          <w:rStyle w:val="default"/>
          <w:rFonts w:cs="FrankRuehl" w:hint="cs"/>
          <w:sz w:val="24"/>
          <w:szCs w:val="24"/>
          <w:rtl/>
        </w:rPr>
        <w:t>א</w:t>
      </w:r>
      <w:r w:rsidRPr="0053253A">
        <w:rPr>
          <w:rStyle w:val="default"/>
          <w:rFonts w:cs="FrankRuehl"/>
          <w:sz w:val="24"/>
          <w:szCs w:val="24"/>
          <w:rtl/>
        </w:rPr>
        <w:t>ג</w:t>
      </w:r>
      <w:r w:rsidRPr="0053253A">
        <w:rPr>
          <w:rStyle w:val="default"/>
          <w:rFonts w:cs="FrankRuehl" w:hint="cs"/>
          <w:sz w:val="24"/>
          <w:szCs w:val="24"/>
          <w:rtl/>
        </w:rPr>
        <w:t>ף העתיקות והמוזיאונים</w:t>
      </w:r>
    </w:p>
    <w:p w:rsidR="00E9487E" w:rsidRPr="0053253A" w:rsidRDefault="00E9487E" w:rsidP="0053253A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53253A">
        <w:rPr>
          <w:rStyle w:val="default"/>
          <w:rFonts w:cs="FrankRuehl"/>
          <w:b/>
          <w:bCs/>
          <w:sz w:val="22"/>
          <w:szCs w:val="22"/>
          <w:rtl/>
        </w:rPr>
        <w:t>רש</w:t>
      </w:r>
      <w:r w:rsidRPr="0053253A">
        <w:rPr>
          <w:rStyle w:val="default"/>
          <w:rFonts w:cs="FrankRuehl" w:hint="cs"/>
          <w:b/>
          <w:bCs/>
          <w:sz w:val="22"/>
          <w:szCs w:val="22"/>
          <w:rtl/>
        </w:rPr>
        <w:t>יון למסחר בעתיקות</w:t>
      </w:r>
    </w:p>
    <w:p w:rsidR="00E9487E" w:rsidRPr="0053253A" w:rsidRDefault="00E9487E" w:rsidP="0053253A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53253A">
        <w:rPr>
          <w:rStyle w:val="default"/>
          <w:rFonts w:cs="FrankRuehl"/>
          <w:sz w:val="24"/>
          <w:szCs w:val="24"/>
          <w:rtl/>
        </w:rPr>
        <w:lastRenderedPageBreak/>
        <w:t>לפ</w:t>
      </w:r>
      <w:r w:rsidRPr="0053253A">
        <w:rPr>
          <w:rStyle w:val="default"/>
          <w:rFonts w:cs="FrankRuehl" w:hint="cs"/>
          <w:sz w:val="24"/>
          <w:szCs w:val="24"/>
          <w:rtl/>
        </w:rPr>
        <w:t>י חוק העתיקות, תשל"ח</w:t>
      </w:r>
      <w:r w:rsidR="00FC123E" w:rsidRPr="0053253A">
        <w:rPr>
          <w:rStyle w:val="default"/>
          <w:rFonts w:cs="FrankRuehl" w:hint="cs"/>
          <w:sz w:val="24"/>
          <w:szCs w:val="24"/>
          <w:rtl/>
        </w:rPr>
        <w:t>-</w:t>
      </w:r>
      <w:r w:rsidRPr="0053253A">
        <w:rPr>
          <w:rStyle w:val="default"/>
          <w:rFonts w:cs="FrankRuehl"/>
          <w:sz w:val="24"/>
          <w:szCs w:val="24"/>
          <w:rtl/>
        </w:rPr>
        <w:t>1978</w:t>
      </w:r>
    </w:p>
    <w:p w:rsidR="00E9487E" w:rsidRPr="00FC123E" w:rsidRDefault="00E9487E" w:rsidP="00FC123E">
      <w:pPr>
        <w:pStyle w:val="sig-1"/>
        <w:widowControl/>
        <w:tabs>
          <w:tab w:val="clear" w:pos="851"/>
          <w:tab w:val="clear" w:pos="2835"/>
          <w:tab w:val="clear" w:pos="4820"/>
          <w:tab w:val="right" w:pos="7938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FC123E">
        <w:rPr>
          <w:rFonts w:cs="FrankRuehl"/>
          <w:sz w:val="26"/>
          <w:szCs w:val="26"/>
          <w:rtl/>
        </w:rPr>
        <w:tab/>
        <w:t>מ</w:t>
      </w:r>
      <w:r w:rsidRPr="00FC123E">
        <w:rPr>
          <w:rFonts w:cs="FrankRuehl" w:hint="cs"/>
          <w:sz w:val="26"/>
          <w:szCs w:val="26"/>
          <w:rtl/>
        </w:rPr>
        <w:t>ספר הרשיון:</w:t>
      </w:r>
      <w:r w:rsidR="00FC123E">
        <w:rPr>
          <w:rFonts w:cs="FrankRuehl" w:hint="cs"/>
          <w:sz w:val="26"/>
          <w:szCs w:val="26"/>
          <w:rtl/>
        </w:rPr>
        <w:t xml:space="preserve"> </w:t>
      </w:r>
      <w:r w:rsidR="00FC123E">
        <w:rPr>
          <w:rFonts w:cs="FrankRuehl"/>
          <w:sz w:val="26"/>
          <w:szCs w:val="26"/>
          <w:rtl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7" w:name="Text1"/>
      <w:r w:rsidR="00FC123E">
        <w:rPr>
          <w:rFonts w:cs="FrankRuehl"/>
          <w:sz w:val="26"/>
          <w:szCs w:val="26"/>
          <w:rtl/>
        </w:rPr>
        <w:instrText xml:space="preserve"> </w:instrText>
      </w:r>
      <w:r w:rsidR="00FC123E">
        <w:rPr>
          <w:rFonts w:cs="FrankRuehl" w:hint="cs"/>
          <w:sz w:val="26"/>
          <w:szCs w:val="26"/>
        </w:rPr>
        <w:instrText>FORMTEXT</w:instrText>
      </w:r>
      <w:r w:rsidR="00FC123E">
        <w:rPr>
          <w:rFonts w:cs="FrankRuehl"/>
          <w:sz w:val="26"/>
          <w:szCs w:val="26"/>
          <w:rtl/>
        </w:rPr>
        <w:instrText xml:space="preserve"> </w:instrText>
      </w:r>
      <w:r w:rsidR="00A05D53" w:rsidRPr="00FC123E">
        <w:rPr>
          <w:rFonts w:cs="FrankRuehl"/>
          <w:sz w:val="26"/>
          <w:szCs w:val="26"/>
        </w:rPr>
      </w:r>
      <w:r w:rsidR="00FC123E">
        <w:rPr>
          <w:rFonts w:cs="FrankRuehl"/>
          <w:sz w:val="26"/>
          <w:szCs w:val="26"/>
          <w:rtl/>
        </w:rPr>
        <w:fldChar w:fldCharType="separate"/>
      </w:r>
      <w:r w:rsidR="00787B49">
        <w:rPr>
          <w:rFonts w:cs="FrankRuehl"/>
          <w:sz w:val="26"/>
          <w:szCs w:val="26"/>
          <w:rtl/>
        </w:rPr>
        <w:t> </w:t>
      </w:r>
      <w:r w:rsidR="00787B49">
        <w:rPr>
          <w:rFonts w:cs="FrankRuehl"/>
          <w:sz w:val="26"/>
          <w:szCs w:val="26"/>
          <w:rtl/>
        </w:rPr>
        <w:t> </w:t>
      </w:r>
      <w:r w:rsidR="00787B49">
        <w:rPr>
          <w:rFonts w:cs="FrankRuehl"/>
          <w:sz w:val="26"/>
          <w:szCs w:val="26"/>
          <w:rtl/>
        </w:rPr>
        <w:t> </w:t>
      </w:r>
      <w:r w:rsidR="00787B49">
        <w:rPr>
          <w:rFonts w:cs="FrankRuehl"/>
          <w:sz w:val="26"/>
          <w:szCs w:val="26"/>
          <w:rtl/>
        </w:rPr>
        <w:t> </w:t>
      </w:r>
      <w:r w:rsidR="00787B49">
        <w:rPr>
          <w:rFonts w:cs="FrankRuehl"/>
          <w:sz w:val="26"/>
          <w:szCs w:val="26"/>
          <w:rtl/>
        </w:rPr>
        <w:t> </w:t>
      </w:r>
      <w:r w:rsidR="00FC123E">
        <w:rPr>
          <w:rFonts w:cs="FrankRuehl"/>
          <w:sz w:val="26"/>
          <w:szCs w:val="26"/>
          <w:rtl/>
        </w:rPr>
        <w:fldChar w:fldCharType="end"/>
      </w:r>
      <w:bookmarkEnd w:id="7"/>
    </w:p>
    <w:p w:rsidR="00E9487E" w:rsidRDefault="00E9487E" w:rsidP="00FC123E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שם</w:t>
      </w:r>
      <w:r>
        <w:rPr>
          <w:rFonts w:cs="FrankRuehl" w:hint="cs"/>
          <w:sz w:val="26"/>
          <w:rtl/>
        </w:rPr>
        <w:t xml:space="preserve"> הסוחר</w:t>
      </w:r>
      <w:r>
        <w:rPr>
          <w:rFonts w:cs="FrankRuehl"/>
          <w:sz w:val="26"/>
          <w:rtl/>
        </w:rPr>
        <w:t xml:space="preserve"> </w:t>
      </w:r>
      <w:r w:rsidR="00FC123E">
        <w:rPr>
          <w:rFonts w:cs="FrankRuehl"/>
          <w:sz w:val="26"/>
          <w:rtl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8" w:name="Text2"/>
      <w:r w:rsidR="00FC123E">
        <w:rPr>
          <w:rFonts w:cs="FrankRuehl"/>
          <w:sz w:val="26"/>
          <w:rtl/>
        </w:rPr>
        <w:instrText xml:space="preserve"> </w:instrText>
      </w:r>
      <w:r w:rsidR="00FC123E">
        <w:rPr>
          <w:rFonts w:cs="FrankRuehl"/>
          <w:sz w:val="26"/>
        </w:rPr>
        <w:instrText>FORMTEXT</w:instrText>
      </w:r>
      <w:r w:rsidR="00FC123E">
        <w:rPr>
          <w:rFonts w:cs="FrankRuehl"/>
          <w:sz w:val="26"/>
          <w:rtl/>
        </w:rPr>
        <w:instrText xml:space="preserve"> </w:instrText>
      </w:r>
      <w:r w:rsidR="00A05D53" w:rsidRPr="00FC123E">
        <w:rPr>
          <w:rFonts w:cs="FrankRuehl"/>
          <w:sz w:val="26"/>
        </w:rPr>
      </w:r>
      <w:r w:rsidR="00FC123E">
        <w:rPr>
          <w:rFonts w:cs="FrankRuehl"/>
          <w:sz w:val="26"/>
          <w:rtl/>
        </w:rPr>
        <w:fldChar w:fldCharType="separate"/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FC123E">
        <w:rPr>
          <w:rFonts w:cs="FrankRuehl"/>
          <w:sz w:val="26"/>
          <w:rtl/>
        </w:rPr>
        <w:fldChar w:fldCharType="end"/>
      </w:r>
      <w:bookmarkEnd w:id="8"/>
      <w:r>
        <w:rPr>
          <w:rFonts w:cs="FrankRuehl"/>
          <w:sz w:val="26"/>
          <w:rtl/>
        </w:rPr>
        <w:t xml:space="preserve"> </w:t>
      </w:r>
      <w:bookmarkStart w:id="9" w:name="Dropdown1"/>
      <w:r w:rsidR="00FC123E">
        <w:rPr>
          <w:rFonts w:cs="FrankRuehl"/>
          <w:sz w:val="26"/>
          <w:rtl/>
        </w:rPr>
        <w:fldChar w:fldCharType="begin">
          <w:ffData>
            <w:name w:val="Dropdown1"/>
            <w:enabled/>
            <w:calcOnExit w:val="0"/>
            <w:ddList>
              <w:listEntry w:val="מס' ת&quot;ז"/>
              <w:listEntry w:val="מס' הרישום של התאגיד"/>
            </w:ddList>
          </w:ffData>
        </w:fldChar>
      </w:r>
      <w:r w:rsidR="00FC123E">
        <w:rPr>
          <w:rFonts w:cs="FrankRuehl"/>
          <w:sz w:val="26"/>
          <w:rtl/>
        </w:rPr>
        <w:instrText xml:space="preserve"> </w:instrText>
      </w:r>
      <w:r w:rsidR="00FC123E">
        <w:rPr>
          <w:rFonts w:cs="FrankRuehl"/>
          <w:sz w:val="26"/>
        </w:rPr>
        <w:instrText>FORMDROPDOWN</w:instrText>
      </w:r>
      <w:r w:rsidR="00FC123E">
        <w:rPr>
          <w:rFonts w:cs="FrankRuehl"/>
          <w:sz w:val="26"/>
          <w:rtl/>
        </w:rPr>
        <w:instrText xml:space="preserve"> </w:instrText>
      </w:r>
      <w:r w:rsidR="00A05D53" w:rsidRPr="00FC123E">
        <w:rPr>
          <w:rFonts w:cs="FrankRuehl"/>
          <w:sz w:val="26"/>
        </w:rPr>
      </w:r>
      <w:r w:rsidR="00FC123E">
        <w:rPr>
          <w:rFonts w:cs="FrankRuehl"/>
          <w:sz w:val="26"/>
          <w:rtl/>
        </w:rPr>
        <w:fldChar w:fldCharType="end"/>
      </w:r>
      <w:bookmarkEnd w:id="9"/>
      <w:r w:rsidR="00FC123E">
        <w:rPr>
          <w:rFonts w:cs="FrankRuehl" w:hint="cs"/>
          <w:sz w:val="26"/>
          <w:rtl/>
        </w:rPr>
        <w:t xml:space="preserve"> </w:t>
      </w:r>
      <w:r w:rsidR="00FC123E">
        <w:rPr>
          <w:rFonts w:cs="FrankRuehl"/>
          <w:sz w:val="26"/>
          <w:rtl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10" w:name="Text3"/>
      <w:r w:rsidR="00FC123E">
        <w:rPr>
          <w:rFonts w:cs="FrankRuehl"/>
          <w:sz w:val="26"/>
          <w:rtl/>
        </w:rPr>
        <w:instrText xml:space="preserve"> </w:instrText>
      </w:r>
      <w:r w:rsidR="00FC123E">
        <w:rPr>
          <w:rFonts w:cs="FrankRuehl" w:hint="cs"/>
          <w:sz w:val="26"/>
        </w:rPr>
        <w:instrText>FORMTEXT</w:instrText>
      </w:r>
      <w:r w:rsidR="00FC123E">
        <w:rPr>
          <w:rFonts w:cs="FrankRuehl"/>
          <w:sz w:val="26"/>
          <w:rtl/>
        </w:rPr>
        <w:instrText xml:space="preserve"> </w:instrText>
      </w:r>
      <w:r w:rsidR="00A05D53" w:rsidRPr="00FC123E">
        <w:rPr>
          <w:rFonts w:cs="FrankRuehl"/>
          <w:sz w:val="26"/>
        </w:rPr>
      </w:r>
      <w:r w:rsidR="00FC123E">
        <w:rPr>
          <w:rFonts w:cs="FrankRuehl"/>
          <w:sz w:val="26"/>
          <w:rtl/>
        </w:rPr>
        <w:fldChar w:fldCharType="separate"/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FC123E">
        <w:rPr>
          <w:rFonts w:cs="FrankRuehl"/>
          <w:sz w:val="26"/>
          <w:rtl/>
        </w:rPr>
        <w:fldChar w:fldCharType="end"/>
      </w:r>
      <w:bookmarkEnd w:id="10"/>
      <w:r>
        <w:rPr>
          <w:rFonts w:cs="FrankRuehl" w:hint="cs"/>
          <w:sz w:val="26"/>
          <w:rtl/>
        </w:rPr>
        <w:t xml:space="preserve"> </w:t>
      </w:r>
    </w:p>
    <w:p w:rsidR="00E9487E" w:rsidRDefault="00E9487E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ע</w:t>
      </w:r>
      <w:r>
        <w:rPr>
          <w:rFonts w:cs="FrankRuehl" w:hint="cs"/>
          <w:sz w:val="26"/>
          <w:rtl/>
        </w:rPr>
        <w:t xml:space="preserve">ן אישי </w:t>
      </w:r>
      <w:r w:rsidR="00FC123E">
        <w:rPr>
          <w:rFonts w:cs="FrankRuehl"/>
          <w:sz w:val="26"/>
          <w:rtl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1" w:name="Text4"/>
      <w:r w:rsidR="00FC123E">
        <w:rPr>
          <w:rFonts w:cs="FrankRuehl"/>
          <w:sz w:val="26"/>
          <w:rtl/>
        </w:rPr>
        <w:instrText xml:space="preserve"> </w:instrText>
      </w:r>
      <w:r w:rsidR="00FC123E">
        <w:rPr>
          <w:rFonts w:cs="FrankRuehl"/>
          <w:sz w:val="26"/>
        </w:rPr>
        <w:instrText>FORMTEXT</w:instrText>
      </w:r>
      <w:r w:rsidR="00FC123E">
        <w:rPr>
          <w:rFonts w:cs="FrankRuehl"/>
          <w:sz w:val="26"/>
          <w:rtl/>
        </w:rPr>
        <w:instrText xml:space="preserve"> </w:instrText>
      </w:r>
      <w:r w:rsidR="00A05D53" w:rsidRPr="00FC123E">
        <w:rPr>
          <w:rFonts w:cs="FrankRuehl"/>
          <w:sz w:val="26"/>
        </w:rPr>
      </w:r>
      <w:r w:rsidR="00FC123E">
        <w:rPr>
          <w:rFonts w:cs="FrankRuehl"/>
          <w:sz w:val="26"/>
          <w:rtl/>
        </w:rPr>
        <w:fldChar w:fldCharType="separate"/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FC123E">
        <w:rPr>
          <w:rFonts w:cs="FrankRuehl"/>
          <w:sz w:val="26"/>
          <w:rtl/>
        </w:rPr>
        <w:fldChar w:fldCharType="end"/>
      </w:r>
      <w:bookmarkEnd w:id="11"/>
    </w:p>
    <w:p w:rsidR="00E9487E" w:rsidRDefault="00E9487E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ם</w:t>
      </w:r>
      <w:r>
        <w:rPr>
          <w:rFonts w:cs="FrankRuehl" w:hint="cs"/>
          <w:sz w:val="26"/>
          <w:rtl/>
        </w:rPr>
        <w:t xml:space="preserve"> בית העסק </w:t>
      </w:r>
      <w:r w:rsidR="00FC123E">
        <w:rPr>
          <w:rFonts w:cs="FrankRuehl"/>
          <w:sz w:val="26"/>
          <w:rtl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2" w:name="Text5"/>
      <w:r w:rsidR="00FC123E">
        <w:rPr>
          <w:rFonts w:cs="FrankRuehl"/>
          <w:sz w:val="26"/>
          <w:rtl/>
        </w:rPr>
        <w:instrText xml:space="preserve"> </w:instrText>
      </w:r>
      <w:r w:rsidR="00FC123E">
        <w:rPr>
          <w:rFonts w:cs="FrankRuehl"/>
          <w:sz w:val="26"/>
        </w:rPr>
        <w:instrText>FORMTEXT</w:instrText>
      </w:r>
      <w:r w:rsidR="00FC123E">
        <w:rPr>
          <w:rFonts w:cs="FrankRuehl"/>
          <w:sz w:val="26"/>
          <w:rtl/>
        </w:rPr>
        <w:instrText xml:space="preserve"> </w:instrText>
      </w:r>
      <w:r w:rsidR="00A05D53" w:rsidRPr="00FC123E">
        <w:rPr>
          <w:rFonts w:cs="FrankRuehl"/>
          <w:sz w:val="26"/>
        </w:rPr>
      </w:r>
      <w:r w:rsidR="00FC123E">
        <w:rPr>
          <w:rFonts w:cs="FrankRuehl"/>
          <w:sz w:val="26"/>
          <w:rtl/>
        </w:rPr>
        <w:fldChar w:fldCharType="separate"/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FC123E">
        <w:rPr>
          <w:rFonts w:cs="FrankRuehl"/>
          <w:sz w:val="26"/>
          <w:rtl/>
        </w:rPr>
        <w:fldChar w:fldCharType="end"/>
      </w:r>
      <w:bookmarkEnd w:id="12"/>
    </w:p>
    <w:p w:rsidR="00E9487E" w:rsidRDefault="00E9487E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ע</w:t>
      </w:r>
      <w:r>
        <w:rPr>
          <w:rFonts w:cs="FrankRuehl" w:hint="cs"/>
          <w:sz w:val="26"/>
          <w:rtl/>
        </w:rPr>
        <w:t xml:space="preserve">נו </w:t>
      </w:r>
      <w:r w:rsidR="00FC123E">
        <w:rPr>
          <w:rFonts w:cs="FrankRuehl"/>
          <w:sz w:val="26"/>
          <w:rtl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3" w:name="Text6"/>
      <w:r w:rsidR="00FC123E">
        <w:rPr>
          <w:rFonts w:cs="FrankRuehl"/>
          <w:sz w:val="26"/>
          <w:rtl/>
        </w:rPr>
        <w:instrText xml:space="preserve"> </w:instrText>
      </w:r>
      <w:r w:rsidR="00FC123E">
        <w:rPr>
          <w:rFonts w:cs="FrankRuehl"/>
          <w:sz w:val="26"/>
        </w:rPr>
        <w:instrText>FORMTEXT</w:instrText>
      </w:r>
      <w:r w:rsidR="00FC123E">
        <w:rPr>
          <w:rFonts w:cs="FrankRuehl"/>
          <w:sz w:val="26"/>
          <w:rtl/>
        </w:rPr>
        <w:instrText xml:space="preserve"> </w:instrText>
      </w:r>
      <w:r w:rsidR="00A05D53" w:rsidRPr="00FC123E">
        <w:rPr>
          <w:rFonts w:cs="FrankRuehl"/>
          <w:sz w:val="26"/>
        </w:rPr>
      </w:r>
      <w:r w:rsidR="00FC123E">
        <w:rPr>
          <w:rFonts w:cs="FrankRuehl"/>
          <w:sz w:val="26"/>
          <w:rtl/>
        </w:rPr>
        <w:fldChar w:fldCharType="separate"/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FC123E">
        <w:rPr>
          <w:rFonts w:cs="FrankRuehl"/>
          <w:sz w:val="26"/>
          <w:rtl/>
        </w:rPr>
        <w:fldChar w:fldCharType="end"/>
      </w:r>
      <w:bookmarkEnd w:id="13"/>
    </w:p>
    <w:p w:rsidR="00E9487E" w:rsidRDefault="00E9487E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 xml:space="preserve">גרה </w:t>
      </w:r>
      <w:r w:rsidR="00FC123E">
        <w:rPr>
          <w:rFonts w:cs="FrankRuehl"/>
          <w:sz w:val="26"/>
          <w:rtl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4" w:name="Text7"/>
      <w:r w:rsidR="00FC123E">
        <w:rPr>
          <w:rFonts w:cs="FrankRuehl"/>
          <w:sz w:val="26"/>
          <w:rtl/>
        </w:rPr>
        <w:instrText xml:space="preserve"> </w:instrText>
      </w:r>
      <w:r w:rsidR="00FC123E">
        <w:rPr>
          <w:rFonts w:cs="FrankRuehl"/>
          <w:sz w:val="26"/>
        </w:rPr>
        <w:instrText>FORMTEXT</w:instrText>
      </w:r>
      <w:r w:rsidR="00FC123E">
        <w:rPr>
          <w:rFonts w:cs="FrankRuehl"/>
          <w:sz w:val="26"/>
          <w:rtl/>
        </w:rPr>
        <w:instrText xml:space="preserve"> </w:instrText>
      </w:r>
      <w:r w:rsidR="00A05D53" w:rsidRPr="00FC123E">
        <w:rPr>
          <w:rFonts w:cs="FrankRuehl"/>
          <w:sz w:val="26"/>
        </w:rPr>
      </w:r>
      <w:r w:rsidR="00FC123E">
        <w:rPr>
          <w:rFonts w:cs="FrankRuehl"/>
          <w:sz w:val="26"/>
          <w:rtl/>
        </w:rPr>
        <w:fldChar w:fldCharType="separate"/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FC123E">
        <w:rPr>
          <w:rFonts w:cs="FrankRuehl"/>
          <w:sz w:val="26"/>
          <w:rtl/>
        </w:rPr>
        <w:fldChar w:fldCharType="end"/>
      </w:r>
      <w:bookmarkEnd w:id="14"/>
    </w:p>
    <w:p w:rsidR="00E9487E" w:rsidRDefault="00E9487E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 xml:space="preserve">קף הרשיון עד 31 בדצמבר </w:t>
      </w:r>
      <w:r w:rsidR="00FC123E">
        <w:rPr>
          <w:rFonts w:cs="FrankRuehl"/>
          <w:sz w:val="26"/>
          <w:rtl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5" w:name="Text8"/>
      <w:r w:rsidR="00FC123E">
        <w:rPr>
          <w:rFonts w:cs="FrankRuehl"/>
          <w:sz w:val="26"/>
          <w:rtl/>
        </w:rPr>
        <w:instrText xml:space="preserve"> </w:instrText>
      </w:r>
      <w:r w:rsidR="00FC123E">
        <w:rPr>
          <w:rFonts w:cs="FrankRuehl" w:hint="cs"/>
          <w:sz w:val="26"/>
        </w:rPr>
        <w:instrText>FORMTEXT</w:instrText>
      </w:r>
      <w:r w:rsidR="00FC123E">
        <w:rPr>
          <w:rFonts w:cs="FrankRuehl"/>
          <w:sz w:val="26"/>
          <w:rtl/>
        </w:rPr>
        <w:instrText xml:space="preserve"> </w:instrText>
      </w:r>
      <w:r w:rsidR="00A05D53" w:rsidRPr="00FC123E">
        <w:rPr>
          <w:rFonts w:cs="FrankRuehl"/>
          <w:sz w:val="26"/>
        </w:rPr>
      </w:r>
      <w:r w:rsidR="00FC123E">
        <w:rPr>
          <w:rFonts w:cs="FrankRuehl"/>
          <w:sz w:val="26"/>
          <w:rtl/>
        </w:rPr>
        <w:fldChar w:fldCharType="separate"/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787B49">
        <w:rPr>
          <w:rFonts w:cs="FrankRuehl"/>
          <w:sz w:val="26"/>
          <w:rtl/>
        </w:rPr>
        <w:t> </w:t>
      </w:r>
      <w:r w:rsidR="00FC123E">
        <w:rPr>
          <w:rFonts w:cs="FrankRuehl"/>
          <w:sz w:val="26"/>
          <w:rtl/>
        </w:rPr>
        <w:fldChar w:fldCharType="end"/>
      </w:r>
      <w:bookmarkEnd w:id="15"/>
    </w:p>
    <w:p w:rsidR="00E9487E" w:rsidRDefault="00E9487E">
      <w:pPr>
        <w:pStyle w:val="P00"/>
        <w:spacing w:before="72"/>
        <w:ind w:left="0" w:right="1134"/>
        <w:rPr>
          <w:rFonts w:cs="FrankRuehl"/>
          <w:sz w:val="26"/>
          <w:rtl/>
        </w:rPr>
      </w:pPr>
      <w:r w:rsidRPr="00FC123E">
        <w:rPr>
          <w:rFonts w:cs="FrankRuehl" w:hint="cs"/>
          <w:b/>
          <w:bCs/>
          <w:sz w:val="22"/>
          <w:szCs w:val="22"/>
          <w:rtl/>
        </w:rPr>
        <w:t>ת</w:t>
      </w:r>
      <w:r w:rsidRPr="00FC123E">
        <w:rPr>
          <w:rFonts w:cs="FrankRuehl"/>
          <w:b/>
          <w:bCs/>
          <w:sz w:val="22"/>
          <w:szCs w:val="22"/>
          <w:rtl/>
        </w:rPr>
        <w:t>נ</w:t>
      </w:r>
      <w:r w:rsidRPr="00FC123E">
        <w:rPr>
          <w:rFonts w:cs="FrankRuehl" w:hint="cs"/>
          <w:b/>
          <w:bCs/>
          <w:sz w:val="22"/>
          <w:szCs w:val="22"/>
          <w:rtl/>
        </w:rPr>
        <w:t>אי הרשיון</w:t>
      </w:r>
      <w:r>
        <w:rPr>
          <w:rFonts w:cs="FrankRuehl" w:hint="cs"/>
          <w:sz w:val="26"/>
          <w:rtl/>
        </w:rPr>
        <w:t>:</w:t>
      </w:r>
    </w:p>
    <w:p w:rsidR="00E9487E" w:rsidRDefault="00E9487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א.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הסוחר יצויין על גבי שלט בגודל 20 ס"מ </w:t>
      </w:r>
      <w:r>
        <w:rPr>
          <w:rStyle w:val="default"/>
          <w:rFonts w:cs="FrankRuehl"/>
          <w:sz w:val="20"/>
        </w:rPr>
        <w:t xml:space="preserve"> X</w:t>
      </w:r>
      <w:r>
        <w:rPr>
          <w:rStyle w:val="default"/>
          <w:rFonts w:cs="FrankRuehl"/>
          <w:rtl/>
        </w:rPr>
        <w:t>10 ס</w:t>
      </w:r>
      <w:r>
        <w:rPr>
          <w:rStyle w:val="default"/>
          <w:rFonts w:cs="FrankRuehl" w:hint="cs"/>
          <w:rtl/>
        </w:rPr>
        <w:t>"מ לפחות, שייקבע בחזית בית-העסק, במקום הנראה לעין.</w:t>
      </w:r>
    </w:p>
    <w:p w:rsidR="00E9487E" w:rsidRDefault="00E9487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ב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 xml:space="preserve"> להציג רשיון זה במקום בולט ונראה לעין בבית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עסק.</w:t>
      </w:r>
    </w:p>
    <w:p w:rsidR="00E9487E" w:rsidRDefault="00E9487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ג.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יון זה אינו ניתן להעברה ותקפו יפקע עם העברת הבעלות או השליטה בעסק.</w:t>
      </w:r>
    </w:p>
    <w:p w:rsidR="00E9487E" w:rsidRDefault="00E9487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ד.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יון זה תקף למסחר בעתיקות במען הנקוב לעיל בלבד.</w:t>
      </w:r>
    </w:p>
    <w:p w:rsidR="00E9487E" w:rsidRDefault="00E9487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4" style="position:absolute;left:0;text-align:left;margin-left:464.5pt;margin-top:8.05pt;width:75.05pt;height:12.3pt;z-index:251661312" o:allowincell="f" filled="f" stroked="f" strokecolor="lime" strokeweight=".25pt">
            <v:textbox inset="0,0,0,0">
              <w:txbxContent>
                <w:p w:rsidR="00E9487E" w:rsidRDefault="00E9487E" w:rsidP="00FC12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מ"ז</w:t>
                  </w:r>
                  <w:r w:rsidR="00FC123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ה.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הרשיון יקבע בבית העסק, במקום הנראה לעין, שלט, שיסופק לו על ידי האגף ושבו תירשם, בשפה העברית, בשפה הערבית ובשפה האנגלי</w:t>
      </w:r>
      <w:r>
        <w:rPr>
          <w:rStyle w:val="default"/>
          <w:rFonts w:cs="FrankRuehl"/>
          <w:rtl/>
        </w:rPr>
        <w:t xml:space="preserve">ת, </w:t>
      </w:r>
      <w:r>
        <w:rPr>
          <w:rStyle w:val="default"/>
          <w:rFonts w:cs="FrankRuehl" w:hint="cs"/>
          <w:rtl/>
        </w:rPr>
        <w:t>אזהרה לרוכשי העתיקות שלפיה אסור להוציא עתיקות מישראל אלא בהתאם לאמ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 בסעיף 22 לחוק.</w:t>
      </w:r>
    </w:p>
    <w:p w:rsidR="00E9487E" w:rsidRDefault="00FC123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70.25pt;margin-top:7.1pt;width:1in;height:9.85pt;z-index:251662336" filled="f" stroked="f">
            <v:textbox inset="1mm,0,1mm,0">
              <w:txbxContent>
                <w:p w:rsidR="00FC123E" w:rsidRDefault="00FC123E" w:rsidP="00FC12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shape>
        </w:pict>
      </w:r>
      <w:r w:rsidR="00E9487E">
        <w:rPr>
          <w:rFonts w:cs="FrankRuehl"/>
          <w:sz w:val="26"/>
          <w:rtl/>
        </w:rPr>
        <w:t>ו.</w:t>
      </w:r>
      <w:r w:rsidR="00E9487E">
        <w:rPr>
          <w:rFonts w:cs="FrankRuehl"/>
          <w:sz w:val="26"/>
          <w:rtl/>
        </w:rPr>
        <w:tab/>
      </w:r>
      <w:r w:rsidR="00E9487E">
        <w:rPr>
          <w:rStyle w:val="default"/>
          <w:rFonts w:cs="FrankRuehl"/>
          <w:rtl/>
        </w:rPr>
        <w:t>(ת</w:t>
      </w:r>
      <w:r w:rsidR="00E9487E">
        <w:rPr>
          <w:rStyle w:val="default"/>
          <w:rFonts w:cs="FrankRuehl" w:hint="cs"/>
          <w:rtl/>
        </w:rPr>
        <w:t>נאים נוספים).</w:t>
      </w:r>
    </w:p>
    <w:p w:rsidR="00E9487E" w:rsidRDefault="00E9487E" w:rsidP="00FC12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bookmarkStart w:id="16" w:name="Text9"/>
    <w:p w:rsidR="00FC123E" w:rsidRDefault="00FC123E" w:rsidP="00FC123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Text9"/>
            <w:enabled/>
            <w:calcOnExit w:val="0"/>
            <w:textInput>
              <w:default w:val="תאריך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A05D53" w:rsidRPr="00FC123E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787B49">
        <w:rPr>
          <w:rStyle w:val="default"/>
          <w:rFonts w:cs="FrankRuehl"/>
          <w:rtl/>
        </w:rPr>
        <w:t>תאריך</w:t>
      </w:r>
      <w:r>
        <w:rPr>
          <w:rStyle w:val="default"/>
          <w:rFonts w:cs="FrankRuehl"/>
          <w:rtl/>
        </w:rPr>
        <w:fldChar w:fldCharType="end"/>
      </w:r>
      <w:bookmarkEnd w:id="16"/>
      <w:r>
        <w:rPr>
          <w:rStyle w:val="default"/>
          <w:rFonts w:cs="FrankRuehl" w:hint="cs"/>
          <w:rtl/>
        </w:rPr>
        <w:tab/>
        <w:t>____________</w:t>
      </w:r>
    </w:p>
    <w:p w:rsidR="00FC123E" w:rsidRPr="00FC123E" w:rsidRDefault="00FC123E" w:rsidP="00FC123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FC123E">
        <w:rPr>
          <w:rStyle w:val="default"/>
          <w:rFonts w:cs="FrankRuehl" w:hint="cs"/>
          <w:sz w:val="22"/>
          <w:szCs w:val="22"/>
          <w:rtl/>
        </w:rPr>
        <w:tab/>
        <w:t>המנהל</w:t>
      </w:r>
    </w:p>
    <w:p w:rsidR="00E9487E" w:rsidRPr="00FC123E" w:rsidRDefault="00E948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E1E4B" w:rsidRPr="00FC123E" w:rsidRDefault="00BE1E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9487E" w:rsidRDefault="00E9487E" w:rsidP="0053253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י' </w:t>
      </w:r>
      <w:r>
        <w:rPr>
          <w:rFonts w:cs="FrankRuehl" w:hint="cs"/>
          <w:sz w:val="26"/>
          <w:rtl/>
        </w:rPr>
        <w:t>בניסן תשמ"ד (12 באפריל 1984)</w:t>
      </w:r>
      <w:r>
        <w:rPr>
          <w:rFonts w:cs="FrankRuehl"/>
          <w:sz w:val="26"/>
          <w:rtl/>
        </w:rPr>
        <w:tab/>
        <w:t>ז</w:t>
      </w:r>
      <w:r>
        <w:rPr>
          <w:rFonts w:cs="FrankRuehl" w:hint="cs"/>
          <w:sz w:val="26"/>
          <w:rtl/>
        </w:rPr>
        <w:t>בולון המר</w:t>
      </w:r>
    </w:p>
    <w:p w:rsidR="00E9487E" w:rsidRDefault="00E9487E" w:rsidP="0053253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החינוך והתרבות</w:t>
      </w:r>
    </w:p>
    <w:p w:rsidR="00FC123E" w:rsidRPr="00FC123E" w:rsidRDefault="00FC123E" w:rsidP="00FC12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C123E" w:rsidRPr="00FC123E" w:rsidRDefault="00FC123E" w:rsidP="00FC12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9487E" w:rsidRPr="00FC123E" w:rsidRDefault="00E9487E" w:rsidP="00FC12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LawPartEnd"/>
    </w:p>
    <w:bookmarkEnd w:id="17"/>
    <w:p w:rsidR="00A042BD" w:rsidRPr="00CC23B8" w:rsidRDefault="00A042BD" w:rsidP="00A042BD">
      <w:pPr>
        <w:ind w:right="1134"/>
        <w:rPr>
          <w:rFonts w:cs="David" w:hint="cs"/>
          <w:sz w:val="16"/>
          <w:szCs w:val="16"/>
          <w:rtl/>
        </w:rPr>
      </w:pPr>
      <w:r w:rsidRPr="00CC23B8">
        <w:rPr>
          <w:rFonts w:cs="David" w:hint="cs"/>
          <w:sz w:val="16"/>
          <w:szCs w:val="16"/>
          <w:rtl/>
        </w:rPr>
        <w:t>גפני</w:t>
      </w:r>
    </w:p>
    <w:p w:rsidR="00787B49" w:rsidRDefault="00787B49" w:rsidP="00FC12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87B49" w:rsidRDefault="00787B49" w:rsidP="00FC12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87B49" w:rsidRDefault="00787B49" w:rsidP="00787B4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0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E9487E" w:rsidRPr="00787B49" w:rsidRDefault="00E9487E" w:rsidP="00787B4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9487E" w:rsidRPr="00787B49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1AF9" w:rsidRDefault="001A1AF9">
      <w:r>
        <w:separator/>
      </w:r>
    </w:p>
  </w:endnote>
  <w:endnote w:type="continuationSeparator" w:id="0">
    <w:p w:rsidR="001A1AF9" w:rsidRDefault="001A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487E" w:rsidRDefault="00E9487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9487E" w:rsidRDefault="00E9487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9487E" w:rsidRDefault="00E9487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1E4B">
      <w:rPr>
        <w:rFonts w:cs="TopType Jerushalmi"/>
        <w:noProof/>
        <w:color w:val="000000"/>
        <w:sz w:val="14"/>
        <w:szCs w:val="14"/>
      </w:rPr>
      <w:t>D:\Yael\hakika\Revadim\p186_010.doc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487E" w:rsidRDefault="00E9487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87B49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E9487E" w:rsidRDefault="00E9487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9487E" w:rsidRDefault="00E9487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1E4B">
      <w:rPr>
        <w:rFonts w:cs="TopType Jerushalmi"/>
        <w:noProof/>
        <w:color w:val="000000"/>
        <w:sz w:val="14"/>
        <w:szCs w:val="14"/>
      </w:rPr>
      <w:t>D:\Yael\hakika\Revadim\p186_010.doc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1AF9" w:rsidRDefault="001A1AF9" w:rsidP="00BE1E4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A1AF9" w:rsidRDefault="001A1AF9">
      <w:r>
        <w:continuationSeparator/>
      </w:r>
    </w:p>
  </w:footnote>
  <w:footnote w:id="1">
    <w:p w:rsidR="00BE1E4B" w:rsidRDefault="00BE1E4B" w:rsidP="00BE1E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BE1E4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CC4C19">
          <w:rPr>
            <w:rStyle w:val="Hyperlink"/>
            <w:rFonts w:cs="FrankRuehl" w:hint="cs"/>
            <w:rtl/>
          </w:rPr>
          <w:t>ק"ת תשמ"ד מס' 4631</w:t>
        </w:r>
      </w:hyperlink>
      <w:r>
        <w:rPr>
          <w:rFonts w:cs="FrankRuehl" w:hint="cs"/>
          <w:rtl/>
        </w:rPr>
        <w:t xml:space="preserve"> מיום 21.5.1984 עמ' 15</w:t>
      </w:r>
      <w:r>
        <w:rPr>
          <w:rFonts w:cs="FrankRuehl"/>
          <w:rtl/>
        </w:rPr>
        <w:t>03.</w:t>
      </w:r>
    </w:p>
    <w:p w:rsidR="00BE1E4B" w:rsidRDefault="00BE1E4B" w:rsidP="00BE1E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r w:rsidR="005B6CFF">
        <w:rPr>
          <w:rFonts w:cs="FrankRuehl" w:hint="cs"/>
          <w:rtl/>
        </w:rPr>
        <w:t xml:space="preserve">*** </w:t>
      </w:r>
      <w:hyperlink r:id="rId2" w:history="1">
        <w:r w:rsidRPr="00CC4C19">
          <w:rPr>
            <w:rStyle w:val="Hyperlink"/>
            <w:rFonts w:cs="FrankRuehl" w:hint="cs"/>
            <w:rtl/>
          </w:rPr>
          <w:t>ק"ת תשמ"ה מס' 4800</w:t>
        </w:r>
      </w:hyperlink>
      <w:r>
        <w:rPr>
          <w:rFonts w:cs="FrankRuehl" w:hint="cs"/>
          <w:rtl/>
        </w:rPr>
        <w:t xml:space="preserve"> מיום 5.5.1985 עמ' 1224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תשמ"ה-1985.</w:t>
      </w:r>
      <w:r w:rsidR="005B6CFF">
        <w:rPr>
          <w:rFonts w:cs="FrankRuehl" w:hint="cs"/>
          <w:rtl/>
        </w:rPr>
        <w:t xml:space="preserve"> ###</w:t>
      </w:r>
    </w:p>
    <w:p w:rsidR="00BE1E4B" w:rsidRDefault="00BE1E4B" w:rsidP="00BE1E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CC4C19">
          <w:rPr>
            <w:rStyle w:val="Hyperlink"/>
            <w:rFonts w:cs="FrankRuehl" w:hint="cs"/>
            <w:rtl/>
          </w:rPr>
          <w:t>ק</w:t>
        </w:r>
        <w:r w:rsidRPr="00CC4C19">
          <w:rPr>
            <w:rStyle w:val="Hyperlink"/>
            <w:rFonts w:cs="FrankRuehl"/>
            <w:rtl/>
          </w:rPr>
          <w:t>"</w:t>
        </w:r>
        <w:r w:rsidRPr="00CC4C19">
          <w:rPr>
            <w:rStyle w:val="Hyperlink"/>
            <w:rFonts w:cs="FrankRuehl" w:hint="cs"/>
            <w:rtl/>
          </w:rPr>
          <w:t>ת תשמ"ו מס' 4946</w:t>
        </w:r>
      </w:hyperlink>
      <w:r>
        <w:rPr>
          <w:rFonts w:cs="FrankRuehl" w:hint="cs"/>
          <w:rtl/>
        </w:rPr>
        <w:t xml:space="preserve"> מיום 7.7.1986 עמ' 1100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תשמ"ו-1986.</w:t>
      </w:r>
    </w:p>
    <w:p w:rsidR="00226995" w:rsidRDefault="00BE1E4B" w:rsidP="005B6CF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CC4C19">
          <w:rPr>
            <w:rStyle w:val="Hyperlink"/>
            <w:rFonts w:cs="FrankRuehl" w:hint="cs"/>
            <w:rtl/>
          </w:rPr>
          <w:t>ק</w:t>
        </w:r>
        <w:r w:rsidRPr="00CC4C19">
          <w:rPr>
            <w:rStyle w:val="Hyperlink"/>
            <w:rFonts w:cs="FrankRuehl"/>
            <w:rtl/>
          </w:rPr>
          <w:t>"</w:t>
        </w:r>
        <w:r w:rsidRPr="00CC4C19">
          <w:rPr>
            <w:rStyle w:val="Hyperlink"/>
            <w:rFonts w:cs="FrankRuehl" w:hint="cs"/>
            <w:rtl/>
          </w:rPr>
          <w:t>ת תשמ"ז מ</w:t>
        </w:r>
        <w:r w:rsidRPr="00CC4C19">
          <w:rPr>
            <w:rStyle w:val="Hyperlink"/>
            <w:rFonts w:cs="FrankRuehl" w:hint="cs"/>
            <w:rtl/>
          </w:rPr>
          <w:t>ס</w:t>
        </w:r>
        <w:r w:rsidRPr="00CC4C19">
          <w:rPr>
            <w:rStyle w:val="Hyperlink"/>
            <w:rFonts w:cs="FrankRuehl" w:hint="cs"/>
            <w:rtl/>
          </w:rPr>
          <w:t>' 4983</w:t>
        </w:r>
      </w:hyperlink>
      <w:r>
        <w:rPr>
          <w:rFonts w:cs="FrankRuehl" w:hint="cs"/>
          <w:rtl/>
        </w:rPr>
        <w:t xml:space="preserve"> מיום 30.11.1986 עמ' 140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תשמ"ז-</w:t>
      </w:r>
      <w:r>
        <w:rPr>
          <w:rFonts w:cs="FrankRuehl"/>
          <w:rtl/>
        </w:rPr>
        <w:t xml:space="preserve">1986; </w:t>
      </w:r>
      <w:r w:rsidR="005B6CFF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 xml:space="preserve">תחילתן 30 ימים מיום פרסומן </w:t>
      </w:r>
      <w:r w:rsidR="00FC123E">
        <w:rPr>
          <w:rFonts w:cs="FrankRuehl" w:hint="cs"/>
          <w:rtl/>
        </w:rPr>
        <w:t>ור' תקנה</w:t>
      </w:r>
      <w:r>
        <w:rPr>
          <w:rFonts w:cs="FrankRuehl" w:hint="cs"/>
          <w:rtl/>
        </w:rPr>
        <w:t xml:space="preserve"> 2 לענין תחולה.</w:t>
      </w:r>
      <w:r w:rsidR="005B6CFF">
        <w:rPr>
          <w:rFonts w:cs="FrankRuehl" w:hint="cs"/>
          <w:rtl/>
        </w:rPr>
        <w:t xml:space="preserve"> </w:t>
      </w:r>
      <w:r w:rsidR="00226995">
        <w:rPr>
          <w:rFonts w:cs="FrankRuehl" w:hint="cs"/>
          <w:rtl/>
        </w:rPr>
        <w:t>$$$</w:t>
      </w:r>
      <w:r w:rsidR="005B6CFF">
        <w:rPr>
          <w:rFonts w:cs="FrankRuehl" w:hint="cs"/>
          <w:rtl/>
        </w:rPr>
        <w:t xml:space="preserve"> 2. </w:t>
      </w:r>
      <w:r w:rsidR="00226995">
        <w:rPr>
          <w:rFonts w:cs="FrankRuehl" w:hint="cs"/>
          <w:rtl/>
        </w:rPr>
        <w:t>הוראת תקנה 1 תחול גם על מי שהיה בעל רשי</w:t>
      </w:r>
      <w:r w:rsidR="005B6CFF">
        <w:rPr>
          <w:rFonts w:cs="FrankRuehl" w:hint="cs"/>
          <w:rtl/>
        </w:rPr>
        <w:t xml:space="preserve">ון תקף ערב תחילתן של תקנות אלה. ### </w:t>
      </w:r>
      <w:r w:rsidR="00226995">
        <w:rPr>
          <w:rFonts w:cs="FrankRuehl" w:hint="cs"/>
          <w:rtl/>
        </w:rPr>
        <w:t>###</w:t>
      </w:r>
    </w:p>
    <w:p w:rsidR="00BE1E4B" w:rsidRDefault="00BE1E4B" w:rsidP="00BE1E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CC4C19">
          <w:rPr>
            <w:rStyle w:val="Hyperlink"/>
            <w:rFonts w:cs="FrankRuehl" w:hint="cs"/>
            <w:rtl/>
          </w:rPr>
          <w:t>ק</w:t>
        </w:r>
        <w:r w:rsidRPr="00CC4C19">
          <w:rPr>
            <w:rStyle w:val="Hyperlink"/>
            <w:rFonts w:cs="FrankRuehl"/>
            <w:rtl/>
          </w:rPr>
          <w:t>"</w:t>
        </w:r>
        <w:r w:rsidRPr="00CC4C19">
          <w:rPr>
            <w:rStyle w:val="Hyperlink"/>
            <w:rFonts w:cs="FrankRuehl" w:hint="cs"/>
            <w:rtl/>
          </w:rPr>
          <w:t>ת תשמ"ח מס' 5072</w:t>
        </w:r>
      </w:hyperlink>
      <w:r>
        <w:rPr>
          <w:rFonts w:cs="FrankRuehl" w:hint="cs"/>
          <w:rtl/>
        </w:rPr>
        <w:t xml:space="preserve"> מיום 25.12.1987 עמ' 285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323446">
        <w:rPr>
          <w:rFonts w:cs="FrankRuehl" w:hint="cs"/>
          <w:rtl/>
        </w:rPr>
        <w:t>תק'</w:t>
      </w:r>
      <w:r>
        <w:rPr>
          <w:rFonts w:cs="FrankRuehl" w:hint="cs"/>
          <w:rtl/>
        </w:rPr>
        <w:t xml:space="preserve"> תשמ"ח-1987.</w:t>
      </w:r>
    </w:p>
    <w:p w:rsidR="00BE1E4B" w:rsidRPr="00BE1E4B" w:rsidRDefault="00BE1E4B" w:rsidP="00BE1E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6" w:history="1">
        <w:r w:rsidRPr="00CC4C19">
          <w:rPr>
            <w:rStyle w:val="Hyperlink"/>
            <w:rFonts w:cs="FrankRuehl" w:hint="cs"/>
            <w:rtl/>
          </w:rPr>
          <w:t>ק</w:t>
        </w:r>
        <w:r w:rsidRPr="00CC4C19">
          <w:rPr>
            <w:rStyle w:val="Hyperlink"/>
            <w:rFonts w:cs="FrankRuehl"/>
            <w:rtl/>
          </w:rPr>
          <w:t>"</w:t>
        </w:r>
        <w:r w:rsidRPr="00CC4C19">
          <w:rPr>
            <w:rStyle w:val="Hyperlink"/>
            <w:rFonts w:cs="FrankRuehl" w:hint="cs"/>
            <w:rtl/>
          </w:rPr>
          <w:t>ת תש</w:t>
        </w:r>
        <w:r w:rsidRPr="00CC4C19">
          <w:rPr>
            <w:rStyle w:val="Hyperlink"/>
            <w:rFonts w:cs="FrankRuehl"/>
            <w:rtl/>
          </w:rPr>
          <w:t>מ"</w:t>
        </w:r>
        <w:r w:rsidRPr="00CC4C19">
          <w:rPr>
            <w:rStyle w:val="Hyperlink"/>
            <w:rFonts w:cs="FrankRuehl" w:hint="cs"/>
            <w:rtl/>
          </w:rPr>
          <w:t>ט מס' 5148</w:t>
        </w:r>
      </w:hyperlink>
      <w:r>
        <w:rPr>
          <w:rFonts w:cs="FrankRuehl" w:hint="cs"/>
          <w:rtl/>
        </w:rPr>
        <w:t xml:space="preserve"> מיום 25.11.1988 עמ' 184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תשמ"ט-</w:t>
      </w:r>
      <w:r>
        <w:rPr>
          <w:rFonts w:cs="FrankRuehl"/>
          <w:rtl/>
        </w:rPr>
        <w:t xml:space="preserve">1988; </w:t>
      </w:r>
      <w:r w:rsidR="005B6CFF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תחילתה ביום 1.11.1988.</w:t>
      </w:r>
      <w:r w:rsidR="005B6CFF">
        <w:rPr>
          <w:rFonts w:cs="FrankRuehl" w:hint="cs"/>
          <w:rtl/>
        </w:rPr>
        <w:t xml:space="preserve"> ###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487E" w:rsidRDefault="00E9487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העתיקות (רשיון ואגרות), תשמ"ד–1984</w:t>
    </w:r>
  </w:p>
  <w:p w:rsidR="00E9487E" w:rsidRDefault="00E948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9487E" w:rsidRDefault="00E948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487E" w:rsidRDefault="00E9487E" w:rsidP="00BE1E4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העתיקות (רשיון ואגרות), תשמ"ד</w:t>
    </w:r>
    <w:r w:rsidR="00BE1E4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:rsidR="00E9487E" w:rsidRDefault="00E948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9487E" w:rsidRDefault="00E948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207B"/>
    <w:rsid w:val="00086560"/>
    <w:rsid w:val="000F0761"/>
    <w:rsid w:val="001A1AF9"/>
    <w:rsid w:val="001F066D"/>
    <w:rsid w:val="0020186F"/>
    <w:rsid w:val="00226995"/>
    <w:rsid w:val="00293699"/>
    <w:rsid w:val="002C1447"/>
    <w:rsid w:val="002D207B"/>
    <w:rsid w:val="00315B45"/>
    <w:rsid w:val="00323446"/>
    <w:rsid w:val="003452B7"/>
    <w:rsid w:val="00364A5F"/>
    <w:rsid w:val="003F5929"/>
    <w:rsid w:val="00463487"/>
    <w:rsid w:val="004D1C7F"/>
    <w:rsid w:val="004D6F15"/>
    <w:rsid w:val="0053253A"/>
    <w:rsid w:val="005443D6"/>
    <w:rsid w:val="005B6CFF"/>
    <w:rsid w:val="005B7363"/>
    <w:rsid w:val="0061030B"/>
    <w:rsid w:val="00721EEF"/>
    <w:rsid w:val="00725BC7"/>
    <w:rsid w:val="007659BA"/>
    <w:rsid w:val="00787B49"/>
    <w:rsid w:val="00791963"/>
    <w:rsid w:val="007E69EC"/>
    <w:rsid w:val="00825845"/>
    <w:rsid w:val="008941D4"/>
    <w:rsid w:val="008A1B24"/>
    <w:rsid w:val="00911087"/>
    <w:rsid w:val="009128CF"/>
    <w:rsid w:val="00913321"/>
    <w:rsid w:val="009316A1"/>
    <w:rsid w:val="0098066F"/>
    <w:rsid w:val="009B1091"/>
    <w:rsid w:val="009E7778"/>
    <w:rsid w:val="00A042BD"/>
    <w:rsid w:val="00A05D53"/>
    <w:rsid w:val="00A576CF"/>
    <w:rsid w:val="00A622F6"/>
    <w:rsid w:val="00AB7889"/>
    <w:rsid w:val="00AC0E54"/>
    <w:rsid w:val="00AC6A9C"/>
    <w:rsid w:val="00BD65CD"/>
    <w:rsid w:val="00BE1E4B"/>
    <w:rsid w:val="00BE3E4E"/>
    <w:rsid w:val="00C64BAB"/>
    <w:rsid w:val="00C86974"/>
    <w:rsid w:val="00CC4C19"/>
    <w:rsid w:val="00CD3D7C"/>
    <w:rsid w:val="00CE38BD"/>
    <w:rsid w:val="00CF1386"/>
    <w:rsid w:val="00D361CC"/>
    <w:rsid w:val="00D717A0"/>
    <w:rsid w:val="00E30D21"/>
    <w:rsid w:val="00E75EE7"/>
    <w:rsid w:val="00E80DBF"/>
    <w:rsid w:val="00E9487E"/>
    <w:rsid w:val="00EA31AF"/>
    <w:rsid w:val="00EC5EC0"/>
    <w:rsid w:val="00EE67C6"/>
    <w:rsid w:val="00F56DBA"/>
    <w:rsid w:val="00FC0E99"/>
    <w:rsid w:val="00FC123E"/>
    <w:rsid w:val="00FD0FCA"/>
    <w:rsid w:val="00FD12C9"/>
    <w:rsid w:val="00FD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FBDE99F-93A5-4311-9350-24889339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E1E4B"/>
    <w:rPr>
      <w:sz w:val="20"/>
      <w:szCs w:val="20"/>
    </w:rPr>
  </w:style>
  <w:style w:type="character" w:styleId="a6">
    <w:name w:val="footnote reference"/>
    <w:basedOn w:val="a0"/>
    <w:semiHidden/>
    <w:rsid w:val="00BE1E4B"/>
    <w:rPr>
      <w:vertAlign w:val="superscript"/>
    </w:rPr>
  </w:style>
  <w:style w:type="character" w:styleId="FollowedHyperlink">
    <w:name w:val="FollowedHyperlink"/>
    <w:basedOn w:val="a0"/>
    <w:rsid w:val="0022699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072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946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800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148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946.pdf" TargetMode="External"/><Relationship Id="rId2" Type="http://schemas.openxmlformats.org/officeDocument/2006/relationships/hyperlink" Target="http://www.nevo.co.il/Law_word/law06/TAK-4800.pdf" TargetMode="External"/><Relationship Id="rId1" Type="http://schemas.openxmlformats.org/officeDocument/2006/relationships/hyperlink" Target="http://www.nevo.co.il/Law_word/law06/TAK-4631.pdf" TargetMode="External"/><Relationship Id="rId6" Type="http://schemas.openxmlformats.org/officeDocument/2006/relationships/hyperlink" Target="http://www.nevo.co.il/Law_word/law06/TAK-5148.pdf" TargetMode="External"/><Relationship Id="rId5" Type="http://schemas.openxmlformats.org/officeDocument/2006/relationships/hyperlink" Target="http://www.nevo.co.il/Law_word/law06/TAK-5072.pdf" TargetMode="External"/><Relationship Id="rId4" Type="http://schemas.openxmlformats.org/officeDocument/2006/relationships/hyperlink" Target="http://www.nevo.co.il/Law_word/law06/TAK-49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186</vt:lpstr>
    </vt:vector>
  </TitlesOfParts>
  <Company/>
  <LinksUpToDate>false</LinksUpToDate>
  <CharactersWithSpaces>4628</CharactersWithSpaces>
  <SharedDoc>false</SharedDoc>
  <HLinks>
    <vt:vector size="102" baseType="variant">
      <vt:variant>
        <vt:i4>393283</vt:i4>
      </vt:variant>
      <vt:variant>
        <vt:i4>77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7864321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http://www.nevo.co.il/Law_word/law06/TAK-5148.pdf</vt:lpwstr>
      </vt:variant>
      <vt:variant>
        <vt:lpwstr/>
      </vt:variant>
      <vt:variant>
        <vt:i4>8060938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http://www.nevo.co.il/Law_word/law06/TAK-5072.pdf</vt:lpwstr>
      </vt:variant>
      <vt:variant>
        <vt:lpwstr/>
      </vt:variant>
      <vt:variant>
        <vt:i4>7929863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http://www.nevo.co.il/Law_word/law06/TAK-4946.pdf</vt:lpwstr>
      </vt:variant>
      <vt:variant>
        <vt:lpwstr/>
      </vt:variant>
      <vt:variant>
        <vt:i4>8192000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http://www.nevo.co.il/Law_word/law06/TAK-4800.pdf</vt:lpwstr>
      </vt:variant>
      <vt:variant>
        <vt:lpwstr/>
      </vt:variant>
      <vt:variant>
        <vt:i4>5570569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http://www.nevo.co.il/Law_word/law06/TAK-5148.pdf</vt:lpwstr>
      </vt:variant>
      <vt:variant>
        <vt:lpwstr/>
      </vt:variant>
      <vt:variant>
        <vt:i4>8060938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http://www.nevo.co.il/Law_word/law06/TAK-5072.pdf</vt:lpwstr>
      </vt:variant>
      <vt:variant>
        <vt:lpwstr/>
      </vt:variant>
      <vt:variant>
        <vt:i4>7667714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http://www.nevo.co.il/Law_word/law06/TAK-4983.pdf</vt:lpwstr>
      </vt:variant>
      <vt:variant>
        <vt:lpwstr/>
      </vt:variant>
      <vt:variant>
        <vt:i4>7929863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http://www.nevo.co.il/Law_word/law06/TAK-4946.pdf</vt:lpwstr>
      </vt:variant>
      <vt:variant>
        <vt:lpwstr/>
      </vt:variant>
      <vt:variant>
        <vt:i4>8192000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http://www.nevo.co.il/Law_word/law06/TAK-4800.pdf</vt:lpwstr>
      </vt:variant>
      <vt:variant>
        <vt:lpwstr/>
      </vt:variant>
      <vt:variant>
        <vt:i4>8257551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p186</vt:lpwstr>
  </property>
  <property fmtid="{D5CDD505-2E9C-101B-9397-08002B2CF9AE}" pid="3" name="CHNAME">
    <vt:lpwstr>עתיקות</vt:lpwstr>
  </property>
  <property fmtid="{D5CDD505-2E9C-101B-9397-08002B2CF9AE}" pid="4" name="LAWNAME">
    <vt:lpwstr>תקנות העתיקות (רשיון ואגרות), תשמ"ד-1984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MEKOR_NAME1">
    <vt:lpwstr>חוק העתיקות</vt:lpwstr>
  </property>
  <property fmtid="{D5CDD505-2E9C-101B-9397-08002B2CF9AE}" pid="8" name="MEKOR_SAIF1">
    <vt:lpwstr>15X;46XאX</vt:lpwstr>
  </property>
  <property fmtid="{D5CDD505-2E9C-101B-9397-08002B2CF9AE}" pid="9" name="MEKOR_NAME2">
    <vt:lpwstr>חוק-יסוד: משק המדינה</vt:lpwstr>
  </property>
  <property fmtid="{D5CDD505-2E9C-101B-9397-08002B2CF9AE}" pid="10" name="MEKOR_SAIF2">
    <vt:lpwstr>1XבX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עתיקות</vt:lpwstr>
  </property>
  <property fmtid="{D5CDD505-2E9C-101B-9397-08002B2CF9AE}" pid="13" name="NOSE31">
    <vt:lpwstr/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