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ABF" w:rsidRDefault="00D44AB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הפטנטים והמדגמים (סדרי הדין לפני ועדת ערעור), תשי"ב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1952</w:t>
      </w:r>
    </w:p>
    <w:p w:rsidR="00A07D00" w:rsidRDefault="00A07D00" w:rsidP="00A07D00">
      <w:pPr>
        <w:spacing w:line="320" w:lineRule="auto"/>
        <w:jc w:val="left"/>
        <w:rPr>
          <w:rFonts w:hint="cs"/>
          <w:rtl/>
        </w:rPr>
      </w:pPr>
    </w:p>
    <w:p w:rsidR="00634888" w:rsidRDefault="00634888" w:rsidP="00A07D00">
      <w:pPr>
        <w:spacing w:line="320" w:lineRule="auto"/>
        <w:jc w:val="left"/>
        <w:rPr>
          <w:rFonts w:hint="cs"/>
          <w:rtl/>
        </w:rPr>
      </w:pPr>
    </w:p>
    <w:p w:rsidR="00A07D00" w:rsidRDefault="00A07D00" w:rsidP="00A07D00">
      <w:pPr>
        <w:spacing w:line="320" w:lineRule="auto"/>
        <w:jc w:val="left"/>
        <w:rPr>
          <w:rFonts w:cs="FrankRuehl"/>
          <w:szCs w:val="26"/>
          <w:rtl/>
        </w:rPr>
      </w:pPr>
      <w:r w:rsidRPr="00A07D00">
        <w:rPr>
          <w:rFonts w:cs="Miriam"/>
          <w:szCs w:val="22"/>
          <w:rtl/>
        </w:rPr>
        <w:t>משפט פרטי וכלכלה</w:t>
      </w:r>
      <w:r w:rsidRPr="00A07D00">
        <w:rPr>
          <w:rFonts w:cs="FrankRuehl"/>
          <w:szCs w:val="26"/>
          <w:rtl/>
        </w:rPr>
        <w:t xml:space="preserve"> – קניין – קניין רוחני – פטנטים</w:t>
      </w:r>
    </w:p>
    <w:p w:rsidR="00A07D00" w:rsidRPr="00A07D00" w:rsidRDefault="00A07D00" w:rsidP="00A07D00">
      <w:pPr>
        <w:spacing w:line="320" w:lineRule="auto"/>
        <w:jc w:val="left"/>
        <w:rPr>
          <w:rFonts w:cs="Miriam"/>
          <w:szCs w:val="22"/>
          <w:rtl/>
        </w:rPr>
      </w:pPr>
      <w:r w:rsidRPr="00A07D00">
        <w:rPr>
          <w:rFonts w:cs="Miriam"/>
          <w:szCs w:val="22"/>
          <w:rtl/>
        </w:rPr>
        <w:t>משפט פרטי וכלכלה</w:t>
      </w:r>
      <w:r w:rsidRPr="00A07D00">
        <w:rPr>
          <w:rFonts w:cs="FrankRuehl"/>
          <w:szCs w:val="26"/>
          <w:rtl/>
        </w:rPr>
        <w:t xml:space="preserve"> – קניין – קניין רוחני – מדגמים</w:t>
      </w:r>
    </w:p>
    <w:p w:rsidR="00D44ABF" w:rsidRDefault="00D44AB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ירושים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הודעת ערעור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שת הודעת ערעור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פרטי הודעת הערעור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פרטי הודעת הערעור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טפסים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סירת טפסים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תשובת המשיב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שובת המשיב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מועד לשמיעת הערעור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קביעת מועד לשמיעת הערעור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התיצבות לחקירה שכנגד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תיצבות לחקירה שכנגד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סדרי הטענות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סדרי הטענות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דיון שלא בפני בעלי הדין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דיון שלא בפני בעלי הדין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טענת פגם לנימוקים שבכתב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טענת פגם לנימוקים שבכתב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הדיון מוגבל לנימוקים שבכתב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דיון מוגבל לנימוקים שבכתב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יושב ראש הועדה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סמכויות יושב ראש הועדה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דחיית הבירור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דחיית הבירור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החלטת הועדה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החלטת הועדה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הוצאות הערעור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הוצאות הערעור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מיזוג ערעורים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מיזוג ערעורים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צירוף בעלי דין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צירוף בעלי דין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C1E71" w:rsidRPr="003C1E71" w:rsidTr="003C1E7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השם" w:history="1">
              <w:r w:rsidRPr="003C1E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1E71" w:rsidRPr="003C1E71" w:rsidRDefault="003C1E71" w:rsidP="003C1E7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44ABF" w:rsidRDefault="00D44ABF">
      <w:pPr>
        <w:pStyle w:val="big-header"/>
        <w:ind w:left="0" w:right="1134"/>
        <w:rPr>
          <w:rFonts w:cs="FrankRuehl"/>
          <w:sz w:val="32"/>
          <w:rtl/>
        </w:rPr>
      </w:pPr>
    </w:p>
    <w:p w:rsidR="00D44ABF" w:rsidRDefault="00D44ABF" w:rsidP="00A07D0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הפטנטים והמדגמים (סדרי הדין לפני ועדת ערעור), תשי"ב-</w:t>
      </w:r>
      <w:r>
        <w:rPr>
          <w:rFonts w:cs="FrankRuehl"/>
          <w:sz w:val="32"/>
          <w:rtl/>
        </w:rPr>
        <w:t>1952</w:t>
      </w:r>
      <w:r>
        <w:rPr>
          <w:rStyle w:val="default"/>
          <w:rtl/>
        </w:rPr>
        <w:footnoteReference w:customMarkFollows="1" w:id="1"/>
        <w:t>*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66(1) לפקודת הפטנטים והמדגמים, אני מתקין תקנות אלה: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4.5pt;z-index:251649024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וראה" פירושו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הוראה שניתנה על ידי שר הבטחון לפי סעיף 58 לפקודה;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>עד</w:t>
      </w:r>
      <w:r>
        <w:rPr>
          <w:rStyle w:val="default"/>
          <w:rFonts w:cs="FrankRuehl"/>
          <w:rtl/>
        </w:rPr>
        <w:t xml:space="preserve">ה" </w:t>
      </w:r>
      <w:r>
        <w:rPr>
          <w:rStyle w:val="default"/>
          <w:rFonts w:cs="FrankRuehl" w:hint="cs"/>
          <w:rtl/>
        </w:rPr>
        <w:t xml:space="preserve">פירושו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ועדת הערעור שנתמנתה על ידי שר המשפטים לפי סעיף 60 לפקודה.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9.1pt;z-index:251650048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הודעת ערעור</w:t>
                  </w:r>
                </w:p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 xml:space="preserve">עור על פי סעיף 59 לפקודה יהיה בדרך הודעה (להלן </w:t>
      </w:r>
      <w:r w:rsidR="0063488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הודעת ערעור) שתימסר לרשם.</w:t>
      </w:r>
    </w:p>
    <w:p w:rsidR="00D44ABF" w:rsidRDefault="00D44AB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21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1.4.1986</w:t>
      </w:r>
    </w:p>
    <w:p w:rsidR="00D44ABF" w:rsidRDefault="00D44AB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תשמ"ו-1986</w:t>
      </w:r>
    </w:p>
    <w:p w:rsidR="00D44ABF" w:rsidRDefault="00D44AB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4917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24.3.1986 עמ' 714</w:t>
      </w:r>
    </w:p>
    <w:p w:rsidR="00D44ABF" w:rsidRDefault="00D44AB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עור על פי סעיף 59 לפקודה יהיה בדרך הודעה (להלן -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הודעת ערעור) שתימסר לרשם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בצירוף תשלום האגרה שנקבעה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13.55pt;z-index:251651072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 הודעת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ודעת הערעור תפרט </w:t>
      </w:r>
      <w:r>
        <w:rPr>
          <w:rStyle w:val="default"/>
          <w:rFonts w:cs="FrankRuehl"/>
          <w:rtl/>
        </w:rPr>
        <w:t>–</w:t>
      </w:r>
    </w:p>
    <w:p w:rsidR="00D44ABF" w:rsidRDefault="00D44A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שמו, תיאורו, כתבתו ומשלח ידו של המערער וכן כתובת למסירת הודעות ומסמכים</w:t>
      </w:r>
      <w:r>
        <w:rPr>
          <w:rStyle w:val="default"/>
          <w:rFonts w:cs="FrankRuehl"/>
          <w:rtl/>
        </w:rPr>
        <w:t>;</w:t>
      </w:r>
    </w:p>
    <w:p w:rsidR="00D44ABF" w:rsidRDefault="00D44A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המספר והתאריך של הבקשה למתן פטנט או לרישום מדגם, נושאי ההוראה, שמה הקצר של האמצאה או את כינוי החפץ שהמדגם נועד לחול עליו, הכל לפי הענין;</w:t>
      </w:r>
    </w:p>
    <w:p w:rsidR="00D44ABF" w:rsidRDefault="00D44A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התאריך שבו נדחה ערעור קודם ומספר התיק;</w:t>
      </w:r>
    </w:p>
    <w:p w:rsidR="00D44ABF" w:rsidRDefault="00D44A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נימוקי הערעור, לרבות נימוקים משפטיים, כל נימוק בפסקה נפרד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ובק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צור.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ודעת הערעור תהא חתומה ביד המערער או ביד בא כוחו.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הודעת הערעור יצורפו מסמכים אלה, בשלושה טפסים כל אחד: -</w:t>
      </w:r>
    </w:p>
    <w:p w:rsidR="00D44ABF" w:rsidRDefault="00D44A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צהרה בשבועה לאימות העובדות שעליהן מסתמך המערער; וכן</w:t>
      </w:r>
    </w:p>
    <w:p w:rsidR="00D44ABF" w:rsidRDefault="00D44A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ההוראה שעליה הוא מערער.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הבטחון יצויין בהודעת הערעור כמש</w:t>
      </w:r>
      <w:r>
        <w:rPr>
          <w:rStyle w:val="default"/>
          <w:rFonts w:cs="FrankRuehl"/>
          <w:rtl/>
        </w:rPr>
        <w:t>יב</w:t>
      </w:r>
      <w:r>
        <w:rPr>
          <w:rStyle w:val="default"/>
          <w:rFonts w:cs="FrankRuehl" w:hint="cs"/>
          <w:rtl/>
        </w:rPr>
        <w:t>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29" style="position:absolute;left:0;text-align:left;margin-left:464.5pt;margin-top:8.05pt;width:75.05pt;height:10.5pt;z-index:251652096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טפסים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הודעת הערעור במשרד הרשם, כאמור בסעיף 59(2) לפקודה, יעביר הרשם שני טפסים ממנה ומהמסמכים שצורפו לה ליושב ראש הועדה וימסור טופס אחד למשיב.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0" style="position:absolute;left:0;text-align:left;margin-left:464.5pt;margin-top:8.05pt;width:75.05pt;height:11.15pt;z-index:251653120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ובת המשיב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משיב רשאי להגיש לרשם בשלושה טפסים, תוך 30 יום מהיום שבו נמסר לו העתק הודעת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הערעור כאמור, תשובה מנ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>קת בצירוף הצהרה בשבועה לאימות העובדות שעליהן הוא מסתמך.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תשובה תיחתם ביד המשיב או ביד נציגו.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וגשה תשובת המשיב כאמור בתקנה זו, ימסור הרשם למערער העתקים מהתשובה ומההצהרה בשבועה.</w:t>
      </w:r>
    </w:p>
    <w:p w:rsidR="00D44ABF" w:rsidRDefault="00D44ABF">
      <w:pPr>
        <w:pStyle w:val="P00"/>
        <w:spacing w:before="72"/>
        <w:ind w:left="0" w:right="1134"/>
        <w:rPr>
          <w:rFonts w:cs="FrankRuehl"/>
          <w:sz w:val="26"/>
          <w:rtl/>
        </w:rPr>
      </w:pPr>
      <w:bookmarkStart w:id="6" w:name="Seif6"/>
      <w:bookmarkEnd w:id="6"/>
      <w:r>
        <w:rPr>
          <w:lang w:val="he-IL"/>
        </w:rPr>
        <w:pict>
          <v:rect id="_x0000_s1031" style="position:absolute;left:0;text-align:left;margin-left:464.5pt;margin-top:8.05pt;width:75.05pt;height:19.85pt;z-index:251654144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מועד לשמיעת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 xml:space="preserve">שב ראש הועדה יקבע, תוך חדשיים מיום הגשת הודעת הערעור, מועד </w:t>
      </w:r>
      <w:r>
        <w:rPr>
          <w:rFonts w:cs="FrankRuehl"/>
          <w:sz w:val="26"/>
          <w:rtl/>
        </w:rPr>
        <w:t>לש</w:t>
      </w:r>
      <w:r>
        <w:rPr>
          <w:rFonts w:cs="FrankRuehl" w:hint="cs"/>
          <w:sz w:val="26"/>
          <w:rtl/>
        </w:rPr>
        <w:t xml:space="preserve">מיעת הערעור וימסור למערער ולמשיב הודעה מוקדמת של 15 יום לפחות בדבר המועד שנקבע </w:t>
      </w:r>
      <w:r>
        <w:rPr>
          <w:rFonts w:cs="FrankRuehl"/>
          <w:sz w:val="26"/>
          <w:rtl/>
        </w:rPr>
        <w:t>לב</w:t>
      </w:r>
      <w:r>
        <w:rPr>
          <w:rFonts w:cs="FrankRuehl" w:hint="cs"/>
          <w:sz w:val="26"/>
          <w:rtl/>
        </w:rPr>
        <w:t>ירור הערעור.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2" style="position:absolute;left:0;text-align:left;margin-left:464.5pt;margin-top:8.05pt;width:75.05pt;height:22.2pt;z-index:251655168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יצבות לחקירה שכנגד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דין הרוצה לחקור חקירה שכנגד אדם שמסר הצהרה בשבועה לאימות העובדות שעליהן מסתמך בעל הדין האמור, יודיע על כך ליושב ראש הועדה ולאותו בעל דין לפחות שבעה ימים לפנ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המועד שנקבע לשמיעת הערעור.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הדין שנמסרה לו הודעה כאמור בתקנת מש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 (א), יביא לפני הועדה, בזמן הקבוע לשמיעת הערעור, את האדם שנדרש לחקירה שכנגד כאמור.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הביא בעל דין אדם לחקירה שכנגד כאמור בתקנת משנה (ב), או סירב אדם כאמור להשיב על שאלות שנשאל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בחקירה שכנגד בלי סיבה המתקבלת על דעת הועדה, לא תשמש הצהרת אותו אדם עדות,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לא אם כן היתה הועדה משוכנעת שקבלת ההצהרה כעדות דרושה למיצוי הצדק.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lastRenderedPageBreak/>
        <w:pict>
          <v:rect id="_x0000_s1033" style="position:absolute;left:0;text-align:left;margin-left:464.5pt;margin-top:8.05pt;width:75.05pt;height:12.25pt;z-index:251656192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הטענות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תשמע תחילה את טענות המערער, ולאחר מכן את טענות המשיב.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רשאית, ככל שהדבר ייראה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לה, להתיר למערער להשיב על טענות המשיב.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4" style="position:absolute;left:0;text-align:left;margin-left:464.5pt;margin-top:8.05pt;width:75.05pt;height:20.55pt;z-index:251657216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שלא בפני בעלי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לי הדין שהוזמנו כדין ולא התייצבו לפני הוע</w:t>
      </w:r>
      <w:r>
        <w:rPr>
          <w:rStyle w:val="default"/>
          <w:rFonts w:cs="FrankRuehl"/>
          <w:rtl/>
        </w:rPr>
        <w:t>דה</w:t>
      </w:r>
      <w:r>
        <w:rPr>
          <w:rStyle w:val="default"/>
          <w:rFonts w:cs="FrankRuehl" w:hint="cs"/>
          <w:rtl/>
        </w:rPr>
        <w:t xml:space="preserve"> במועד שנקבע לשמיעת הערעור או במועד שנדחה לפי תקנה 13, יחולו הוראות אלה:</w:t>
      </w:r>
    </w:p>
    <w:p w:rsidR="00D44ABF" w:rsidRDefault="00D44ABF" w:rsidP="00634888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תייצב המערער ולא התייצב המשיב, רשאית הועדה לדחות את שמיעת הערעור או לשמוע את הערעור שלא בפני המשיב;</w:t>
      </w:r>
    </w:p>
    <w:p w:rsidR="00D44ABF" w:rsidRDefault="00D44ABF" w:rsidP="00634888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התייצב המערער או לא התייצבו שניהם, רשאית הועדה לדחות את שמיעת הערעור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לבטל את הערעור.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5" style="position:absolute;left:0;text-align:left;margin-left:464.5pt;margin-top:8.05pt;width:75.05pt;height:23.65pt;z-index:251658240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נת פג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ם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לנימוקים שבכתב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שמיעת הערעור לא תיזקק הועדה לכל טענות של פגם בצורת הודעת הערעור, אלא אם כן נמסרה הודעה ב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תב על כך למערער לפחות שבעה ימים לפני היום שנקבע לשמיעת הערעור והמערער לא תיקן את הפגם לפני אותו מועד.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מסרה הודעה כאמור בתקנת משנה (א</w:t>
      </w:r>
      <w:r>
        <w:rPr>
          <w:rStyle w:val="default"/>
          <w:rFonts w:cs="FrankRuehl"/>
          <w:rtl/>
        </w:rPr>
        <w:t>) ו</w:t>
      </w:r>
      <w:r>
        <w:rPr>
          <w:rStyle w:val="default"/>
          <w:rFonts w:cs="FrankRuehl" w:hint="cs"/>
          <w:rtl/>
        </w:rPr>
        <w:t xml:space="preserve">המערער לא תיקן את הפגם בעוד מועד, רשאית הועדה </w:t>
      </w:r>
      <w:r w:rsidR="0063488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מטעמים מיוחדים </w:t>
      </w:r>
      <w:r w:rsidR="0063488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להרשות למערער לתקן את הפגם בתנאים שתקבעם.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6" style="position:absolute;left:0;text-align:left;margin-left:464.5pt;margin-top:8.05pt;width:75.05pt;height:18.95pt;z-index:251659264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גבל לנימוקים שבכתב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בש</w:t>
      </w:r>
      <w:r>
        <w:rPr>
          <w:rStyle w:val="default"/>
          <w:rFonts w:cs="FrankRuehl" w:hint="cs"/>
          <w:rtl/>
        </w:rPr>
        <w:t>מיעת הערעור לא תיזקק הועדה לכל נימוק שלא הוזכר בהודעת הערעור או בתשובת המשיב, אלא אם כן היא משוכנעת, שההשמטה נגרמה שלא באשמת בעל הדין המבקש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היעזר באותו נימוק, או ששמיעת הנימוק הנוסף דרושה לשם מיצוי הצדק.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2"/>
      <w:bookmarkEnd w:id="12"/>
      <w:r>
        <w:rPr>
          <w:lang w:val="he-IL"/>
        </w:rPr>
        <w:pict>
          <v:rect id="_x0000_s1037" style="position:absolute;left:0;text-align:left;margin-left:464.5pt;margin-top:8.05pt;width:75.05pt;height:23.45pt;z-index:251660288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יושב ראש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 xml:space="preserve">שב ראש הועדה רשאי </w:t>
      </w:r>
      <w:r>
        <w:rPr>
          <w:rStyle w:val="default"/>
          <w:rFonts w:cs="FrankRuehl"/>
          <w:rtl/>
        </w:rPr>
        <w:t>–</w:t>
      </w:r>
    </w:p>
    <w:p w:rsidR="00D44ABF" w:rsidRDefault="00D44ABF" w:rsidP="00634888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האריך כל מועד שנקבע בתקנות אלה;</w:t>
      </w:r>
    </w:p>
    <w:p w:rsidR="00D44ABF" w:rsidRDefault="00D44ABF" w:rsidP="00634888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הרשות לבעלי הדין להגיש מסמכים נוסף למסמכים שפורטו בתקנות אלה.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8" style="position:absolute;left:0;text-align:left;margin-left:464.5pt;margin-top:8.05pt;width:75.05pt;height:15.15pt;z-index:251661312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יית הבירור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עדה רשאית לדחות את שמיעת הערעור, ומשהחלה בשמיעתו </w:t>
      </w:r>
      <w:r w:rsidR="0063488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דח</w:t>
      </w:r>
      <w:r>
        <w:rPr>
          <w:rStyle w:val="default"/>
          <w:rFonts w:cs="FrankRuehl" w:hint="cs"/>
          <w:rtl/>
        </w:rPr>
        <w:t>ות את המשך הדיון בו, אם הדחיה דרושה, לדעתה, לשם מיצוי הצדק.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39" style="position:absolute;left:0;text-align:left;margin-left:464.5pt;margin-top:8.05pt;width:75.05pt;height:10.2pt;z-index:251662336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לטת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 לקבל החלטות ברוב דעות.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חלטת הועדה תיערך בכתב ותיחתם ביד היושב ראש ושני חברים.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ההחלטה, מאושר ביד יושב ראש הועדה, יימסר למערער ולמשיב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מוך ככל האפשר למתן ההחלטה, אולם הועדה רשאית להחליט מטעמי בטחון שלא למסור למערער את נימוקי ההחלטה בכתב.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1040" style="position:absolute;left:0;text-align:left;margin-left:464.5pt;margin-top:8.05pt;width:75.05pt;height:15.1pt;z-index:251663360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צאות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תחשב עם הוראות סעיף 59(5) לפקודה, רשאית הועדה לפסוק על הטלת הוצאות הערעור ולקבוע על מי יוטלו.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16"/>
      <w:bookmarkEnd w:id="16"/>
      <w:r>
        <w:rPr>
          <w:lang w:val="he-IL"/>
        </w:rPr>
        <w:pict>
          <v:rect id="_x0000_s1041" style="position:absolute;left:0;text-align:left;margin-left:464.5pt;margin-top:8.05pt;width:75.05pt;height:10.15pt;z-index:251664384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זוג ערעורים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רשאית למזג ערעורים התלויים ועומדים לפני</w:t>
      </w:r>
      <w:r>
        <w:rPr>
          <w:rStyle w:val="default"/>
          <w:rFonts w:cs="FrankRuehl"/>
          <w:rtl/>
        </w:rPr>
        <w:t xml:space="preserve">ה, </w:t>
      </w:r>
      <w:r>
        <w:rPr>
          <w:rStyle w:val="default"/>
          <w:rFonts w:cs="FrankRuehl" w:hint="cs"/>
          <w:rtl/>
        </w:rPr>
        <w:t xml:space="preserve">לדון בהם במשותף ולתת החלטה אחת בכולם </w:t>
      </w:r>
      <w:r>
        <w:rPr>
          <w:rStyle w:val="default"/>
          <w:rFonts w:cs="FrankRuehl"/>
          <w:rtl/>
        </w:rPr>
        <w:t>–</w:t>
      </w:r>
    </w:p>
    <w:p w:rsidR="00D44ABF" w:rsidRDefault="00D44ABF" w:rsidP="00634888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הערעורים הוגשו על הוראה אחת או נוגעים לאותה בקשה למתן פטנט או לרישום מדגם, או</w:t>
      </w:r>
    </w:p>
    <w:p w:rsidR="00D44ABF" w:rsidRDefault="00D44ABF" w:rsidP="00634888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כרוכות בהם אותן בעיות חוק או אותן בעיות עובדה, או אם כרוכות בהם בעיות חוק או בעיות עובדה דומות.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7"/>
      <w:bookmarkEnd w:id="17"/>
      <w:r>
        <w:rPr>
          <w:lang w:val="he-IL"/>
        </w:rPr>
        <w:pict>
          <v:rect id="_x0000_s1042" style="position:absolute;left:0;text-align:left;margin-left:464.5pt;margin-top:8.05pt;width:75.05pt;height:9.05pt;z-index:251665408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רוף בעלי 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עדה רשאית, בכל שלב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מהלך הדיון, לצרף כמערער או כמשיב בערעור שלפניה כל אדם שנראה לה כמעונין בערעור.</w:t>
      </w:r>
    </w:p>
    <w:p w:rsidR="00D44ABF" w:rsidRDefault="00D44ABF" w:rsidP="006348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8"/>
      <w:bookmarkEnd w:id="18"/>
      <w:r>
        <w:rPr>
          <w:lang w:val="he-IL"/>
        </w:rPr>
        <w:pict>
          <v:rect id="_x0000_s1043" style="position:absolute;left:0;text-align:left;margin-left:464.5pt;margin-top:8.05pt;width:75.05pt;height:15.3pt;z-index:251666432" o:allowincell="f" filled="f" stroked="f" strokecolor="lime" strokeweight=".25pt">
            <v:textbox inset="0,0,0,0">
              <w:txbxContent>
                <w:p w:rsidR="00D44ABF" w:rsidRDefault="00D44AB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הפטנטים והמדגמים (סדרי הדין לפני ועדת ערעור), תשי"ב</w:t>
      </w:r>
      <w:r w:rsidR="006348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1952".</w:t>
      </w:r>
    </w:p>
    <w:p w:rsidR="00634888" w:rsidRDefault="006348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44ABF" w:rsidRDefault="00D44ABF" w:rsidP="0063488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בתמוז תשי"ב (7 ביולי 1952)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כהן</w:t>
      </w:r>
    </w:p>
    <w:p w:rsidR="00D44ABF" w:rsidRDefault="00D44ABF" w:rsidP="0063488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D44ABF" w:rsidRDefault="00D44A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LawPartEnd"/>
    </w:p>
    <w:bookmarkEnd w:id="19"/>
    <w:p w:rsidR="003C1E71" w:rsidRDefault="003C1E7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C1E71" w:rsidRDefault="003C1E7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C1E71" w:rsidRDefault="003C1E71" w:rsidP="003C1E7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44ABF" w:rsidRPr="003C1E71" w:rsidRDefault="00D44ABF" w:rsidP="003C1E7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44ABF" w:rsidRPr="003C1E7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677B" w:rsidRDefault="0043677B">
      <w:r>
        <w:separator/>
      </w:r>
    </w:p>
  </w:endnote>
  <w:endnote w:type="continuationSeparator" w:id="0">
    <w:p w:rsidR="0043677B" w:rsidRDefault="0043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4ABF" w:rsidRDefault="00D44A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44ABF" w:rsidRDefault="00D44A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44ABF" w:rsidRDefault="00D44A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C:\Yael\hakika\Revadim\P187_013.doc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4ABF" w:rsidRDefault="00D44A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C1E7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D44ABF" w:rsidRDefault="00D44A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44ABF" w:rsidRDefault="00D44A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C:\Yael\hakika\Revadim\P187_013.doc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677B" w:rsidRDefault="0043677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3677B" w:rsidRDefault="0043677B">
      <w:r>
        <w:continuationSeparator/>
      </w:r>
    </w:p>
  </w:footnote>
  <w:footnote w:id="1">
    <w:p w:rsidR="00D44ABF" w:rsidRDefault="00D44A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תשי"ב מס' 288</w:t>
        </w:r>
      </w:hyperlink>
      <w:r>
        <w:rPr>
          <w:rFonts w:cs="FrankRuehl" w:hint="cs"/>
          <w:rtl/>
        </w:rPr>
        <w:t xml:space="preserve"> מיום 24.7.1952 עמ' 1205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תשי"ב-1952.</w:t>
      </w:r>
    </w:p>
    <w:p w:rsidR="00D44ABF" w:rsidRDefault="00D44A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מ"ו מס' 4917</w:t>
        </w:r>
      </w:hyperlink>
      <w:r>
        <w:rPr>
          <w:rFonts w:cs="FrankRuehl" w:hint="cs"/>
          <w:rtl/>
        </w:rPr>
        <w:t xml:space="preserve"> מיום 24.3.1986 עמ' 714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תשמ"ו-1986; תחילתן ביום 1.4.1986.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4ABF" w:rsidRDefault="00D44AB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הפטנטים והמדגמים (סדרי הדין לפני ועדת ערעור), תשי"ב–1952</w:t>
    </w:r>
  </w:p>
  <w:p w:rsidR="00D44ABF" w:rsidRDefault="00D44A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44ABF" w:rsidRDefault="00D44A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4ABF" w:rsidRDefault="00D44AB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הפטנטים והמדגמים (סדרי הדין לפני ועדת ערעור), תשי"ב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1952</w:t>
    </w:r>
  </w:p>
  <w:p w:rsidR="00D44ABF" w:rsidRDefault="00D44A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44ABF" w:rsidRDefault="00D44A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4ABF"/>
    <w:rsid w:val="003C1E71"/>
    <w:rsid w:val="004128D4"/>
    <w:rsid w:val="0043677B"/>
    <w:rsid w:val="004E075A"/>
    <w:rsid w:val="00634888"/>
    <w:rsid w:val="00A07D00"/>
    <w:rsid w:val="00CF11FD"/>
    <w:rsid w:val="00D44ABF"/>
    <w:rsid w:val="00EB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2D4C52B-4AD3-4835-A6E8-39F4C349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91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917.pdf" TargetMode="External"/><Relationship Id="rId1" Type="http://schemas.openxmlformats.org/officeDocument/2006/relationships/hyperlink" Target="http://www.nevo.co.il/Law_word/law06/TAK-02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187</vt:lpstr>
    </vt:vector>
  </TitlesOfParts>
  <Company/>
  <LinksUpToDate>false</LinksUpToDate>
  <CharactersWithSpaces>6667</CharactersWithSpaces>
  <SharedDoc>false</SharedDoc>
  <HLinks>
    <vt:vector size="132" baseType="variant">
      <vt:variant>
        <vt:i4>393283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8126470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http://www.nevo.co.il/Law_word/law06/TAK-4917.pdf</vt:lpwstr>
      </vt:variant>
      <vt:variant>
        <vt:lpwstr/>
      </vt:variant>
      <vt:variant>
        <vt:i4>3866667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http://www.nevo.co.il/Law_word/law06/TAK-4917.pdf</vt:lpwstr>
      </vt:variant>
      <vt:variant>
        <vt:lpwstr/>
      </vt:variant>
      <vt:variant>
        <vt:i4>7405570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http://www.nevo.co.il/Law_word/law06/TAK-0288.pdf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P187</vt:lpwstr>
  </property>
  <property fmtid="{D5CDD505-2E9C-101B-9397-08002B2CF9AE}" pid="3" name="CHNAME">
    <vt:lpwstr>פטנטים ומדגמים</vt:lpwstr>
  </property>
  <property fmtid="{D5CDD505-2E9C-101B-9397-08002B2CF9AE}" pid="4" name="LAWNAME">
    <vt:lpwstr>תקנות הפטנטים והמדגמים (סדרי הדין לפני ועדת ערעור), תשי"ב-1952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MEKOR_NAME1">
    <vt:lpwstr>פקודת הפטנטים והמדגמים</vt:lpwstr>
  </property>
  <property fmtid="{D5CDD505-2E9C-101B-9397-08002B2CF9AE}" pid="8" name="MEKOR_SAIF1">
    <vt:lpwstr>66X1X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קניין רוחני</vt:lpwstr>
  </property>
  <property fmtid="{D5CDD505-2E9C-101B-9397-08002B2CF9AE}" pid="12" name="NOSE41">
    <vt:lpwstr>פטנטים</vt:lpwstr>
  </property>
  <property fmtid="{D5CDD505-2E9C-101B-9397-08002B2CF9AE}" pid="13" name="NOSE12">
    <vt:lpwstr>משפט פרטי וכלכלה</vt:lpwstr>
  </property>
  <property fmtid="{D5CDD505-2E9C-101B-9397-08002B2CF9AE}" pid="14" name="NOSE22">
    <vt:lpwstr>קניין</vt:lpwstr>
  </property>
  <property fmtid="{D5CDD505-2E9C-101B-9397-08002B2CF9AE}" pid="15" name="NOSE32">
    <vt:lpwstr>קניין רוחני</vt:lpwstr>
  </property>
  <property fmtid="{D5CDD505-2E9C-101B-9397-08002B2CF9AE}" pid="16" name="NOSE42">
    <vt:lpwstr>מדגמים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