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7A47" w:rsidRDefault="00E57A47">
      <w:pPr>
        <w:pStyle w:val="big-header"/>
        <w:ind w:left="0" w:right="1134"/>
        <w:rPr>
          <w:rFonts w:cs="FrankRuehl" w:hint="cs"/>
          <w:sz w:val="32"/>
          <w:rtl/>
        </w:rPr>
      </w:pPr>
      <w:r>
        <w:rPr>
          <w:rFonts w:cs="FrankRuehl"/>
          <w:sz w:val="32"/>
          <w:rtl/>
        </w:rPr>
        <w:t xml:space="preserve">תקנות הפטנטים והמדגמים (סדרי הדין לפני ועדת פיצוי ודמי זכיון), </w:t>
      </w:r>
      <w:r>
        <w:rPr>
          <w:rFonts w:cs="FrankRuehl" w:hint="cs"/>
          <w:sz w:val="32"/>
          <w:rtl/>
        </w:rPr>
        <w:br/>
      </w:r>
      <w:r>
        <w:rPr>
          <w:rFonts w:cs="FrankRuehl"/>
          <w:sz w:val="32"/>
          <w:rtl/>
        </w:rPr>
        <w:t>תשי"ב</w:t>
      </w:r>
      <w:r>
        <w:rPr>
          <w:rFonts w:cs="FrankRuehl" w:hint="cs"/>
          <w:sz w:val="32"/>
          <w:rtl/>
        </w:rPr>
        <w:t>-</w:t>
      </w:r>
      <w:r>
        <w:rPr>
          <w:rFonts w:cs="FrankRuehl"/>
          <w:sz w:val="32"/>
          <w:rtl/>
        </w:rPr>
        <w:t>1952</w:t>
      </w:r>
    </w:p>
    <w:p w:rsidR="00AD206B" w:rsidRDefault="00AD206B" w:rsidP="00AD206B">
      <w:pPr>
        <w:spacing w:line="320" w:lineRule="auto"/>
        <w:jc w:val="left"/>
        <w:rPr>
          <w:rFonts w:hint="cs"/>
          <w:rtl/>
        </w:rPr>
      </w:pPr>
    </w:p>
    <w:p w:rsidR="0057303A" w:rsidRDefault="0057303A" w:rsidP="00AD206B">
      <w:pPr>
        <w:spacing w:line="320" w:lineRule="auto"/>
        <w:jc w:val="left"/>
        <w:rPr>
          <w:rFonts w:hint="cs"/>
          <w:rtl/>
        </w:rPr>
      </w:pPr>
    </w:p>
    <w:p w:rsidR="00AD206B" w:rsidRDefault="00AD206B" w:rsidP="00AD206B">
      <w:pPr>
        <w:spacing w:line="320" w:lineRule="auto"/>
        <w:jc w:val="left"/>
        <w:rPr>
          <w:rFonts w:cs="FrankRuehl"/>
          <w:szCs w:val="26"/>
          <w:rtl/>
        </w:rPr>
      </w:pPr>
      <w:r w:rsidRPr="00AD206B">
        <w:rPr>
          <w:rFonts w:cs="Miriam"/>
          <w:szCs w:val="22"/>
          <w:rtl/>
        </w:rPr>
        <w:t>משפט פרטי וכלכלה</w:t>
      </w:r>
      <w:r w:rsidRPr="00AD206B">
        <w:rPr>
          <w:rFonts w:cs="FrankRuehl"/>
          <w:szCs w:val="26"/>
          <w:rtl/>
        </w:rPr>
        <w:t xml:space="preserve"> – קניין – קניין רוחני – פטנטים</w:t>
      </w:r>
    </w:p>
    <w:p w:rsidR="00AD206B" w:rsidRPr="00AD206B" w:rsidRDefault="00AD206B" w:rsidP="00AD206B">
      <w:pPr>
        <w:spacing w:line="320" w:lineRule="auto"/>
        <w:jc w:val="left"/>
        <w:rPr>
          <w:rFonts w:cs="Miriam"/>
          <w:szCs w:val="22"/>
          <w:rtl/>
        </w:rPr>
      </w:pPr>
      <w:r w:rsidRPr="00AD206B">
        <w:rPr>
          <w:rFonts w:cs="Miriam"/>
          <w:szCs w:val="22"/>
          <w:rtl/>
        </w:rPr>
        <w:t>משפט פרטי וכלכלה</w:t>
      </w:r>
      <w:r w:rsidRPr="00AD206B">
        <w:rPr>
          <w:rFonts w:cs="FrankRuehl"/>
          <w:szCs w:val="26"/>
          <w:rtl/>
        </w:rPr>
        <w:t xml:space="preserve"> – קניין – קניין רוחני – מדגמים</w:t>
      </w:r>
    </w:p>
    <w:p w:rsidR="00E57A47" w:rsidRDefault="00E57A4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6168F" w:rsidRPr="0066168F" w:rsidTr="0066168F">
        <w:tblPrEx>
          <w:tblCellMar>
            <w:top w:w="0" w:type="dxa"/>
            <w:bottom w:w="0" w:type="dxa"/>
          </w:tblCellMar>
        </w:tblPrEx>
        <w:tc>
          <w:tcPr>
            <w:tcW w:w="1247" w:type="dxa"/>
          </w:tcPr>
          <w:p w:rsidR="0066168F" w:rsidRPr="0066168F" w:rsidRDefault="0066168F" w:rsidP="0066168F">
            <w:pPr>
              <w:spacing w:line="240" w:lineRule="auto"/>
              <w:jc w:val="left"/>
              <w:rPr>
                <w:rFonts w:cs="Frankruhel"/>
                <w:sz w:val="24"/>
                <w:rtl/>
              </w:rPr>
            </w:pPr>
            <w:r>
              <w:rPr>
                <w:sz w:val="24"/>
                <w:rtl/>
              </w:rPr>
              <w:t xml:space="preserve">סעיף 1 </w:t>
            </w:r>
          </w:p>
        </w:tc>
        <w:tc>
          <w:tcPr>
            <w:tcW w:w="5669" w:type="dxa"/>
          </w:tcPr>
          <w:p w:rsidR="0066168F" w:rsidRPr="0066168F" w:rsidRDefault="0066168F" w:rsidP="0066168F">
            <w:pPr>
              <w:spacing w:line="240" w:lineRule="auto"/>
              <w:jc w:val="left"/>
              <w:rPr>
                <w:rFonts w:cs="Frankruhel"/>
                <w:sz w:val="24"/>
                <w:rtl/>
              </w:rPr>
            </w:pPr>
            <w:r>
              <w:rPr>
                <w:sz w:val="24"/>
                <w:rtl/>
              </w:rPr>
              <w:t>פירושים</w:t>
            </w:r>
          </w:p>
        </w:tc>
        <w:tc>
          <w:tcPr>
            <w:tcW w:w="567" w:type="dxa"/>
          </w:tcPr>
          <w:p w:rsidR="0066168F" w:rsidRPr="0066168F" w:rsidRDefault="0066168F" w:rsidP="0066168F">
            <w:pPr>
              <w:spacing w:line="240" w:lineRule="auto"/>
              <w:jc w:val="left"/>
              <w:rPr>
                <w:rStyle w:val="Hyperlink"/>
                <w:rtl/>
              </w:rPr>
            </w:pPr>
            <w:hyperlink w:anchor="Seif1" w:tooltip="פירושים" w:history="1">
              <w:r w:rsidRPr="0066168F">
                <w:rPr>
                  <w:rStyle w:val="Hyperlink"/>
                </w:rPr>
                <w:t>Go</w:t>
              </w:r>
            </w:hyperlink>
          </w:p>
        </w:tc>
        <w:tc>
          <w:tcPr>
            <w:tcW w:w="850" w:type="dxa"/>
          </w:tcPr>
          <w:p w:rsidR="0066168F" w:rsidRPr="0066168F" w:rsidRDefault="0066168F" w:rsidP="0066168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6168F" w:rsidRPr="0066168F" w:rsidTr="0066168F">
        <w:tblPrEx>
          <w:tblCellMar>
            <w:top w:w="0" w:type="dxa"/>
            <w:bottom w:w="0" w:type="dxa"/>
          </w:tblCellMar>
        </w:tblPrEx>
        <w:tc>
          <w:tcPr>
            <w:tcW w:w="1247" w:type="dxa"/>
          </w:tcPr>
          <w:p w:rsidR="0066168F" w:rsidRPr="0066168F" w:rsidRDefault="0066168F" w:rsidP="0066168F">
            <w:pPr>
              <w:spacing w:line="240" w:lineRule="auto"/>
              <w:jc w:val="left"/>
              <w:rPr>
                <w:rFonts w:cs="Frankruhel"/>
                <w:sz w:val="24"/>
                <w:rtl/>
              </w:rPr>
            </w:pPr>
            <w:r>
              <w:rPr>
                <w:sz w:val="24"/>
                <w:rtl/>
              </w:rPr>
              <w:t xml:space="preserve">סעיף 2 </w:t>
            </w:r>
          </w:p>
        </w:tc>
        <w:tc>
          <w:tcPr>
            <w:tcW w:w="5669" w:type="dxa"/>
          </w:tcPr>
          <w:p w:rsidR="0066168F" w:rsidRPr="0066168F" w:rsidRDefault="0066168F" w:rsidP="0066168F">
            <w:pPr>
              <w:spacing w:line="240" w:lineRule="auto"/>
              <w:jc w:val="left"/>
              <w:rPr>
                <w:rFonts w:cs="Frankruhel"/>
                <w:sz w:val="24"/>
                <w:rtl/>
              </w:rPr>
            </w:pPr>
            <w:r>
              <w:rPr>
                <w:sz w:val="24"/>
                <w:rtl/>
              </w:rPr>
              <w:t>הגשת התביעה</w:t>
            </w:r>
          </w:p>
        </w:tc>
        <w:tc>
          <w:tcPr>
            <w:tcW w:w="567" w:type="dxa"/>
          </w:tcPr>
          <w:p w:rsidR="0066168F" w:rsidRPr="0066168F" w:rsidRDefault="0066168F" w:rsidP="0066168F">
            <w:pPr>
              <w:spacing w:line="240" w:lineRule="auto"/>
              <w:jc w:val="left"/>
              <w:rPr>
                <w:rStyle w:val="Hyperlink"/>
                <w:rtl/>
              </w:rPr>
            </w:pPr>
            <w:hyperlink w:anchor="Seif2" w:tooltip="הגשת התביעה" w:history="1">
              <w:r w:rsidRPr="0066168F">
                <w:rPr>
                  <w:rStyle w:val="Hyperlink"/>
                </w:rPr>
                <w:t>Go</w:t>
              </w:r>
            </w:hyperlink>
          </w:p>
        </w:tc>
        <w:tc>
          <w:tcPr>
            <w:tcW w:w="850" w:type="dxa"/>
          </w:tcPr>
          <w:p w:rsidR="0066168F" w:rsidRPr="0066168F" w:rsidRDefault="0066168F" w:rsidP="0066168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6168F" w:rsidRPr="0066168F" w:rsidTr="0066168F">
        <w:tblPrEx>
          <w:tblCellMar>
            <w:top w:w="0" w:type="dxa"/>
            <w:bottom w:w="0" w:type="dxa"/>
          </w:tblCellMar>
        </w:tblPrEx>
        <w:tc>
          <w:tcPr>
            <w:tcW w:w="1247" w:type="dxa"/>
          </w:tcPr>
          <w:p w:rsidR="0066168F" w:rsidRPr="0066168F" w:rsidRDefault="0066168F" w:rsidP="0066168F">
            <w:pPr>
              <w:spacing w:line="240" w:lineRule="auto"/>
              <w:jc w:val="left"/>
              <w:rPr>
                <w:rFonts w:cs="Frankruhel"/>
                <w:sz w:val="24"/>
                <w:rtl/>
              </w:rPr>
            </w:pPr>
            <w:r>
              <w:rPr>
                <w:sz w:val="24"/>
                <w:rtl/>
              </w:rPr>
              <w:t xml:space="preserve">סעיף 3 </w:t>
            </w:r>
          </w:p>
        </w:tc>
        <w:tc>
          <w:tcPr>
            <w:tcW w:w="5669" w:type="dxa"/>
          </w:tcPr>
          <w:p w:rsidR="0066168F" w:rsidRPr="0066168F" w:rsidRDefault="0066168F" w:rsidP="0066168F">
            <w:pPr>
              <w:spacing w:line="240" w:lineRule="auto"/>
              <w:jc w:val="left"/>
              <w:rPr>
                <w:rFonts w:cs="Frankruhel"/>
                <w:sz w:val="24"/>
                <w:rtl/>
              </w:rPr>
            </w:pPr>
            <w:r>
              <w:rPr>
                <w:sz w:val="24"/>
                <w:rtl/>
              </w:rPr>
              <w:t>תוכן התביעה</w:t>
            </w:r>
          </w:p>
        </w:tc>
        <w:tc>
          <w:tcPr>
            <w:tcW w:w="567" w:type="dxa"/>
          </w:tcPr>
          <w:p w:rsidR="0066168F" w:rsidRPr="0066168F" w:rsidRDefault="0066168F" w:rsidP="0066168F">
            <w:pPr>
              <w:spacing w:line="240" w:lineRule="auto"/>
              <w:jc w:val="left"/>
              <w:rPr>
                <w:rStyle w:val="Hyperlink"/>
                <w:rtl/>
              </w:rPr>
            </w:pPr>
            <w:hyperlink w:anchor="Seif3" w:tooltip="תוכן התביעה" w:history="1">
              <w:r w:rsidRPr="0066168F">
                <w:rPr>
                  <w:rStyle w:val="Hyperlink"/>
                </w:rPr>
                <w:t>Go</w:t>
              </w:r>
            </w:hyperlink>
          </w:p>
        </w:tc>
        <w:tc>
          <w:tcPr>
            <w:tcW w:w="850" w:type="dxa"/>
          </w:tcPr>
          <w:p w:rsidR="0066168F" w:rsidRPr="0066168F" w:rsidRDefault="0066168F" w:rsidP="0066168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6168F" w:rsidRPr="0066168F" w:rsidTr="0066168F">
        <w:tblPrEx>
          <w:tblCellMar>
            <w:top w:w="0" w:type="dxa"/>
            <w:bottom w:w="0" w:type="dxa"/>
          </w:tblCellMar>
        </w:tblPrEx>
        <w:tc>
          <w:tcPr>
            <w:tcW w:w="1247" w:type="dxa"/>
          </w:tcPr>
          <w:p w:rsidR="0066168F" w:rsidRPr="0066168F" w:rsidRDefault="0066168F" w:rsidP="0066168F">
            <w:pPr>
              <w:spacing w:line="240" w:lineRule="auto"/>
              <w:jc w:val="left"/>
              <w:rPr>
                <w:rFonts w:cs="Frankruhel"/>
                <w:sz w:val="24"/>
                <w:rtl/>
              </w:rPr>
            </w:pPr>
            <w:r>
              <w:rPr>
                <w:sz w:val="24"/>
                <w:rtl/>
              </w:rPr>
              <w:t xml:space="preserve">סעיף 4 </w:t>
            </w:r>
          </w:p>
        </w:tc>
        <w:tc>
          <w:tcPr>
            <w:tcW w:w="5669" w:type="dxa"/>
          </w:tcPr>
          <w:p w:rsidR="0066168F" w:rsidRPr="0066168F" w:rsidRDefault="0066168F" w:rsidP="0066168F">
            <w:pPr>
              <w:spacing w:line="240" w:lineRule="auto"/>
              <w:jc w:val="left"/>
              <w:rPr>
                <w:rFonts w:cs="Frankruhel"/>
                <w:sz w:val="24"/>
                <w:rtl/>
              </w:rPr>
            </w:pPr>
            <w:r>
              <w:rPr>
                <w:sz w:val="24"/>
                <w:rtl/>
              </w:rPr>
              <w:t>חתימה על התביעה</w:t>
            </w:r>
          </w:p>
        </w:tc>
        <w:tc>
          <w:tcPr>
            <w:tcW w:w="567" w:type="dxa"/>
          </w:tcPr>
          <w:p w:rsidR="0066168F" w:rsidRPr="0066168F" w:rsidRDefault="0066168F" w:rsidP="0066168F">
            <w:pPr>
              <w:spacing w:line="240" w:lineRule="auto"/>
              <w:jc w:val="left"/>
              <w:rPr>
                <w:rStyle w:val="Hyperlink"/>
                <w:rtl/>
              </w:rPr>
            </w:pPr>
            <w:hyperlink w:anchor="Seif4" w:tooltip="חתימה על התביעה" w:history="1">
              <w:r w:rsidRPr="0066168F">
                <w:rPr>
                  <w:rStyle w:val="Hyperlink"/>
                </w:rPr>
                <w:t>Go</w:t>
              </w:r>
            </w:hyperlink>
          </w:p>
        </w:tc>
        <w:tc>
          <w:tcPr>
            <w:tcW w:w="850" w:type="dxa"/>
          </w:tcPr>
          <w:p w:rsidR="0066168F" w:rsidRPr="0066168F" w:rsidRDefault="0066168F" w:rsidP="0066168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6168F" w:rsidRPr="0066168F" w:rsidTr="0066168F">
        <w:tblPrEx>
          <w:tblCellMar>
            <w:top w:w="0" w:type="dxa"/>
            <w:bottom w:w="0" w:type="dxa"/>
          </w:tblCellMar>
        </w:tblPrEx>
        <w:tc>
          <w:tcPr>
            <w:tcW w:w="1247" w:type="dxa"/>
          </w:tcPr>
          <w:p w:rsidR="0066168F" w:rsidRPr="0066168F" w:rsidRDefault="0066168F" w:rsidP="0066168F">
            <w:pPr>
              <w:spacing w:line="240" w:lineRule="auto"/>
              <w:jc w:val="left"/>
              <w:rPr>
                <w:rFonts w:cs="Frankruhel"/>
                <w:sz w:val="24"/>
                <w:rtl/>
              </w:rPr>
            </w:pPr>
            <w:r>
              <w:rPr>
                <w:sz w:val="24"/>
                <w:rtl/>
              </w:rPr>
              <w:t xml:space="preserve">סעיף 5 </w:t>
            </w:r>
          </w:p>
        </w:tc>
        <w:tc>
          <w:tcPr>
            <w:tcW w:w="5669" w:type="dxa"/>
          </w:tcPr>
          <w:p w:rsidR="0066168F" w:rsidRPr="0066168F" w:rsidRDefault="0066168F" w:rsidP="0066168F">
            <w:pPr>
              <w:spacing w:line="240" w:lineRule="auto"/>
              <w:jc w:val="left"/>
              <w:rPr>
                <w:rFonts w:cs="Frankruhel"/>
                <w:sz w:val="24"/>
                <w:rtl/>
              </w:rPr>
            </w:pPr>
            <w:r>
              <w:rPr>
                <w:sz w:val="24"/>
                <w:rtl/>
              </w:rPr>
              <w:t>צירוף מסמכים</w:t>
            </w:r>
          </w:p>
        </w:tc>
        <w:tc>
          <w:tcPr>
            <w:tcW w:w="567" w:type="dxa"/>
          </w:tcPr>
          <w:p w:rsidR="0066168F" w:rsidRPr="0066168F" w:rsidRDefault="0066168F" w:rsidP="0066168F">
            <w:pPr>
              <w:spacing w:line="240" w:lineRule="auto"/>
              <w:jc w:val="left"/>
              <w:rPr>
                <w:rStyle w:val="Hyperlink"/>
                <w:rtl/>
              </w:rPr>
            </w:pPr>
            <w:hyperlink w:anchor="Seif5" w:tooltip="צירוף מסמכים" w:history="1">
              <w:r w:rsidRPr="0066168F">
                <w:rPr>
                  <w:rStyle w:val="Hyperlink"/>
                </w:rPr>
                <w:t>Go</w:t>
              </w:r>
            </w:hyperlink>
          </w:p>
        </w:tc>
        <w:tc>
          <w:tcPr>
            <w:tcW w:w="850" w:type="dxa"/>
          </w:tcPr>
          <w:p w:rsidR="0066168F" w:rsidRPr="0066168F" w:rsidRDefault="0066168F" w:rsidP="0066168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6168F" w:rsidRPr="0066168F" w:rsidTr="0066168F">
        <w:tblPrEx>
          <w:tblCellMar>
            <w:top w:w="0" w:type="dxa"/>
            <w:bottom w:w="0" w:type="dxa"/>
          </w:tblCellMar>
        </w:tblPrEx>
        <w:tc>
          <w:tcPr>
            <w:tcW w:w="1247" w:type="dxa"/>
          </w:tcPr>
          <w:p w:rsidR="0066168F" w:rsidRPr="0066168F" w:rsidRDefault="0066168F" w:rsidP="0066168F">
            <w:pPr>
              <w:spacing w:line="240" w:lineRule="auto"/>
              <w:jc w:val="left"/>
              <w:rPr>
                <w:rFonts w:cs="Frankruhel"/>
                <w:sz w:val="24"/>
                <w:rtl/>
              </w:rPr>
            </w:pPr>
            <w:r>
              <w:rPr>
                <w:sz w:val="24"/>
                <w:rtl/>
              </w:rPr>
              <w:t xml:space="preserve">סעיף 6 </w:t>
            </w:r>
          </w:p>
        </w:tc>
        <w:tc>
          <w:tcPr>
            <w:tcW w:w="5669" w:type="dxa"/>
          </w:tcPr>
          <w:p w:rsidR="0066168F" w:rsidRPr="0066168F" w:rsidRDefault="0066168F" w:rsidP="0066168F">
            <w:pPr>
              <w:spacing w:line="240" w:lineRule="auto"/>
              <w:jc w:val="left"/>
              <w:rPr>
                <w:rFonts w:cs="Frankruhel"/>
                <w:sz w:val="24"/>
                <w:rtl/>
              </w:rPr>
            </w:pPr>
            <w:r>
              <w:rPr>
                <w:sz w:val="24"/>
                <w:rtl/>
              </w:rPr>
              <w:t>מסירת טפסים</w:t>
            </w:r>
          </w:p>
        </w:tc>
        <w:tc>
          <w:tcPr>
            <w:tcW w:w="567" w:type="dxa"/>
          </w:tcPr>
          <w:p w:rsidR="0066168F" w:rsidRPr="0066168F" w:rsidRDefault="0066168F" w:rsidP="0066168F">
            <w:pPr>
              <w:spacing w:line="240" w:lineRule="auto"/>
              <w:jc w:val="left"/>
              <w:rPr>
                <w:rStyle w:val="Hyperlink"/>
                <w:rtl/>
              </w:rPr>
            </w:pPr>
            <w:hyperlink w:anchor="Seif6" w:tooltip="מסירת טפסים" w:history="1">
              <w:r w:rsidRPr="0066168F">
                <w:rPr>
                  <w:rStyle w:val="Hyperlink"/>
                </w:rPr>
                <w:t>Go</w:t>
              </w:r>
            </w:hyperlink>
          </w:p>
        </w:tc>
        <w:tc>
          <w:tcPr>
            <w:tcW w:w="850" w:type="dxa"/>
          </w:tcPr>
          <w:p w:rsidR="0066168F" w:rsidRPr="0066168F" w:rsidRDefault="0066168F" w:rsidP="0066168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6168F" w:rsidRPr="0066168F" w:rsidTr="0066168F">
        <w:tblPrEx>
          <w:tblCellMar>
            <w:top w:w="0" w:type="dxa"/>
            <w:bottom w:w="0" w:type="dxa"/>
          </w:tblCellMar>
        </w:tblPrEx>
        <w:tc>
          <w:tcPr>
            <w:tcW w:w="1247" w:type="dxa"/>
          </w:tcPr>
          <w:p w:rsidR="0066168F" w:rsidRPr="0066168F" w:rsidRDefault="0066168F" w:rsidP="0066168F">
            <w:pPr>
              <w:spacing w:line="240" w:lineRule="auto"/>
              <w:jc w:val="left"/>
              <w:rPr>
                <w:rFonts w:cs="Frankruhel"/>
                <w:sz w:val="24"/>
                <w:rtl/>
              </w:rPr>
            </w:pPr>
            <w:r>
              <w:rPr>
                <w:sz w:val="24"/>
                <w:rtl/>
              </w:rPr>
              <w:t xml:space="preserve">סעיף 7 </w:t>
            </w:r>
          </w:p>
        </w:tc>
        <w:tc>
          <w:tcPr>
            <w:tcW w:w="5669" w:type="dxa"/>
          </w:tcPr>
          <w:p w:rsidR="0066168F" w:rsidRPr="0066168F" w:rsidRDefault="0066168F" w:rsidP="0066168F">
            <w:pPr>
              <w:spacing w:line="240" w:lineRule="auto"/>
              <w:jc w:val="left"/>
              <w:rPr>
                <w:rFonts w:cs="Frankruhel"/>
                <w:sz w:val="24"/>
                <w:rtl/>
              </w:rPr>
            </w:pPr>
            <w:r>
              <w:rPr>
                <w:sz w:val="24"/>
                <w:rtl/>
              </w:rPr>
              <w:t>תשובת הנתבע</w:t>
            </w:r>
          </w:p>
        </w:tc>
        <w:tc>
          <w:tcPr>
            <w:tcW w:w="567" w:type="dxa"/>
          </w:tcPr>
          <w:p w:rsidR="0066168F" w:rsidRPr="0066168F" w:rsidRDefault="0066168F" w:rsidP="0066168F">
            <w:pPr>
              <w:spacing w:line="240" w:lineRule="auto"/>
              <w:jc w:val="left"/>
              <w:rPr>
                <w:rStyle w:val="Hyperlink"/>
                <w:rtl/>
              </w:rPr>
            </w:pPr>
            <w:hyperlink w:anchor="Seif7" w:tooltip="תשובת הנתבע" w:history="1">
              <w:r w:rsidRPr="0066168F">
                <w:rPr>
                  <w:rStyle w:val="Hyperlink"/>
                </w:rPr>
                <w:t>Go</w:t>
              </w:r>
            </w:hyperlink>
          </w:p>
        </w:tc>
        <w:tc>
          <w:tcPr>
            <w:tcW w:w="850" w:type="dxa"/>
          </w:tcPr>
          <w:p w:rsidR="0066168F" w:rsidRPr="0066168F" w:rsidRDefault="0066168F" w:rsidP="0066168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6168F" w:rsidRPr="0066168F" w:rsidTr="0066168F">
        <w:tblPrEx>
          <w:tblCellMar>
            <w:top w:w="0" w:type="dxa"/>
            <w:bottom w:w="0" w:type="dxa"/>
          </w:tblCellMar>
        </w:tblPrEx>
        <w:tc>
          <w:tcPr>
            <w:tcW w:w="1247" w:type="dxa"/>
          </w:tcPr>
          <w:p w:rsidR="0066168F" w:rsidRPr="0066168F" w:rsidRDefault="0066168F" w:rsidP="0066168F">
            <w:pPr>
              <w:spacing w:line="240" w:lineRule="auto"/>
              <w:jc w:val="left"/>
              <w:rPr>
                <w:rFonts w:cs="Frankruhel"/>
                <w:sz w:val="24"/>
                <w:rtl/>
              </w:rPr>
            </w:pPr>
            <w:r>
              <w:rPr>
                <w:sz w:val="24"/>
                <w:rtl/>
              </w:rPr>
              <w:t xml:space="preserve">סעיף 8 </w:t>
            </w:r>
          </w:p>
        </w:tc>
        <w:tc>
          <w:tcPr>
            <w:tcW w:w="5669" w:type="dxa"/>
          </w:tcPr>
          <w:p w:rsidR="0066168F" w:rsidRPr="0066168F" w:rsidRDefault="0066168F" w:rsidP="0066168F">
            <w:pPr>
              <w:spacing w:line="240" w:lineRule="auto"/>
              <w:jc w:val="left"/>
              <w:rPr>
                <w:rFonts w:cs="Frankruhel"/>
                <w:sz w:val="24"/>
                <w:rtl/>
              </w:rPr>
            </w:pPr>
            <w:r>
              <w:rPr>
                <w:sz w:val="24"/>
                <w:rtl/>
              </w:rPr>
              <w:t>קביעת מועד לשמיעת התביעה</w:t>
            </w:r>
          </w:p>
        </w:tc>
        <w:tc>
          <w:tcPr>
            <w:tcW w:w="567" w:type="dxa"/>
          </w:tcPr>
          <w:p w:rsidR="0066168F" w:rsidRPr="0066168F" w:rsidRDefault="0066168F" w:rsidP="0066168F">
            <w:pPr>
              <w:spacing w:line="240" w:lineRule="auto"/>
              <w:jc w:val="left"/>
              <w:rPr>
                <w:rStyle w:val="Hyperlink"/>
                <w:rtl/>
              </w:rPr>
            </w:pPr>
            <w:hyperlink w:anchor="Seif8" w:tooltip="קביעת מועד לשמיעת התביעה" w:history="1">
              <w:r w:rsidRPr="0066168F">
                <w:rPr>
                  <w:rStyle w:val="Hyperlink"/>
                </w:rPr>
                <w:t>Go</w:t>
              </w:r>
            </w:hyperlink>
          </w:p>
        </w:tc>
        <w:tc>
          <w:tcPr>
            <w:tcW w:w="850" w:type="dxa"/>
          </w:tcPr>
          <w:p w:rsidR="0066168F" w:rsidRPr="0066168F" w:rsidRDefault="0066168F" w:rsidP="0066168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6168F" w:rsidRPr="0066168F" w:rsidTr="0066168F">
        <w:tblPrEx>
          <w:tblCellMar>
            <w:top w:w="0" w:type="dxa"/>
            <w:bottom w:w="0" w:type="dxa"/>
          </w:tblCellMar>
        </w:tblPrEx>
        <w:tc>
          <w:tcPr>
            <w:tcW w:w="1247" w:type="dxa"/>
          </w:tcPr>
          <w:p w:rsidR="0066168F" w:rsidRPr="0066168F" w:rsidRDefault="0066168F" w:rsidP="0066168F">
            <w:pPr>
              <w:spacing w:line="240" w:lineRule="auto"/>
              <w:jc w:val="left"/>
              <w:rPr>
                <w:rFonts w:cs="Frankruhel"/>
                <w:sz w:val="24"/>
                <w:rtl/>
              </w:rPr>
            </w:pPr>
            <w:r>
              <w:rPr>
                <w:sz w:val="24"/>
                <w:rtl/>
              </w:rPr>
              <w:t xml:space="preserve">סעיף 9 </w:t>
            </w:r>
          </w:p>
        </w:tc>
        <w:tc>
          <w:tcPr>
            <w:tcW w:w="5669" w:type="dxa"/>
          </w:tcPr>
          <w:p w:rsidR="0066168F" w:rsidRPr="0066168F" w:rsidRDefault="0066168F" w:rsidP="0066168F">
            <w:pPr>
              <w:spacing w:line="240" w:lineRule="auto"/>
              <w:jc w:val="left"/>
              <w:rPr>
                <w:rFonts w:cs="Frankruhel"/>
                <w:sz w:val="24"/>
                <w:rtl/>
              </w:rPr>
            </w:pPr>
            <w:r>
              <w:rPr>
                <w:sz w:val="24"/>
                <w:rtl/>
              </w:rPr>
              <w:t>התיצבות לחקירה שכנגד</w:t>
            </w:r>
          </w:p>
        </w:tc>
        <w:tc>
          <w:tcPr>
            <w:tcW w:w="567" w:type="dxa"/>
          </w:tcPr>
          <w:p w:rsidR="0066168F" w:rsidRPr="0066168F" w:rsidRDefault="0066168F" w:rsidP="0066168F">
            <w:pPr>
              <w:spacing w:line="240" w:lineRule="auto"/>
              <w:jc w:val="left"/>
              <w:rPr>
                <w:rStyle w:val="Hyperlink"/>
                <w:rtl/>
              </w:rPr>
            </w:pPr>
            <w:hyperlink w:anchor="Seif9" w:tooltip="התיצבות לחקירה שכנגד" w:history="1">
              <w:r w:rsidRPr="0066168F">
                <w:rPr>
                  <w:rStyle w:val="Hyperlink"/>
                </w:rPr>
                <w:t>Go</w:t>
              </w:r>
            </w:hyperlink>
          </w:p>
        </w:tc>
        <w:tc>
          <w:tcPr>
            <w:tcW w:w="850" w:type="dxa"/>
          </w:tcPr>
          <w:p w:rsidR="0066168F" w:rsidRPr="0066168F" w:rsidRDefault="0066168F" w:rsidP="0066168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6168F" w:rsidRPr="0066168F" w:rsidTr="0066168F">
        <w:tblPrEx>
          <w:tblCellMar>
            <w:top w:w="0" w:type="dxa"/>
            <w:bottom w:w="0" w:type="dxa"/>
          </w:tblCellMar>
        </w:tblPrEx>
        <w:tc>
          <w:tcPr>
            <w:tcW w:w="1247" w:type="dxa"/>
          </w:tcPr>
          <w:p w:rsidR="0066168F" w:rsidRPr="0066168F" w:rsidRDefault="0066168F" w:rsidP="0066168F">
            <w:pPr>
              <w:spacing w:line="240" w:lineRule="auto"/>
              <w:jc w:val="left"/>
              <w:rPr>
                <w:rFonts w:cs="Frankruhel"/>
                <w:sz w:val="24"/>
                <w:rtl/>
              </w:rPr>
            </w:pPr>
            <w:r>
              <w:rPr>
                <w:sz w:val="24"/>
                <w:rtl/>
              </w:rPr>
              <w:t xml:space="preserve">סעיף 10 </w:t>
            </w:r>
          </w:p>
        </w:tc>
        <w:tc>
          <w:tcPr>
            <w:tcW w:w="5669" w:type="dxa"/>
          </w:tcPr>
          <w:p w:rsidR="0066168F" w:rsidRPr="0066168F" w:rsidRDefault="0066168F" w:rsidP="0066168F">
            <w:pPr>
              <w:spacing w:line="240" w:lineRule="auto"/>
              <w:jc w:val="left"/>
              <w:rPr>
                <w:rFonts w:cs="Frankruhel"/>
                <w:sz w:val="24"/>
                <w:rtl/>
              </w:rPr>
            </w:pPr>
            <w:r>
              <w:rPr>
                <w:sz w:val="24"/>
                <w:rtl/>
              </w:rPr>
              <w:t>טענות בעלי דין</w:t>
            </w:r>
          </w:p>
        </w:tc>
        <w:tc>
          <w:tcPr>
            <w:tcW w:w="567" w:type="dxa"/>
          </w:tcPr>
          <w:p w:rsidR="0066168F" w:rsidRPr="0066168F" w:rsidRDefault="0066168F" w:rsidP="0066168F">
            <w:pPr>
              <w:spacing w:line="240" w:lineRule="auto"/>
              <w:jc w:val="left"/>
              <w:rPr>
                <w:rStyle w:val="Hyperlink"/>
                <w:rtl/>
              </w:rPr>
            </w:pPr>
            <w:hyperlink w:anchor="Seif10" w:tooltip="טענות בעלי דין" w:history="1">
              <w:r w:rsidRPr="0066168F">
                <w:rPr>
                  <w:rStyle w:val="Hyperlink"/>
                </w:rPr>
                <w:t>Go</w:t>
              </w:r>
            </w:hyperlink>
          </w:p>
        </w:tc>
        <w:tc>
          <w:tcPr>
            <w:tcW w:w="850" w:type="dxa"/>
          </w:tcPr>
          <w:p w:rsidR="0066168F" w:rsidRPr="0066168F" w:rsidRDefault="0066168F" w:rsidP="0066168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6168F" w:rsidRPr="0066168F" w:rsidTr="0066168F">
        <w:tblPrEx>
          <w:tblCellMar>
            <w:top w:w="0" w:type="dxa"/>
            <w:bottom w:w="0" w:type="dxa"/>
          </w:tblCellMar>
        </w:tblPrEx>
        <w:tc>
          <w:tcPr>
            <w:tcW w:w="1247" w:type="dxa"/>
          </w:tcPr>
          <w:p w:rsidR="0066168F" w:rsidRPr="0066168F" w:rsidRDefault="0066168F" w:rsidP="0066168F">
            <w:pPr>
              <w:spacing w:line="240" w:lineRule="auto"/>
              <w:jc w:val="left"/>
              <w:rPr>
                <w:rFonts w:cs="Frankruhel"/>
                <w:sz w:val="24"/>
                <w:rtl/>
              </w:rPr>
            </w:pPr>
            <w:r>
              <w:rPr>
                <w:sz w:val="24"/>
                <w:rtl/>
              </w:rPr>
              <w:t xml:space="preserve">סעיף 11 </w:t>
            </w:r>
          </w:p>
        </w:tc>
        <w:tc>
          <w:tcPr>
            <w:tcW w:w="5669" w:type="dxa"/>
          </w:tcPr>
          <w:p w:rsidR="0066168F" w:rsidRPr="0066168F" w:rsidRDefault="0066168F" w:rsidP="0066168F">
            <w:pPr>
              <w:spacing w:line="240" w:lineRule="auto"/>
              <w:jc w:val="left"/>
              <w:rPr>
                <w:rFonts w:cs="Frankruhel"/>
                <w:sz w:val="24"/>
                <w:rtl/>
              </w:rPr>
            </w:pPr>
            <w:r>
              <w:rPr>
                <w:sz w:val="24"/>
                <w:rtl/>
              </w:rPr>
              <w:t>טענות פגם</w:t>
            </w:r>
          </w:p>
        </w:tc>
        <w:tc>
          <w:tcPr>
            <w:tcW w:w="567" w:type="dxa"/>
          </w:tcPr>
          <w:p w:rsidR="0066168F" w:rsidRPr="0066168F" w:rsidRDefault="0066168F" w:rsidP="0066168F">
            <w:pPr>
              <w:spacing w:line="240" w:lineRule="auto"/>
              <w:jc w:val="left"/>
              <w:rPr>
                <w:rStyle w:val="Hyperlink"/>
                <w:rtl/>
              </w:rPr>
            </w:pPr>
            <w:hyperlink w:anchor="Seif11" w:tooltip="טענות פגם" w:history="1">
              <w:r w:rsidRPr="0066168F">
                <w:rPr>
                  <w:rStyle w:val="Hyperlink"/>
                </w:rPr>
                <w:t>Go</w:t>
              </w:r>
            </w:hyperlink>
          </w:p>
        </w:tc>
        <w:tc>
          <w:tcPr>
            <w:tcW w:w="850" w:type="dxa"/>
          </w:tcPr>
          <w:p w:rsidR="0066168F" w:rsidRPr="0066168F" w:rsidRDefault="0066168F" w:rsidP="0066168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6168F" w:rsidRPr="0066168F" w:rsidTr="0066168F">
        <w:tblPrEx>
          <w:tblCellMar>
            <w:top w:w="0" w:type="dxa"/>
            <w:bottom w:w="0" w:type="dxa"/>
          </w:tblCellMar>
        </w:tblPrEx>
        <w:tc>
          <w:tcPr>
            <w:tcW w:w="1247" w:type="dxa"/>
          </w:tcPr>
          <w:p w:rsidR="0066168F" w:rsidRPr="0066168F" w:rsidRDefault="0066168F" w:rsidP="0066168F">
            <w:pPr>
              <w:spacing w:line="240" w:lineRule="auto"/>
              <w:jc w:val="left"/>
              <w:rPr>
                <w:rFonts w:cs="Frankruhel"/>
                <w:sz w:val="24"/>
                <w:rtl/>
              </w:rPr>
            </w:pPr>
            <w:r>
              <w:rPr>
                <w:sz w:val="24"/>
                <w:rtl/>
              </w:rPr>
              <w:t xml:space="preserve">סעיף 12 </w:t>
            </w:r>
          </w:p>
        </w:tc>
        <w:tc>
          <w:tcPr>
            <w:tcW w:w="5669" w:type="dxa"/>
          </w:tcPr>
          <w:p w:rsidR="0066168F" w:rsidRPr="0066168F" w:rsidRDefault="0066168F" w:rsidP="0066168F">
            <w:pPr>
              <w:spacing w:line="240" w:lineRule="auto"/>
              <w:jc w:val="left"/>
              <w:rPr>
                <w:rFonts w:cs="Frankruhel"/>
                <w:sz w:val="24"/>
                <w:rtl/>
              </w:rPr>
            </w:pPr>
            <w:r>
              <w:rPr>
                <w:sz w:val="24"/>
                <w:rtl/>
              </w:rPr>
              <w:t>נימוקים שאין שומעים אותם</w:t>
            </w:r>
          </w:p>
        </w:tc>
        <w:tc>
          <w:tcPr>
            <w:tcW w:w="567" w:type="dxa"/>
          </w:tcPr>
          <w:p w:rsidR="0066168F" w:rsidRPr="0066168F" w:rsidRDefault="0066168F" w:rsidP="0066168F">
            <w:pPr>
              <w:spacing w:line="240" w:lineRule="auto"/>
              <w:jc w:val="left"/>
              <w:rPr>
                <w:rStyle w:val="Hyperlink"/>
                <w:rtl/>
              </w:rPr>
            </w:pPr>
            <w:hyperlink w:anchor="Seif12" w:tooltip="נימוקים שאין שומעים אותם" w:history="1">
              <w:r w:rsidRPr="0066168F">
                <w:rPr>
                  <w:rStyle w:val="Hyperlink"/>
                </w:rPr>
                <w:t>Go</w:t>
              </w:r>
            </w:hyperlink>
          </w:p>
        </w:tc>
        <w:tc>
          <w:tcPr>
            <w:tcW w:w="850" w:type="dxa"/>
          </w:tcPr>
          <w:p w:rsidR="0066168F" w:rsidRPr="0066168F" w:rsidRDefault="0066168F" w:rsidP="0066168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6168F" w:rsidRPr="0066168F" w:rsidTr="0066168F">
        <w:tblPrEx>
          <w:tblCellMar>
            <w:top w:w="0" w:type="dxa"/>
            <w:bottom w:w="0" w:type="dxa"/>
          </w:tblCellMar>
        </w:tblPrEx>
        <w:tc>
          <w:tcPr>
            <w:tcW w:w="1247" w:type="dxa"/>
          </w:tcPr>
          <w:p w:rsidR="0066168F" w:rsidRPr="0066168F" w:rsidRDefault="0066168F" w:rsidP="0066168F">
            <w:pPr>
              <w:spacing w:line="240" w:lineRule="auto"/>
              <w:jc w:val="left"/>
              <w:rPr>
                <w:rFonts w:cs="Frankruhel"/>
                <w:sz w:val="24"/>
                <w:rtl/>
              </w:rPr>
            </w:pPr>
            <w:r>
              <w:rPr>
                <w:sz w:val="24"/>
                <w:rtl/>
              </w:rPr>
              <w:t xml:space="preserve">סעיף 13 </w:t>
            </w:r>
          </w:p>
        </w:tc>
        <w:tc>
          <w:tcPr>
            <w:tcW w:w="5669" w:type="dxa"/>
          </w:tcPr>
          <w:p w:rsidR="0066168F" w:rsidRPr="0066168F" w:rsidRDefault="0066168F" w:rsidP="0066168F">
            <w:pPr>
              <w:spacing w:line="240" w:lineRule="auto"/>
              <w:jc w:val="left"/>
              <w:rPr>
                <w:rFonts w:cs="Frankruhel"/>
                <w:sz w:val="24"/>
                <w:rtl/>
              </w:rPr>
            </w:pPr>
            <w:r>
              <w:rPr>
                <w:sz w:val="24"/>
                <w:rtl/>
              </w:rPr>
              <w:t>סמכויות יושב ראש הועדה</w:t>
            </w:r>
          </w:p>
        </w:tc>
        <w:tc>
          <w:tcPr>
            <w:tcW w:w="567" w:type="dxa"/>
          </w:tcPr>
          <w:p w:rsidR="0066168F" w:rsidRPr="0066168F" w:rsidRDefault="0066168F" w:rsidP="0066168F">
            <w:pPr>
              <w:spacing w:line="240" w:lineRule="auto"/>
              <w:jc w:val="left"/>
              <w:rPr>
                <w:rStyle w:val="Hyperlink"/>
                <w:rtl/>
              </w:rPr>
            </w:pPr>
            <w:hyperlink w:anchor="Seif13" w:tooltip="סמכויות יושב ראש הועדה" w:history="1">
              <w:r w:rsidRPr="0066168F">
                <w:rPr>
                  <w:rStyle w:val="Hyperlink"/>
                </w:rPr>
                <w:t>Go</w:t>
              </w:r>
            </w:hyperlink>
          </w:p>
        </w:tc>
        <w:tc>
          <w:tcPr>
            <w:tcW w:w="850" w:type="dxa"/>
          </w:tcPr>
          <w:p w:rsidR="0066168F" w:rsidRPr="0066168F" w:rsidRDefault="0066168F" w:rsidP="0066168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6168F" w:rsidRPr="0066168F" w:rsidTr="0066168F">
        <w:tblPrEx>
          <w:tblCellMar>
            <w:top w:w="0" w:type="dxa"/>
            <w:bottom w:w="0" w:type="dxa"/>
          </w:tblCellMar>
        </w:tblPrEx>
        <w:tc>
          <w:tcPr>
            <w:tcW w:w="1247" w:type="dxa"/>
          </w:tcPr>
          <w:p w:rsidR="0066168F" w:rsidRPr="0066168F" w:rsidRDefault="0066168F" w:rsidP="0066168F">
            <w:pPr>
              <w:spacing w:line="240" w:lineRule="auto"/>
              <w:jc w:val="left"/>
              <w:rPr>
                <w:rFonts w:cs="Frankruhel"/>
                <w:sz w:val="24"/>
                <w:rtl/>
              </w:rPr>
            </w:pPr>
            <w:r>
              <w:rPr>
                <w:sz w:val="24"/>
                <w:rtl/>
              </w:rPr>
              <w:t xml:space="preserve">סעיף 14 </w:t>
            </w:r>
          </w:p>
        </w:tc>
        <w:tc>
          <w:tcPr>
            <w:tcW w:w="5669" w:type="dxa"/>
          </w:tcPr>
          <w:p w:rsidR="0066168F" w:rsidRPr="0066168F" w:rsidRDefault="0066168F" w:rsidP="0066168F">
            <w:pPr>
              <w:spacing w:line="240" w:lineRule="auto"/>
              <w:jc w:val="left"/>
              <w:rPr>
                <w:rFonts w:cs="Frankruhel"/>
                <w:sz w:val="24"/>
                <w:rtl/>
              </w:rPr>
            </w:pPr>
            <w:r>
              <w:rPr>
                <w:sz w:val="24"/>
                <w:rtl/>
              </w:rPr>
              <w:t>דחיית הבירור</w:t>
            </w:r>
          </w:p>
        </w:tc>
        <w:tc>
          <w:tcPr>
            <w:tcW w:w="567" w:type="dxa"/>
          </w:tcPr>
          <w:p w:rsidR="0066168F" w:rsidRPr="0066168F" w:rsidRDefault="0066168F" w:rsidP="0066168F">
            <w:pPr>
              <w:spacing w:line="240" w:lineRule="auto"/>
              <w:jc w:val="left"/>
              <w:rPr>
                <w:rStyle w:val="Hyperlink"/>
                <w:rtl/>
              </w:rPr>
            </w:pPr>
            <w:hyperlink w:anchor="Seif14" w:tooltip="דחיית הבירור" w:history="1">
              <w:r w:rsidRPr="0066168F">
                <w:rPr>
                  <w:rStyle w:val="Hyperlink"/>
                </w:rPr>
                <w:t>Go</w:t>
              </w:r>
            </w:hyperlink>
          </w:p>
        </w:tc>
        <w:tc>
          <w:tcPr>
            <w:tcW w:w="850" w:type="dxa"/>
          </w:tcPr>
          <w:p w:rsidR="0066168F" w:rsidRPr="0066168F" w:rsidRDefault="0066168F" w:rsidP="0066168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6168F" w:rsidRPr="0066168F" w:rsidTr="0066168F">
        <w:tblPrEx>
          <w:tblCellMar>
            <w:top w:w="0" w:type="dxa"/>
            <w:bottom w:w="0" w:type="dxa"/>
          </w:tblCellMar>
        </w:tblPrEx>
        <w:tc>
          <w:tcPr>
            <w:tcW w:w="1247" w:type="dxa"/>
          </w:tcPr>
          <w:p w:rsidR="0066168F" w:rsidRPr="0066168F" w:rsidRDefault="0066168F" w:rsidP="0066168F">
            <w:pPr>
              <w:spacing w:line="240" w:lineRule="auto"/>
              <w:jc w:val="left"/>
              <w:rPr>
                <w:rFonts w:cs="Frankruhel"/>
                <w:sz w:val="24"/>
                <w:rtl/>
              </w:rPr>
            </w:pPr>
            <w:r>
              <w:rPr>
                <w:sz w:val="24"/>
                <w:rtl/>
              </w:rPr>
              <w:t xml:space="preserve">סעיף 15 </w:t>
            </w:r>
          </w:p>
        </w:tc>
        <w:tc>
          <w:tcPr>
            <w:tcW w:w="5669" w:type="dxa"/>
          </w:tcPr>
          <w:p w:rsidR="0066168F" w:rsidRPr="0066168F" w:rsidRDefault="0066168F" w:rsidP="0066168F">
            <w:pPr>
              <w:spacing w:line="240" w:lineRule="auto"/>
              <w:jc w:val="left"/>
              <w:rPr>
                <w:rFonts w:cs="Frankruhel"/>
                <w:sz w:val="24"/>
                <w:rtl/>
              </w:rPr>
            </w:pPr>
            <w:r>
              <w:rPr>
                <w:sz w:val="24"/>
                <w:rtl/>
              </w:rPr>
              <w:t>החלטת הועדה</w:t>
            </w:r>
          </w:p>
        </w:tc>
        <w:tc>
          <w:tcPr>
            <w:tcW w:w="567" w:type="dxa"/>
          </w:tcPr>
          <w:p w:rsidR="0066168F" w:rsidRPr="0066168F" w:rsidRDefault="0066168F" w:rsidP="0066168F">
            <w:pPr>
              <w:spacing w:line="240" w:lineRule="auto"/>
              <w:jc w:val="left"/>
              <w:rPr>
                <w:rStyle w:val="Hyperlink"/>
                <w:rtl/>
              </w:rPr>
            </w:pPr>
            <w:hyperlink w:anchor="Seif15" w:tooltip="החלטת הועדה" w:history="1">
              <w:r w:rsidRPr="0066168F">
                <w:rPr>
                  <w:rStyle w:val="Hyperlink"/>
                </w:rPr>
                <w:t>Go</w:t>
              </w:r>
            </w:hyperlink>
          </w:p>
        </w:tc>
        <w:tc>
          <w:tcPr>
            <w:tcW w:w="850" w:type="dxa"/>
          </w:tcPr>
          <w:p w:rsidR="0066168F" w:rsidRPr="0066168F" w:rsidRDefault="0066168F" w:rsidP="0066168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6168F" w:rsidRPr="0066168F" w:rsidTr="0066168F">
        <w:tblPrEx>
          <w:tblCellMar>
            <w:top w:w="0" w:type="dxa"/>
            <w:bottom w:w="0" w:type="dxa"/>
          </w:tblCellMar>
        </w:tblPrEx>
        <w:tc>
          <w:tcPr>
            <w:tcW w:w="1247" w:type="dxa"/>
          </w:tcPr>
          <w:p w:rsidR="0066168F" w:rsidRPr="0066168F" w:rsidRDefault="0066168F" w:rsidP="0066168F">
            <w:pPr>
              <w:spacing w:line="240" w:lineRule="auto"/>
              <w:jc w:val="left"/>
              <w:rPr>
                <w:rFonts w:cs="Frankruhel"/>
                <w:sz w:val="24"/>
                <w:rtl/>
              </w:rPr>
            </w:pPr>
            <w:r>
              <w:rPr>
                <w:sz w:val="24"/>
                <w:rtl/>
              </w:rPr>
              <w:t xml:space="preserve">סעיף 16 </w:t>
            </w:r>
          </w:p>
        </w:tc>
        <w:tc>
          <w:tcPr>
            <w:tcW w:w="5669" w:type="dxa"/>
          </w:tcPr>
          <w:p w:rsidR="0066168F" w:rsidRPr="0066168F" w:rsidRDefault="0066168F" w:rsidP="0066168F">
            <w:pPr>
              <w:spacing w:line="240" w:lineRule="auto"/>
              <w:jc w:val="left"/>
              <w:rPr>
                <w:rFonts w:cs="Frankruhel"/>
                <w:sz w:val="24"/>
                <w:rtl/>
              </w:rPr>
            </w:pPr>
            <w:r>
              <w:rPr>
                <w:sz w:val="24"/>
                <w:rtl/>
              </w:rPr>
              <w:t>הוצאות הבקשה</w:t>
            </w:r>
          </w:p>
        </w:tc>
        <w:tc>
          <w:tcPr>
            <w:tcW w:w="567" w:type="dxa"/>
          </w:tcPr>
          <w:p w:rsidR="0066168F" w:rsidRPr="0066168F" w:rsidRDefault="0066168F" w:rsidP="0066168F">
            <w:pPr>
              <w:spacing w:line="240" w:lineRule="auto"/>
              <w:jc w:val="left"/>
              <w:rPr>
                <w:rStyle w:val="Hyperlink"/>
                <w:rtl/>
              </w:rPr>
            </w:pPr>
            <w:hyperlink w:anchor="Seif16" w:tooltip="הוצאות הבקשה" w:history="1">
              <w:r w:rsidRPr="0066168F">
                <w:rPr>
                  <w:rStyle w:val="Hyperlink"/>
                </w:rPr>
                <w:t>Go</w:t>
              </w:r>
            </w:hyperlink>
          </w:p>
        </w:tc>
        <w:tc>
          <w:tcPr>
            <w:tcW w:w="850" w:type="dxa"/>
          </w:tcPr>
          <w:p w:rsidR="0066168F" w:rsidRPr="0066168F" w:rsidRDefault="0066168F" w:rsidP="0066168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6168F" w:rsidRPr="0066168F" w:rsidTr="0066168F">
        <w:tblPrEx>
          <w:tblCellMar>
            <w:top w:w="0" w:type="dxa"/>
            <w:bottom w:w="0" w:type="dxa"/>
          </w:tblCellMar>
        </w:tblPrEx>
        <w:tc>
          <w:tcPr>
            <w:tcW w:w="1247" w:type="dxa"/>
          </w:tcPr>
          <w:p w:rsidR="0066168F" w:rsidRPr="0066168F" w:rsidRDefault="0066168F" w:rsidP="0066168F">
            <w:pPr>
              <w:spacing w:line="240" w:lineRule="auto"/>
              <w:jc w:val="left"/>
              <w:rPr>
                <w:rFonts w:cs="Frankruhel"/>
                <w:sz w:val="24"/>
                <w:rtl/>
              </w:rPr>
            </w:pPr>
            <w:r>
              <w:rPr>
                <w:sz w:val="24"/>
                <w:rtl/>
              </w:rPr>
              <w:t xml:space="preserve">סעיף 17 </w:t>
            </w:r>
          </w:p>
        </w:tc>
        <w:tc>
          <w:tcPr>
            <w:tcW w:w="5669" w:type="dxa"/>
          </w:tcPr>
          <w:p w:rsidR="0066168F" w:rsidRPr="0066168F" w:rsidRDefault="0066168F" w:rsidP="0066168F">
            <w:pPr>
              <w:spacing w:line="240" w:lineRule="auto"/>
              <w:jc w:val="left"/>
              <w:rPr>
                <w:rFonts w:cs="Frankruhel"/>
                <w:sz w:val="24"/>
                <w:rtl/>
              </w:rPr>
            </w:pPr>
            <w:r>
              <w:rPr>
                <w:sz w:val="24"/>
                <w:rtl/>
              </w:rPr>
              <w:t>אי התיצבות בשעת הבירור</w:t>
            </w:r>
          </w:p>
        </w:tc>
        <w:tc>
          <w:tcPr>
            <w:tcW w:w="567" w:type="dxa"/>
          </w:tcPr>
          <w:p w:rsidR="0066168F" w:rsidRPr="0066168F" w:rsidRDefault="0066168F" w:rsidP="0066168F">
            <w:pPr>
              <w:spacing w:line="240" w:lineRule="auto"/>
              <w:jc w:val="left"/>
              <w:rPr>
                <w:rStyle w:val="Hyperlink"/>
                <w:rtl/>
              </w:rPr>
            </w:pPr>
            <w:hyperlink w:anchor="Seif17" w:tooltip="אי התיצבות בשעת הבירור" w:history="1">
              <w:r w:rsidRPr="0066168F">
                <w:rPr>
                  <w:rStyle w:val="Hyperlink"/>
                </w:rPr>
                <w:t>Go</w:t>
              </w:r>
            </w:hyperlink>
          </w:p>
        </w:tc>
        <w:tc>
          <w:tcPr>
            <w:tcW w:w="850" w:type="dxa"/>
          </w:tcPr>
          <w:p w:rsidR="0066168F" w:rsidRPr="0066168F" w:rsidRDefault="0066168F" w:rsidP="0066168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6168F" w:rsidRPr="0066168F" w:rsidTr="0066168F">
        <w:tblPrEx>
          <w:tblCellMar>
            <w:top w:w="0" w:type="dxa"/>
            <w:bottom w:w="0" w:type="dxa"/>
          </w:tblCellMar>
        </w:tblPrEx>
        <w:tc>
          <w:tcPr>
            <w:tcW w:w="1247" w:type="dxa"/>
          </w:tcPr>
          <w:p w:rsidR="0066168F" w:rsidRPr="0066168F" w:rsidRDefault="0066168F" w:rsidP="0066168F">
            <w:pPr>
              <w:spacing w:line="240" w:lineRule="auto"/>
              <w:jc w:val="left"/>
              <w:rPr>
                <w:rFonts w:cs="Frankruhel"/>
                <w:sz w:val="24"/>
                <w:rtl/>
              </w:rPr>
            </w:pPr>
            <w:r>
              <w:rPr>
                <w:sz w:val="24"/>
                <w:rtl/>
              </w:rPr>
              <w:t xml:space="preserve">סעיף 18 </w:t>
            </w:r>
          </w:p>
        </w:tc>
        <w:tc>
          <w:tcPr>
            <w:tcW w:w="5669" w:type="dxa"/>
          </w:tcPr>
          <w:p w:rsidR="0066168F" w:rsidRPr="0066168F" w:rsidRDefault="0066168F" w:rsidP="0066168F">
            <w:pPr>
              <w:spacing w:line="240" w:lineRule="auto"/>
              <w:jc w:val="left"/>
              <w:rPr>
                <w:rFonts w:cs="Frankruhel"/>
                <w:sz w:val="24"/>
                <w:rtl/>
              </w:rPr>
            </w:pPr>
            <w:r>
              <w:rPr>
                <w:sz w:val="24"/>
                <w:rtl/>
              </w:rPr>
              <w:t>מיזוג בקשות</w:t>
            </w:r>
          </w:p>
        </w:tc>
        <w:tc>
          <w:tcPr>
            <w:tcW w:w="567" w:type="dxa"/>
          </w:tcPr>
          <w:p w:rsidR="0066168F" w:rsidRPr="0066168F" w:rsidRDefault="0066168F" w:rsidP="0066168F">
            <w:pPr>
              <w:spacing w:line="240" w:lineRule="auto"/>
              <w:jc w:val="left"/>
              <w:rPr>
                <w:rStyle w:val="Hyperlink"/>
                <w:rtl/>
              </w:rPr>
            </w:pPr>
            <w:hyperlink w:anchor="Seif18" w:tooltip="מיזוג בקשות" w:history="1">
              <w:r w:rsidRPr="0066168F">
                <w:rPr>
                  <w:rStyle w:val="Hyperlink"/>
                </w:rPr>
                <w:t>Go</w:t>
              </w:r>
            </w:hyperlink>
          </w:p>
        </w:tc>
        <w:tc>
          <w:tcPr>
            <w:tcW w:w="850" w:type="dxa"/>
          </w:tcPr>
          <w:p w:rsidR="0066168F" w:rsidRPr="0066168F" w:rsidRDefault="0066168F" w:rsidP="0066168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6168F" w:rsidRPr="0066168F" w:rsidTr="0066168F">
        <w:tblPrEx>
          <w:tblCellMar>
            <w:top w:w="0" w:type="dxa"/>
            <w:bottom w:w="0" w:type="dxa"/>
          </w:tblCellMar>
        </w:tblPrEx>
        <w:tc>
          <w:tcPr>
            <w:tcW w:w="1247" w:type="dxa"/>
          </w:tcPr>
          <w:p w:rsidR="0066168F" w:rsidRPr="0066168F" w:rsidRDefault="0066168F" w:rsidP="0066168F">
            <w:pPr>
              <w:spacing w:line="240" w:lineRule="auto"/>
              <w:jc w:val="left"/>
              <w:rPr>
                <w:rFonts w:cs="Frankruhel"/>
                <w:sz w:val="24"/>
                <w:rtl/>
              </w:rPr>
            </w:pPr>
            <w:r>
              <w:rPr>
                <w:sz w:val="24"/>
                <w:rtl/>
              </w:rPr>
              <w:t xml:space="preserve">סעיף 19 </w:t>
            </w:r>
          </w:p>
        </w:tc>
        <w:tc>
          <w:tcPr>
            <w:tcW w:w="5669" w:type="dxa"/>
          </w:tcPr>
          <w:p w:rsidR="0066168F" w:rsidRPr="0066168F" w:rsidRDefault="0066168F" w:rsidP="0066168F">
            <w:pPr>
              <w:spacing w:line="240" w:lineRule="auto"/>
              <w:jc w:val="left"/>
              <w:rPr>
                <w:rFonts w:cs="Frankruhel"/>
                <w:sz w:val="24"/>
                <w:rtl/>
              </w:rPr>
            </w:pPr>
            <w:r>
              <w:rPr>
                <w:sz w:val="24"/>
                <w:rtl/>
              </w:rPr>
              <w:t>צירוף בעלי דין</w:t>
            </w:r>
          </w:p>
        </w:tc>
        <w:tc>
          <w:tcPr>
            <w:tcW w:w="567" w:type="dxa"/>
          </w:tcPr>
          <w:p w:rsidR="0066168F" w:rsidRPr="0066168F" w:rsidRDefault="0066168F" w:rsidP="0066168F">
            <w:pPr>
              <w:spacing w:line="240" w:lineRule="auto"/>
              <w:jc w:val="left"/>
              <w:rPr>
                <w:rStyle w:val="Hyperlink"/>
                <w:rtl/>
              </w:rPr>
            </w:pPr>
            <w:hyperlink w:anchor="Seif19" w:tooltip="צירוף בעלי דין" w:history="1">
              <w:r w:rsidRPr="0066168F">
                <w:rPr>
                  <w:rStyle w:val="Hyperlink"/>
                </w:rPr>
                <w:t>Go</w:t>
              </w:r>
            </w:hyperlink>
          </w:p>
        </w:tc>
        <w:tc>
          <w:tcPr>
            <w:tcW w:w="850" w:type="dxa"/>
          </w:tcPr>
          <w:p w:rsidR="0066168F" w:rsidRPr="0066168F" w:rsidRDefault="0066168F" w:rsidP="0066168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6168F" w:rsidRPr="0066168F" w:rsidTr="0066168F">
        <w:tblPrEx>
          <w:tblCellMar>
            <w:top w:w="0" w:type="dxa"/>
            <w:bottom w:w="0" w:type="dxa"/>
          </w:tblCellMar>
        </w:tblPrEx>
        <w:tc>
          <w:tcPr>
            <w:tcW w:w="1247" w:type="dxa"/>
          </w:tcPr>
          <w:p w:rsidR="0066168F" w:rsidRPr="0066168F" w:rsidRDefault="0066168F" w:rsidP="0066168F">
            <w:pPr>
              <w:spacing w:line="240" w:lineRule="auto"/>
              <w:jc w:val="left"/>
              <w:rPr>
                <w:rFonts w:cs="Frankruhel"/>
                <w:sz w:val="24"/>
                <w:rtl/>
              </w:rPr>
            </w:pPr>
            <w:r>
              <w:rPr>
                <w:sz w:val="24"/>
                <w:rtl/>
              </w:rPr>
              <w:t xml:space="preserve">סעיף 20 </w:t>
            </w:r>
          </w:p>
        </w:tc>
        <w:tc>
          <w:tcPr>
            <w:tcW w:w="5669" w:type="dxa"/>
          </w:tcPr>
          <w:p w:rsidR="0066168F" w:rsidRPr="0066168F" w:rsidRDefault="0066168F" w:rsidP="0066168F">
            <w:pPr>
              <w:spacing w:line="240" w:lineRule="auto"/>
              <w:jc w:val="left"/>
              <w:rPr>
                <w:rFonts w:cs="Frankruhel"/>
                <w:sz w:val="24"/>
                <w:rtl/>
              </w:rPr>
            </w:pPr>
            <w:r>
              <w:rPr>
                <w:sz w:val="24"/>
                <w:rtl/>
              </w:rPr>
              <w:t>השם</w:t>
            </w:r>
          </w:p>
        </w:tc>
        <w:tc>
          <w:tcPr>
            <w:tcW w:w="567" w:type="dxa"/>
          </w:tcPr>
          <w:p w:rsidR="0066168F" w:rsidRPr="0066168F" w:rsidRDefault="0066168F" w:rsidP="0066168F">
            <w:pPr>
              <w:spacing w:line="240" w:lineRule="auto"/>
              <w:jc w:val="left"/>
              <w:rPr>
                <w:rStyle w:val="Hyperlink"/>
                <w:rtl/>
              </w:rPr>
            </w:pPr>
            <w:hyperlink w:anchor="Seif20" w:tooltip="השם" w:history="1">
              <w:r w:rsidRPr="0066168F">
                <w:rPr>
                  <w:rStyle w:val="Hyperlink"/>
                </w:rPr>
                <w:t>Go</w:t>
              </w:r>
            </w:hyperlink>
          </w:p>
        </w:tc>
        <w:tc>
          <w:tcPr>
            <w:tcW w:w="850" w:type="dxa"/>
          </w:tcPr>
          <w:p w:rsidR="0066168F" w:rsidRPr="0066168F" w:rsidRDefault="0066168F" w:rsidP="0066168F">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rsidR="00E57A47" w:rsidRDefault="00E57A47">
      <w:pPr>
        <w:pStyle w:val="big-header"/>
        <w:ind w:left="0" w:right="1134"/>
        <w:rPr>
          <w:rFonts w:cs="FrankRuehl"/>
          <w:sz w:val="32"/>
          <w:rtl/>
        </w:rPr>
      </w:pPr>
    </w:p>
    <w:p w:rsidR="00E57A47" w:rsidRDefault="00E57A47" w:rsidP="00AD206B">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 xml:space="preserve">נות הפטנטים והמדגמים (סדרי הדין לפני ועדת פיצוי ודמי זכיון), </w:t>
      </w:r>
      <w:r>
        <w:rPr>
          <w:rFonts w:cs="FrankRuehl"/>
          <w:sz w:val="32"/>
          <w:rtl/>
        </w:rPr>
        <w:br/>
      </w:r>
      <w:r>
        <w:rPr>
          <w:rFonts w:cs="FrankRuehl" w:hint="cs"/>
          <w:sz w:val="32"/>
          <w:rtl/>
        </w:rPr>
        <w:t>תשי"ב-</w:t>
      </w:r>
      <w:r>
        <w:rPr>
          <w:rFonts w:cs="FrankRuehl"/>
          <w:sz w:val="32"/>
          <w:rtl/>
        </w:rPr>
        <w:t>1952</w:t>
      </w:r>
      <w:r>
        <w:rPr>
          <w:rStyle w:val="default"/>
          <w:rtl/>
        </w:rPr>
        <w:footnoteReference w:customMarkFollows="1" w:id="1"/>
        <w:t>*</w:t>
      </w:r>
    </w:p>
    <w:p w:rsidR="00E57A47" w:rsidRDefault="00E57A47">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סעיף 66(1) לפקודת הפטנטים והמדגמים, אני מתקין תקנות אלה:</w:t>
      </w:r>
    </w:p>
    <w:p w:rsidR="00E57A47" w:rsidRDefault="00E57A47">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5.3pt;z-index:251648000" o:allowincell="f" filled="f" stroked="f" strokecolor="lime" strokeweight=".25pt">
            <v:textbox inset="0,0,0,0">
              <w:txbxContent>
                <w:p w:rsidR="00E57A47" w:rsidRDefault="00E57A47">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rsidR="00E57A47" w:rsidRDefault="00E57A47">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 xml:space="preserve">עדה" פירושו </w:t>
      </w:r>
      <w:r w:rsidR="0057303A">
        <w:rPr>
          <w:rStyle w:val="default"/>
          <w:rFonts w:cs="FrankRuehl"/>
          <w:rtl/>
        </w:rPr>
        <w:t>–</w:t>
      </w:r>
      <w:r>
        <w:rPr>
          <w:rStyle w:val="default"/>
          <w:rFonts w:cs="FrankRuehl"/>
          <w:rtl/>
        </w:rPr>
        <w:t xml:space="preserve"> </w:t>
      </w:r>
      <w:r>
        <w:rPr>
          <w:rStyle w:val="default"/>
          <w:rFonts w:cs="FrankRuehl" w:hint="cs"/>
          <w:rtl/>
        </w:rPr>
        <w:t>ועדת פיצוי ודמי זכיון שהוקמה על פי סעיף 63 לפ</w:t>
      </w:r>
      <w:r>
        <w:rPr>
          <w:rStyle w:val="default"/>
          <w:rFonts w:cs="FrankRuehl"/>
          <w:rtl/>
        </w:rPr>
        <w:t>קו</w:t>
      </w:r>
      <w:r>
        <w:rPr>
          <w:rStyle w:val="default"/>
          <w:rFonts w:cs="FrankRuehl" w:hint="cs"/>
          <w:rtl/>
        </w:rPr>
        <w:t>דה;</w:t>
      </w:r>
    </w:p>
    <w:p w:rsidR="00E57A47" w:rsidRDefault="00E57A47">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ביעה" פירושו </w:t>
      </w:r>
      <w:r w:rsidR="0057303A">
        <w:rPr>
          <w:rStyle w:val="default"/>
          <w:rFonts w:cs="FrankRuehl"/>
          <w:rtl/>
        </w:rPr>
        <w:t>–</w:t>
      </w:r>
      <w:r>
        <w:rPr>
          <w:rStyle w:val="default"/>
          <w:rFonts w:cs="FrankRuehl"/>
          <w:rtl/>
        </w:rPr>
        <w:t xml:space="preserve"> </w:t>
      </w:r>
      <w:r>
        <w:rPr>
          <w:rStyle w:val="default"/>
          <w:rFonts w:cs="FrankRuehl" w:hint="cs"/>
          <w:rtl/>
        </w:rPr>
        <w:t>תביעה שהוגשה לועדה על פי סעיף 36 לפקודה או על פי סעיף 64 לפקודה;</w:t>
      </w:r>
    </w:p>
    <w:p w:rsidR="00E57A47" w:rsidRDefault="00E57A4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וראה" פירושו </w:t>
      </w:r>
      <w:r w:rsidR="0057303A">
        <w:rPr>
          <w:rStyle w:val="default"/>
          <w:rFonts w:cs="FrankRuehl"/>
          <w:rtl/>
        </w:rPr>
        <w:t>–</w:t>
      </w:r>
      <w:r>
        <w:rPr>
          <w:rStyle w:val="default"/>
          <w:rFonts w:cs="FrankRuehl"/>
          <w:rtl/>
        </w:rPr>
        <w:t xml:space="preserve"> </w:t>
      </w:r>
      <w:r>
        <w:rPr>
          <w:rStyle w:val="default"/>
          <w:rFonts w:cs="FrankRuehl" w:hint="cs"/>
          <w:rtl/>
        </w:rPr>
        <w:t>הוראה שניתנה על ידי שר הבטחון לפי סעיף 58 לפקודה;</w:t>
      </w:r>
    </w:p>
    <w:p w:rsidR="00E57A47" w:rsidRDefault="00E57A47">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יתר" פירושו </w:t>
      </w:r>
      <w:r w:rsidR="0057303A">
        <w:rPr>
          <w:rStyle w:val="default"/>
          <w:rFonts w:cs="FrankRuehl"/>
          <w:rtl/>
        </w:rPr>
        <w:t>–</w:t>
      </w:r>
      <w:r>
        <w:rPr>
          <w:rStyle w:val="default"/>
          <w:rFonts w:cs="FrankRuehl"/>
          <w:rtl/>
        </w:rPr>
        <w:t xml:space="preserve"> </w:t>
      </w:r>
      <w:r>
        <w:rPr>
          <w:rStyle w:val="default"/>
          <w:rFonts w:cs="FrankRuehl" w:hint="cs"/>
          <w:rtl/>
        </w:rPr>
        <w:t>היתר שניתן על ידי הממשלה לפי סעיף 62 לפקודה.</w:t>
      </w:r>
    </w:p>
    <w:p w:rsidR="00E57A47" w:rsidRDefault="00E57A47">
      <w:pPr>
        <w:pStyle w:val="P00"/>
        <w:spacing w:before="72"/>
        <w:ind w:left="0" w:right="1134"/>
        <w:rPr>
          <w:rStyle w:val="default"/>
          <w:rFonts w:cs="FrankRuehl" w:hint="cs"/>
          <w:rtl/>
        </w:rPr>
      </w:pPr>
      <w:bookmarkStart w:id="1" w:name="Seif2"/>
      <w:bookmarkEnd w:id="1"/>
      <w:r>
        <w:rPr>
          <w:lang w:val="he-IL"/>
        </w:rPr>
        <w:pict>
          <v:rect id="_x0000_s1027" style="position:absolute;left:0;text-align:left;margin-left:464.5pt;margin-top:8.05pt;width:75.05pt;height:20.25pt;z-index:251649024" o:allowincell="f" filled="f" stroked="f" strokecolor="lime" strokeweight=".25pt">
            <v:textbox inset="0,0,0,0">
              <w:txbxContent>
                <w:p w:rsidR="00E57A47" w:rsidRDefault="00E57A47">
                  <w:pPr>
                    <w:spacing w:line="160" w:lineRule="exact"/>
                    <w:jc w:val="left"/>
                    <w:rPr>
                      <w:rFonts w:cs="Miriam"/>
                      <w:noProof/>
                      <w:sz w:val="18"/>
                      <w:szCs w:val="18"/>
                      <w:rtl/>
                    </w:rPr>
                  </w:pPr>
                  <w:r>
                    <w:rPr>
                      <w:rFonts w:cs="Miriam"/>
                      <w:sz w:val="18"/>
                      <w:szCs w:val="18"/>
                      <w:rtl/>
                    </w:rPr>
                    <w:t>הג</w:t>
                  </w:r>
                  <w:r>
                    <w:rPr>
                      <w:rFonts w:cs="Miriam" w:hint="cs"/>
                      <w:sz w:val="18"/>
                      <w:szCs w:val="18"/>
                      <w:rtl/>
                    </w:rPr>
                    <w:t>שת התביעה</w:t>
                  </w:r>
                </w:p>
                <w:p w:rsidR="00E57A47" w:rsidRDefault="00E57A47">
                  <w:pPr>
                    <w:spacing w:line="160" w:lineRule="exact"/>
                    <w:jc w:val="left"/>
                    <w:rPr>
                      <w:rFonts w:cs="Miriam"/>
                      <w:noProof/>
                      <w:sz w:val="18"/>
                      <w:szCs w:val="18"/>
                      <w:rtl/>
                    </w:rPr>
                  </w:pPr>
                  <w:r>
                    <w:rPr>
                      <w:rFonts w:cs="Miriam"/>
                      <w:sz w:val="18"/>
                      <w:szCs w:val="18"/>
                      <w:rtl/>
                    </w:rPr>
                    <w:t>תק</w:t>
                  </w:r>
                  <w:r>
                    <w:rPr>
                      <w:rFonts w:cs="Miriam" w:hint="cs"/>
                      <w:sz w:val="18"/>
                      <w:szCs w:val="18"/>
                      <w:rtl/>
                    </w:rPr>
                    <w:t>' תשמ"ו-</w:t>
                  </w:r>
                  <w:r>
                    <w:rPr>
                      <w:rFonts w:cs="Miriam"/>
                      <w:sz w:val="18"/>
                      <w:szCs w:val="18"/>
                      <w:rtl/>
                    </w:rPr>
                    <w:t>1986</w:t>
                  </w:r>
                </w:p>
              </w:txbxContent>
            </v:textbox>
            <w10:anchorlock/>
          </v:rect>
        </w:pict>
      </w:r>
      <w:r>
        <w:rPr>
          <w:rStyle w:val="big-number"/>
          <w:rFonts w:cs="Miriam"/>
          <w:rtl/>
        </w:rPr>
        <w:t>2.</w:t>
      </w:r>
      <w:r>
        <w:rPr>
          <w:rStyle w:val="big-number"/>
          <w:rFonts w:cs="Miriam"/>
          <w:rtl/>
        </w:rPr>
        <w:tab/>
      </w:r>
      <w:r>
        <w:rPr>
          <w:rStyle w:val="default"/>
          <w:rFonts w:cs="FrankRuehl"/>
          <w:rtl/>
        </w:rPr>
        <w:t>תב</w:t>
      </w:r>
      <w:r>
        <w:rPr>
          <w:rStyle w:val="default"/>
          <w:rFonts w:cs="FrankRuehl" w:hint="cs"/>
          <w:rtl/>
        </w:rPr>
        <w:t>יעה תוגש לרשם בכתב.</w:t>
      </w:r>
    </w:p>
    <w:p w:rsidR="00E57A47" w:rsidRDefault="00E57A47">
      <w:pPr>
        <w:pStyle w:val="P00"/>
        <w:spacing w:before="0"/>
        <w:ind w:left="0" w:right="1134"/>
        <w:rPr>
          <w:rStyle w:val="default"/>
          <w:rFonts w:cs="FrankRuehl" w:hint="cs"/>
          <w:vanish/>
          <w:color w:val="FF0000"/>
          <w:sz w:val="20"/>
          <w:szCs w:val="20"/>
          <w:shd w:val="clear" w:color="auto" w:fill="FFFF99"/>
          <w:rtl/>
        </w:rPr>
      </w:pPr>
      <w:bookmarkStart w:id="2" w:name="Rov23"/>
      <w:r>
        <w:rPr>
          <w:rStyle w:val="default"/>
          <w:rFonts w:cs="FrankRuehl" w:hint="cs"/>
          <w:vanish/>
          <w:color w:val="FF0000"/>
          <w:sz w:val="20"/>
          <w:szCs w:val="20"/>
          <w:shd w:val="clear" w:color="auto" w:fill="FFFF99"/>
          <w:rtl/>
        </w:rPr>
        <w:t>מיום 1.4.1986</w:t>
      </w:r>
    </w:p>
    <w:p w:rsidR="00E57A47" w:rsidRDefault="00E57A47">
      <w:pPr>
        <w:pStyle w:val="P00"/>
        <w:spacing w:before="0"/>
        <w:ind w:left="0" w:right="1134"/>
        <w:rPr>
          <w:rStyle w:val="default"/>
          <w:rFonts w:cs="FrankRuehl" w:hint="cs"/>
          <w:b/>
          <w:bCs/>
          <w:vanish/>
          <w:sz w:val="20"/>
          <w:szCs w:val="20"/>
          <w:shd w:val="clear" w:color="auto" w:fill="FFFF99"/>
          <w:rtl/>
        </w:rPr>
      </w:pPr>
      <w:r>
        <w:rPr>
          <w:rStyle w:val="default"/>
          <w:rFonts w:cs="FrankRuehl" w:hint="cs"/>
          <w:b/>
          <w:bCs/>
          <w:vanish/>
          <w:sz w:val="20"/>
          <w:szCs w:val="20"/>
          <w:shd w:val="clear" w:color="auto" w:fill="FFFF99"/>
          <w:rtl/>
        </w:rPr>
        <w:t>תק' תשמ"ו-1986</w:t>
      </w:r>
    </w:p>
    <w:p w:rsidR="00E57A47" w:rsidRDefault="00E57A47">
      <w:pPr>
        <w:pStyle w:val="P00"/>
        <w:spacing w:before="0"/>
        <w:ind w:left="0" w:right="1134"/>
        <w:rPr>
          <w:rStyle w:val="default"/>
          <w:rFonts w:cs="FrankRuehl" w:hint="cs"/>
          <w:vanish/>
          <w:sz w:val="20"/>
          <w:szCs w:val="20"/>
          <w:shd w:val="clear" w:color="auto" w:fill="FFFF99"/>
          <w:rtl/>
        </w:rPr>
      </w:pPr>
      <w:hyperlink r:id="rId6" w:history="1">
        <w:r>
          <w:rPr>
            <w:rStyle w:val="Hyperlink"/>
            <w:rFonts w:cs="FrankRuehl" w:hint="cs"/>
            <w:vanish/>
            <w:szCs w:val="20"/>
            <w:shd w:val="clear" w:color="auto" w:fill="FFFF99"/>
            <w:rtl/>
          </w:rPr>
          <w:t>ק"ת תשמ"ו מס' 4917</w:t>
        </w:r>
      </w:hyperlink>
      <w:r>
        <w:rPr>
          <w:rStyle w:val="default"/>
          <w:rFonts w:cs="FrankRuehl" w:hint="cs"/>
          <w:vanish/>
          <w:sz w:val="20"/>
          <w:szCs w:val="20"/>
          <w:shd w:val="clear" w:color="auto" w:fill="FFFF99"/>
          <w:rtl/>
        </w:rPr>
        <w:t xml:space="preserve"> מיום 24.3.1986 עמ' 714</w:t>
      </w:r>
    </w:p>
    <w:p w:rsidR="00E57A47" w:rsidRDefault="00E57A47">
      <w:pPr>
        <w:pStyle w:val="P00"/>
        <w:ind w:left="0" w:right="1134"/>
        <w:rPr>
          <w:rStyle w:val="default"/>
          <w:rFonts w:cs="FrankRuehl" w:hint="cs"/>
          <w:sz w:val="2"/>
          <w:szCs w:val="2"/>
          <w:rtl/>
        </w:rPr>
      </w:pPr>
      <w:r>
        <w:rPr>
          <w:rStyle w:val="big-number"/>
          <w:rFonts w:cs="FrankRuehl"/>
          <w:vanish/>
          <w:sz w:val="22"/>
          <w:szCs w:val="22"/>
          <w:shd w:val="clear" w:color="auto" w:fill="FFFF99"/>
          <w:rtl/>
        </w:rPr>
        <w:t>2.</w:t>
      </w:r>
      <w:r>
        <w:rPr>
          <w:rStyle w:val="big-number"/>
          <w:rFonts w:cs="FrankRuehl"/>
          <w:vanish/>
          <w:sz w:val="22"/>
          <w:szCs w:val="22"/>
          <w:shd w:val="clear" w:color="auto" w:fill="FFFF99"/>
          <w:rtl/>
        </w:rPr>
        <w:tab/>
      </w:r>
      <w:r>
        <w:rPr>
          <w:rStyle w:val="default"/>
          <w:rFonts w:cs="FrankRuehl"/>
          <w:vanish/>
          <w:sz w:val="22"/>
          <w:szCs w:val="22"/>
          <w:shd w:val="clear" w:color="auto" w:fill="FFFF99"/>
          <w:rtl/>
        </w:rPr>
        <w:t>תב</w:t>
      </w:r>
      <w:r>
        <w:rPr>
          <w:rStyle w:val="default"/>
          <w:rFonts w:cs="FrankRuehl" w:hint="cs"/>
          <w:vanish/>
          <w:sz w:val="22"/>
          <w:szCs w:val="22"/>
          <w:shd w:val="clear" w:color="auto" w:fill="FFFF99"/>
          <w:rtl/>
        </w:rPr>
        <w:t xml:space="preserve">יעה תוגש לרשם בכתב </w:t>
      </w:r>
      <w:r>
        <w:rPr>
          <w:rStyle w:val="default"/>
          <w:rFonts w:cs="FrankRuehl" w:hint="cs"/>
          <w:strike/>
          <w:vanish/>
          <w:sz w:val="22"/>
          <w:szCs w:val="22"/>
          <w:shd w:val="clear" w:color="auto" w:fill="FFFF99"/>
          <w:rtl/>
        </w:rPr>
        <w:t>בצירוף האגרה שנקבעה</w:t>
      </w:r>
      <w:r>
        <w:rPr>
          <w:rStyle w:val="default"/>
          <w:rFonts w:cs="FrankRuehl" w:hint="cs"/>
          <w:vanish/>
          <w:sz w:val="22"/>
          <w:szCs w:val="22"/>
          <w:shd w:val="clear" w:color="auto" w:fill="FFFF99"/>
          <w:rtl/>
        </w:rPr>
        <w:t>.</w:t>
      </w:r>
      <w:bookmarkEnd w:id="2"/>
    </w:p>
    <w:p w:rsidR="00E57A47" w:rsidRDefault="00E57A47">
      <w:pPr>
        <w:pStyle w:val="P00"/>
        <w:spacing w:before="72"/>
        <w:ind w:left="0" w:right="1134"/>
        <w:rPr>
          <w:rStyle w:val="default"/>
          <w:rFonts w:cs="FrankRuehl" w:hint="cs"/>
          <w:rtl/>
        </w:rPr>
      </w:pPr>
      <w:bookmarkStart w:id="3" w:name="Seif3"/>
      <w:bookmarkEnd w:id="3"/>
      <w:r>
        <w:rPr>
          <w:lang w:val="he-IL"/>
        </w:rPr>
        <w:pict>
          <v:rect id="_x0000_s1028" style="position:absolute;left:0;text-align:left;margin-left:464.5pt;margin-top:8.05pt;width:75.05pt;height:12.35pt;z-index:251650048" o:allowincell="f" filled="f" stroked="f" strokecolor="lime" strokeweight=".25pt">
            <v:textbox inset="0,0,0,0">
              <w:txbxContent>
                <w:p w:rsidR="00E57A47" w:rsidRDefault="00E57A47">
                  <w:pPr>
                    <w:spacing w:line="160" w:lineRule="exact"/>
                    <w:jc w:val="left"/>
                    <w:rPr>
                      <w:rFonts w:cs="Miriam"/>
                      <w:noProof/>
                      <w:sz w:val="18"/>
                      <w:szCs w:val="18"/>
                      <w:rtl/>
                    </w:rPr>
                  </w:pPr>
                  <w:r>
                    <w:rPr>
                      <w:rFonts w:cs="Miriam"/>
                      <w:sz w:val="18"/>
                      <w:szCs w:val="18"/>
                      <w:rtl/>
                    </w:rPr>
                    <w:t>תו</w:t>
                  </w:r>
                  <w:r>
                    <w:rPr>
                      <w:rFonts w:cs="Miriam" w:hint="cs"/>
                      <w:sz w:val="18"/>
                      <w:szCs w:val="18"/>
                      <w:rtl/>
                    </w:rPr>
                    <w:t>כן התביעה</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תב</w:t>
      </w:r>
      <w:r>
        <w:rPr>
          <w:rStyle w:val="default"/>
          <w:rFonts w:cs="FrankRuehl"/>
          <w:rtl/>
        </w:rPr>
        <w:t>יע</w:t>
      </w:r>
      <w:r>
        <w:rPr>
          <w:rStyle w:val="default"/>
          <w:rFonts w:cs="FrankRuehl" w:hint="cs"/>
          <w:rtl/>
        </w:rPr>
        <w:t xml:space="preserve">ה תפרט </w:t>
      </w:r>
      <w:r>
        <w:rPr>
          <w:rStyle w:val="default"/>
          <w:rFonts w:cs="FrankRuehl"/>
          <w:rtl/>
        </w:rPr>
        <w:t>–</w:t>
      </w:r>
    </w:p>
    <w:p w:rsidR="00E57A47" w:rsidRDefault="00E57A47">
      <w:pPr>
        <w:pStyle w:val="P22"/>
        <w:spacing w:before="72"/>
        <w:ind w:left="1021"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ת הפרטים הנוגעים לזיהוי התובע;</w:t>
      </w:r>
    </w:p>
    <w:p w:rsidR="00E57A47" w:rsidRDefault="00E57A47">
      <w:pPr>
        <w:pStyle w:val="P22"/>
        <w:spacing w:before="72"/>
        <w:ind w:left="1021"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ת הפרטים הנוגעים לזיהוי הנתבע;</w:t>
      </w:r>
    </w:p>
    <w:p w:rsidR="00E57A47" w:rsidRDefault="00E57A47">
      <w:pPr>
        <w:pStyle w:val="P22"/>
        <w:spacing w:before="72"/>
        <w:ind w:left="1021"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ת המספר והתאריך של הבקשה למתן פטנט או לרישום מדגם או של הפטנט או של המדגם, נושאי ההוראה או ההיתר, שמה הקצר של האמצאה או את כינוי החפץ שהמדגם נועד לחול עליו, הכל לפי הענ</w:t>
      </w:r>
      <w:r>
        <w:rPr>
          <w:rStyle w:val="default"/>
          <w:rFonts w:cs="FrankRuehl"/>
          <w:rtl/>
        </w:rPr>
        <w:t>ין</w:t>
      </w:r>
      <w:r>
        <w:rPr>
          <w:rStyle w:val="default"/>
          <w:rFonts w:cs="FrankRuehl" w:hint="cs"/>
          <w:rtl/>
        </w:rPr>
        <w:t>;</w:t>
      </w:r>
    </w:p>
    <w:p w:rsidR="00E57A47" w:rsidRDefault="00E57A47">
      <w:pPr>
        <w:pStyle w:val="P22"/>
        <w:spacing w:before="72"/>
        <w:ind w:left="1021" w:right="1134"/>
        <w:rPr>
          <w:rStyle w:val="default"/>
          <w:rFonts w:cs="FrankRuehl"/>
          <w:rtl/>
        </w:rPr>
      </w:pPr>
      <w:r>
        <w:rPr>
          <w:rStyle w:val="default"/>
          <w:rFonts w:cs="FrankRuehl" w:hint="cs"/>
          <w:rtl/>
        </w:rPr>
        <w:t>(4)</w:t>
      </w:r>
      <w:r>
        <w:rPr>
          <w:rStyle w:val="default"/>
          <w:rFonts w:cs="FrankRuehl"/>
          <w:rtl/>
        </w:rPr>
        <w:tab/>
        <w:t>א</w:t>
      </w:r>
      <w:r>
        <w:rPr>
          <w:rStyle w:val="default"/>
          <w:rFonts w:cs="FrankRuehl" w:hint="cs"/>
          <w:rtl/>
        </w:rPr>
        <w:t>ת העובדות הנוגעות לקביעת פיצוי או דמי זכיון;</w:t>
      </w:r>
    </w:p>
    <w:p w:rsidR="00E57A47" w:rsidRDefault="00E57A47">
      <w:pPr>
        <w:pStyle w:val="P22"/>
        <w:spacing w:before="72"/>
        <w:ind w:left="1021" w:right="1134"/>
        <w:rPr>
          <w:rStyle w:val="default"/>
          <w:rFonts w:cs="FrankRuehl"/>
          <w:rtl/>
        </w:rPr>
      </w:pPr>
      <w:r>
        <w:rPr>
          <w:rStyle w:val="default"/>
          <w:rFonts w:cs="FrankRuehl" w:hint="cs"/>
          <w:rtl/>
        </w:rPr>
        <w:t>(5)</w:t>
      </w:r>
      <w:r>
        <w:rPr>
          <w:rStyle w:val="default"/>
          <w:rFonts w:cs="FrankRuehl"/>
          <w:rtl/>
        </w:rPr>
        <w:tab/>
        <w:t>א</w:t>
      </w:r>
      <w:r>
        <w:rPr>
          <w:rStyle w:val="default"/>
          <w:rFonts w:cs="FrankRuehl" w:hint="cs"/>
          <w:rtl/>
        </w:rPr>
        <w:t>ת הנימוקים אשר עליהם מבסס התובע את תביעתו, כל נימוק בפסקה נפרדת ובקיצור;</w:t>
      </w:r>
    </w:p>
    <w:p w:rsidR="00E57A47" w:rsidRDefault="00E57A47">
      <w:pPr>
        <w:pStyle w:val="P22"/>
        <w:spacing w:before="72"/>
        <w:ind w:left="1021" w:right="1134"/>
        <w:rPr>
          <w:rStyle w:val="default"/>
          <w:rFonts w:cs="FrankRuehl"/>
          <w:rtl/>
        </w:rPr>
      </w:pPr>
      <w:r>
        <w:rPr>
          <w:rStyle w:val="default"/>
          <w:rFonts w:cs="FrankRuehl" w:hint="cs"/>
          <w:rtl/>
        </w:rPr>
        <w:t>(6)</w:t>
      </w:r>
      <w:r>
        <w:rPr>
          <w:rStyle w:val="default"/>
          <w:rFonts w:cs="FrankRuehl"/>
          <w:rtl/>
        </w:rPr>
        <w:tab/>
        <w:t>א</w:t>
      </w:r>
      <w:r>
        <w:rPr>
          <w:rStyle w:val="default"/>
          <w:rFonts w:cs="FrankRuehl" w:hint="cs"/>
          <w:rtl/>
        </w:rPr>
        <w:t>ת הסעד המבוקש.</w:t>
      </w:r>
    </w:p>
    <w:p w:rsidR="00E57A47" w:rsidRDefault="00E57A47">
      <w:pPr>
        <w:pStyle w:val="P00"/>
        <w:spacing w:before="72"/>
        <w:ind w:left="0" w:right="1134"/>
        <w:rPr>
          <w:rStyle w:val="default"/>
          <w:rFonts w:cs="FrankRuehl"/>
          <w:rtl/>
        </w:rPr>
      </w:pPr>
      <w:bookmarkStart w:id="4" w:name="Seif4"/>
      <w:bookmarkEnd w:id="4"/>
      <w:r>
        <w:rPr>
          <w:lang w:val="he-IL"/>
        </w:rPr>
        <w:pict>
          <v:rect id="_x0000_s1029" style="position:absolute;left:0;text-align:left;margin-left:464.5pt;margin-top:8.05pt;width:75.05pt;height:10.6pt;z-index:251651072" o:allowincell="f" filled="f" stroked="f" strokecolor="lime" strokeweight=".25pt">
            <v:textbox inset="0,0,0,0">
              <w:txbxContent>
                <w:p w:rsidR="00E57A47" w:rsidRDefault="00E57A47">
                  <w:pPr>
                    <w:spacing w:line="160" w:lineRule="exact"/>
                    <w:jc w:val="left"/>
                    <w:rPr>
                      <w:rFonts w:cs="Miriam"/>
                      <w:noProof/>
                      <w:sz w:val="18"/>
                      <w:szCs w:val="18"/>
                      <w:rtl/>
                    </w:rPr>
                  </w:pPr>
                  <w:r>
                    <w:rPr>
                      <w:rFonts w:cs="Miriam"/>
                      <w:sz w:val="18"/>
                      <w:szCs w:val="18"/>
                      <w:rtl/>
                    </w:rPr>
                    <w:t>חת</w:t>
                  </w:r>
                  <w:r>
                    <w:rPr>
                      <w:rFonts w:cs="Miriam" w:hint="cs"/>
                      <w:sz w:val="18"/>
                      <w:szCs w:val="18"/>
                      <w:rtl/>
                    </w:rPr>
                    <w:t>ימה על התב</w:t>
                  </w:r>
                  <w:r>
                    <w:rPr>
                      <w:rFonts w:cs="Miriam"/>
                      <w:sz w:val="18"/>
                      <w:szCs w:val="18"/>
                      <w:rtl/>
                    </w:rPr>
                    <w:t>יע</w:t>
                  </w:r>
                  <w:r>
                    <w:rPr>
                      <w:rFonts w:cs="Miriam" w:hint="cs"/>
                      <w:sz w:val="18"/>
                      <w:szCs w:val="18"/>
                      <w:rtl/>
                    </w:rPr>
                    <w:t>ה</w:t>
                  </w:r>
                </w:p>
              </w:txbxContent>
            </v:textbox>
            <w10:anchorlock/>
          </v:rect>
        </w:pict>
      </w:r>
      <w:r>
        <w:rPr>
          <w:rStyle w:val="big-number"/>
          <w:rFonts w:cs="Miriam"/>
          <w:rtl/>
        </w:rPr>
        <w:t>4.</w:t>
      </w:r>
      <w:r>
        <w:rPr>
          <w:rStyle w:val="big-number"/>
          <w:rFonts w:cs="Miriam"/>
          <w:rtl/>
        </w:rPr>
        <w:tab/>
      </w:r>
      <w:r>
        <w:rPr>
          <w:rStyle w:val="default"/>
          <w:rFonts w:cs="FrankRuehl"/>
          <w:rtl/>
        </w:rPr>
        <w:t>הת</w:t>
      </w:r>
      <w:r>
        <w:rPr>
          <w:rStyle w:val="default"/>
          <w:rFonts w:cs="FrankRuehl" w:hint="cs"/>
          <w:rtl/>
        </w:rPr>
        <w:t>ביעה תהא חתומה ביד התובע או בא כוחו.</w:t>
      </w:r>
    </w:p>
    <w:p w:rsidR="00E57A47" w:rsidRDefault="00E57A47">
      <w:pPr>
        <w:pStyle w:val="P00"/>
        <w:spacing w:before="72"/>
        <w:ind w:left="0" w:right="1134"/>
        <w:rPr>
          <w:rStyle w:val="default"/>
          <w:rFonts w:cs="FrankRuehl" w:hint="cs"/>
          <w:rtl/>
        </w:rPr>
      </w:pPr>
      <w:bookmarkStart w:id="5" w:name="Seif5"/>
      <w:bookmarkEnd w:id="5"/>
      <w:r>
        <w:rPr>
          <w:lang w:val="he-IL"/>
        </w:rPr>
        <w:pict>
          <v:rect id="_x0000_s1030" style="position:absolute;left:0;text-align:left;margin-left:464.5pt;margin-top:8.05pt;width:75.05pt;height:13.1pt;z-index:251652096" o:allowincell="f" filled="f" stroked="f" strokecolor="lime" strokeweight=".25pt">
            <v:textbox inset="0,0,0,0">
              <w:txbxContent>
                <w:p w:rsidR="00E57A47" w:rsidRDefault="00E57A47">
                  <w:pPr>
                    <w:spacing w:line="160" w:lineRule="exact"/>
                    <w:jc w:val="left"/>
                    <w:rPr>
                      <w:rFonts w:cs="Miriam"/>
                      <w:noProof/>
                      <w:sz w:val="18"/>
                      <w:szCs w:val="18"/>
                      <w:rtl/>
                    </w:rPr>
                  </w:pPr>
                  <w:r>
                    <w:rPr>
                      <w:rFonts w:cs="Miriam"/>
                      <w:sz w:val="18"/>
                      <w:szCs w:val="18"/>
                      <w:rtl/>
                    </w:rPr>
                    <w:t>צי</w:t>
                  </w:r>
                  <w:r>
                    <w:rPr>
                      <w:rFonts w:cs="Miriam" w:hint="cs"/>
                      <w:sz w:val="18"/>
                      <w:szCs w:val="18"/>
                      <w:rtl/>
                    </w:rPr>
                    <w:t>רוף מסמכים</w:t>
                  </w:r>
                </w:p>
              </w:txbxContent>
            </v:textbox>
            <w10:anchorlock/>
          </v:rect>
        </w:pict>
      </w:r>
      <w:r>
        <w:rPr>
          <w:rStyle w:val="big-number"/>
          <w:rFonts w:cs="Miriam"/>
          <w:rtl/>
        </w:rPr>
        <w:t>5.</w:t>
      </w:r>
      <w:r>
        <w:rPr>
          <w:rStyle w:val="big-number"/>
          <w:rFonts w:cs="Miriam"/>
          <w:rtl/>
        </w:rPr>
        <w:tab/>
      </w:r>
      <w:r>
        <w:rPr>
          <w:rStyle w:val="default"/>
          <w:rFonts w:cs="FrankRuehl"/>
          <w:rtl/>
        </w:rPr>
        <w:t>לת</w:t>
      </w:r>
      <w:r>
        <w:rPr>
          <w:rStyle w:val="default"/>
          <w:rFonts w:cs="FrankRuehl" w:hint="cs"/>
          <w:rtl/>
        </w:rPr>
        <w:t>ביעה יצורפו: -</w:t>
      </w:r>
    </w:p>
    <w:p w:rsidR="00E57A47" w:rsidRDefault="00E57A47" w:rsidP="0057303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צהרה בשבועה לאימות העובדות שעליהן מסתמך התובע; וכן</w:t>
      </w:r>
    </w:p>
    <w:p w:rsidR="00E57A47" w:rsidRDefault="00E57A47" w:rsidP="0057303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עתק ההוראה או ההיתר, הכל לפי הענין.</w:t>
      </w:r>
    </w:p>
    <w:p w:rsidR="00E57A47" w:rsidRDefault="00E57A47">
      <w:pPr>
        <w:pStyle w:val="P00"/>
        <w:spacing w:before="72"/>
        <w:ind w:left="0" w:right="1134"/>
        <w:rPr>
          <w:rStyle w:val="default"/>
          <w:rFonts w:cs="FrankRuehl"/>
          <w:rtl/>
        </w:rPr>
      </w:pPr>
      <w:bookmarkStart w:id="6" w:name="Seif6"/>
      <w:bookmarkEnd w:id="6"/>
      <w:r>
        <w:rPr>
          <w:lang w:val="he-IL"/>
        </w:rPr>
        <w:pict>
          <v:rect id="_x0000_s1031" style="position:absolute;left:0;text-align:left;margin-left:464.5pt;margin-top:8.05pt;width:75.05pt;height:15.95pt;z-index:251653120" o:allowincell="f" filled="f" stroked="f" strokecolor="lime" strokeweight=".25pt">
            <v:textbox inset="0,0,0,0">
              <w:txbxContent>
                <w:p w:rsidR="00E57A47" w:rsidRDefault="00E57A47">
                  <w:pPr>
                    <w:spacing w:line="160" w:lineRule="exact"/>
                    <w:jc w:val="left"/>
                    <w:rPr>
                      <w:rFonts w:cs="Miriam"/>
                      <w:noProof/>
                      <w:sz w:val="18"/>
                      <w:szCs w:val="18"/>
                      <w:rtl/>
                    </w:rPr>
                  </w:pPr>
                  <w:r>
                    <w:rPr>
                      <w:rFonts w:cs="Miriam"/>
                      <w:sz w:val="18"/>
                      <w:szCs w:val="18"/>
                      <w:rtl/>
                    </w:rPr>
                    <w:t>מס</w:t>
                  </w:r>
                  <w:r>
                    <w:rPr>
                      <w:rFonts w:cs="Miriam" w:hint="cs"/>
                      <w:sz w:val="18"/>
                      <w:szCs w:val="18"/>
                      <w:rtl/>
                    </w:rPr>
                    <w:t>ירת טפסים</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תובע יגיש לר</w:t>
      </w:r>
      <w:r>
        <w:rPr>
          <w:rStyle w:val="default"/>
          <w:rFonts w:cs="FrankRuehl"/>
          <w:rtl/>
        </w:rPr>
        <w:t>שם</w:t>
      </w:r>
      <w:r>
        <w:rPr>
          <w:rStyle w:val="default"/>
          <w:rFonts w:cs="FrankRuehl" w:hint="cs"/>
          <w:rtl/>
        </w:rPr>
        <w:t xml:space="preserve"> ארבעה טפסים של התביעה על נספחיה כאמור ועוד מספר טפסים כמספר המשיבים.</w:t>
      </w:r>
    </w:p>
    <w:p w:rsidR="00E57A47" w:rsidRDefault="00E57A4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רשם יעביר שלושה טפסים מתביעה שהוגשה למשרדו על נספחיה ליושב ראש הועדה וימסור טופס אחד לכל אחד מהמשיבים.</w:t>
      </w:r>
    </w:p>
    <w:p w:rsidR="00E57A47" w:rsidRDefault="00E57A47">
      <w:pPr>
        <w:pStyle w:val="P00"/>
        <w:spacing w:before="72"/>
        <w:ind w:left="0" w:right="1134"/>
        <w:rPr>
          <w:rStyle w:val="default"/>
          <w:rFonts w:cs="FrankRuehl"/>
          <w:rtl/>
        </w:rPr>
      </w:pPr>
      <w:bookmarkStart w:id="7" w:name="Seif7"/>
      <w:bookmarkEnd w:id="7"/>
      <w:r>
        <w:rPr>
          <w:lang w:val="he-IL"/>
        </w:rPr>
        <w:pict>
          <v:rect id="_x0000_s1032" style="position:absolute;left:0;text-align:left;margin-left:464.5pt;margin-top:8.05pt;width:75.05pt;height:15.05pt;z-index:251654144" o:allowincell="f" filled="f" stroked="f" strokecolor="lime" strokeweight=".25pt">
            <v:textbox inset="0,0,0,0">
              <w:txbxContent>
                <w:p w:rsidR="00E57A47" w:rsidRDefault="00E57A47">
                  <w:pPr>
                    <w:spacing w:line="160" w:lineRule="exact"/>
                    <w:jc w:val="left"/>
                    <w:rPr>
                      <w:rFonts w:cs="Miriam"/>
                      <w:noProof/>
                      <w:sz w:val="18"/>
                      <w:szCs w:val="18"/>
                      <w:rtl/>
                    </w:rPr>
                  </w:pPr>
                  <w:r>
                    <w:rPr>
                      <w:rFonts w:cs="Miriam"/>
                      <w:sz w:val="18"/>
                      <w:szCs w:val="18"/>
                      <w:rtl/>
                    </w:rPr>
                    <w:t>תש</w:t>
                  </w:r>
                  <w:r>
                    <w:rPr>
                      <w:rFonts w:cs="Miriam" w:hint="cs"/>
                      <w:sz w:val="18"/>
                      <w:szCs w:val="18"/>
                      <w:rtl/>
                    </w:rPr>
                    <w:t>ובת הנתבע</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נתבע רשאי להגיש לרשם תוך 30 יום מהיום שבו נמסר לו העתק התביעה כאמו</w:t>
      </w:r>
      <w:r>
        <w:rPr>
          <w:rStyle w:val="default"/>
          <w:rFonts w:cs="FrankRuehl"/>
          <w:rtl/>
        </w:rPr>
        <w:t xml:space="preserve">ר, </w:t>
      </w:r>
      <w:r>
        <w:rPr>
          <w:rStyle w:val="default"/>
          <w:rFonts w:cs="FrankRuehl" w:hint="cs"/>
          <w:rtl/>
        </w:rPr>
        <w:t>תשובה מנומקת בצירוף הצהרה בשבועה לאימות העובדות שעליהן הוא מסתמך.</w:t>
      </w:r>
    </w:p>
    <w:p w:rsidR="00E57A47" w:rsidRDefault="00E57A4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תשובה על נספחיה תוגש בארבעה טפסים.</w:t>
      </w:r>
    </w:p>
    <w:p w:rsidR="00E57A47" w:rsidRDefault="00E57A4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תשובה תיחתם ביד הנתבע או בא כוחו.</w:t>
      </w:r>
    </w:p>
    <w:p w:rsidR="00E57A47" w:rsidRDefault="00E57A47">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וגשה תשובת הנתבע כאמ</w:t>
      </w:r>
      <w:r>
        <w:rPr>
          <w:rStyle w:val="default"/>
          <w:rFonts w:cs="FrankRuehl"/>
          <w:rtl/>
        </w:rPr>
        <w:t>ו</w:t>
      </w:r>
      <w:r>
        <w:rPr>
          <w:rStyle w:val="default"/>
          <w:rFonts w:cs="FrankRuehl" w:hint="cs"/>
          <w:rtl/>
        </w:rPr>
        <w:t>ר, ימסור הרשם לתובע העתק מהתשובה ומההצהרה בשבועה.</w:t>
      </w:r>
    </w:p>
    <w:p w:rsidR="00E57A47" w:rsidRDefault="00E57A47">
      <w:pPr>
        <w:pStyle w:val="P00"/>
        <w:spacing w:before="72"/>
        <w:ind w:left="0" w:right="1134"/>
        <w:rPr>
          <w:rStyle w:val="default"/>
          <w:rFonts w:cs="FrankRuehl"/>
          <w:rtl/>
        </w:rPr>
      </w:pPr>
      <w:bookmarkStart w:id="8" w:name="Seif8"/>
      <w:bookmarkEnd w:id="8"/>
      <w:r>
        <w:rPr>
          <w:lang w:val="he-IL"/>
        </w:rPr>
        <w:pict>
          <v:rect id="_x0000_s1033" style="position:absolute;left:0;text-align:left;margin-left:464.5pt;margin-top:8.05pt;width:75.05pt;height:17.85pt;z-index:251655168" o:allowincell="f" filled="f" stroked="f" strokecolor="lime" strokeweight=".25pt">
            <v:textbox inset="0,0,0,0">
              <w:txbxContent>
                <w:p w:rsidR="00E57A47" w:rsidRDefault="00E57A47">
                  <w:pPr>
                    <w:spacing w:line="160" w:lineRule="exact"/>
                    <w:jc w:val="left"/>
                    <w:rPr>
                      <w:rFonts w:cs="Miriam"/>
                      <w:noProof/>
                      <w:sz w:val="18"/>
                      <w:szCs w:val="18"/>
                      <w:rtl/>
                    </w:rPr>
                  </w:pPr>
                  <w:r>
                    <w:rPr>
                      <w:rFonts w:cs="Miriam"/>
                      <w:sz w:val="18"/>
                      <w:szCs w:val="18"/>
                      <w:rtl/>
                    </w:rPr>
                    <w:t>קב</w:t>
                  </w:r>
                  <w:r>
                    <w:rPr>
                      <w:rFonts w:cs="Miriam" w:hint="cs"/>
                      <w:sz w:val="18"/>
                      <w:szCs w:val="18"/>
                      <w:rtl/>
                    </w:rPr>
                    <w:t>יעת מועד לשמיעת התביעה</w:t>
                  </w:r>
                </w:p>
              </w:txbxContent>
            </v:textbox>
            <w10:anchorlock/>
          </v:rect>
        </w:pict>
      </w:r>
      <w:r>
        <w:rPr>
          <w:rStyle w:val="big-number"/>
          <w:rFonts w:cs="Miriam"/>
          <w:rtl/>
        </w:rPr>
        <w:t>8.</w:t>
      </w:r>
      <w:r>
        <w:rPr>
          <w:rStyle w:val="big-number"/>
          <w:rFonts w:cs="Miriam"/>
          <w:rtl/>
        </w:rPr>
        <w:tab/>
      </w:r>
      <w:r>
        <w:rPr>
          <w:rStyle w:val="default"/>
          <w:rFonts w:cs="FrankRuehl"/>
          <w:rtl/>
        </w:rPr>
        <w:t>הו</w:t>
      </w:r>
      <w:r>
        <w:rPr>
          <w:rStyle w:val="default"/>
          <w:rFonts w:cs="FrankRuehl" w:hint="cs"/>
          <w:rtl/>
        </w:rPr>
        <w:t xml:space="preserve">גשה תביעה בהתאם לתקנות </w:t>
      </w:r>
      <w:r>
        <w:rPr>
          <w:rStyle w:val="default"/>
          <w:rFonts w:cs="FrankRuehl"/>
          <w:rtl/>
        </w:rPr>
        <w:t>2 ו</w:t>
      </w:r>
      <w:r>
        <w:rPr>
          <w:rStyle w:val="default"/>
          <w:rFonts w:cs="FrankRuehl" w:hint="cs"/>
          <w:rtl/>
        </w:rPr>
        <w:t>-4 עד 6 יקבע יושב ראש הועדה, תוך חדשיים מזמן הגשתה, מועד לשמיעתה וימסור לתובע ולנתבע הודעה מוקדמת של 15יום לפחות בדבר המועד שנקבע לבירור הבקשה.</w:t>
      </w:r>
    </w:p>
    <w:p w:rsidR="00E57A47" w:rsidRDefault="00E57A47">
      <w:pPr>
        <w:pStyle w:val="P00"/>
        <w:spacing w:before="72"/>
        <w:ind w:left="0" w:right="1134"/>
        <w:rPr>
          <w:rStyle w:val="default"/>
          <w:rFonts w:cs="FrankRuehl"/>
          <w:rtl/>
        </w:rPr>
      </w:pPr>
      <w:bookmarkStart w:id="9" w:name="Seif9"/>
      <w:bookmarkEnd w:id="9"/>
      <w:r>
        <w:rPr>
          <w:lang w:val="he-IL"/>
        </w:rPr>
        <w:lastRenderedPageBreak/>
        <w:pict>
          <v:rect id="_x0000_s1034" style="position:absolute;left:0;text-align:left;margin-left:464.5pt;margin-top:8.05pt;width:75.05pt;height:17.9pt;z-index:251656192" o:allowincell="f" filled="f" stroked="f" strokecolor="lime" strokeweight=".25pt">
            <v:textbox inset="0,0,0,0">
              <w:txbxContent>
                <w:p w:rsidR="00E57A47" w:rsidRDefault="00E57A47">
                  <w:pPr>
                    <w:spacing w:line="160" w:lineRule="exact"/>
                    <w:jc w:val="left"/>
                    <w:rPr>
                      <w:rFonts w:cs="Miriam"/>
                      <w:noProof/>
                      <w:sz w:val="18"/>
                      <w:szCs w:val="18"/>
                      <w:rtl/>
                    </w:rPr>
                  </w:pPr>
                  <w:r>
                    <w:rPr>
                      <w:rFonts w:cs="Miriam"/>
                      <w:sz w:val="18"/>
                      <w:szCs w:val="18"/>
                      <w:rtl/>
                    </w:rPr>
                    <w:t>התי</w:t>
                  </w:r>
                  <w:r>
                    <w:rPr>
                      <w:rFonts w:cs="Miriam" w:hint="cs"/>
                      <w:sz w:val="18"/>
                      <w:szCs w:val="18"/>
                      <w:rtl/>
                    </w:rPr>
                    <w:t>צבות לחקירה שכנגד</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על דין הרוצה לחקור חקירה שכנגד אדם שמסר הצהרה בשבועה לאימות העובדות שעליהן מסתמך בעל דין אחר, יודיע </w:t>
      </w:r>
      <w:r>
        <w:rPr>
          <w:rStyle w:val="default"/>
          <w:rFonts w:cs="FrankRuehl"/>
          <w:rtl/>
        </w:rPr>
        <w:t>על</w:t>
      </w:r>
      <w:r>
        <w:rPr>
          <w:rStyle w:val="default"/>
          <w:rFonts w:cs="FrankRuehl" w:hint="cs"/>
          <w:rtl/>
        </w:rPr>
        <w:t xml:space="preserve"> כך ליושב ראש הועדה ולאותו בעל דין לפחות שבעה ימים לפני המועד שנקבע לשמיעת התביעה.</w:t>
      </w:r>
    </w:p>
    <w:p w:rsidR="00E57A47" w:rsidRDefault="00E57A4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על הדין שנמסרה לו הודעה כאמור בתקנת משנה (א), יביא לפני הועדה בזמן הקבוע לשמיעת התביעה את האדם שנדרש לחקירה שכנגד כאמור.</w:t>
      </w:r>
    </w:p>
    <w:p w:rsidR="00E57A47" w:rsidRDefault="00E57A4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הביא בעל דין אדם לחקירה שכנגד כאמור </w:t>
      </w:r>
      <w:r>
        <w:rPr>
          <w:rStyle w:val="default"/>
          <w:rFonts w:cs="FrankRuehl"/>
          <w:rtl/>
        </w:rPr>
        <w:t>בת</w:t>
      </w:r>
      <w:r>
        <w:rPr>
          <w:rStyle w:val="default"/>
          <w:rFonts w:cs="FrankRuehl" w:hint="cs"/>
          <w:rtl/>
        </w:rPr>
        <w:t>קנת משנה (ב), או סירב אדם כאמור להשיב על שאלות שנשאל בחקירה שכנגד בלי סיבה המתקבלת על דעת הועדה, לא תשמש הצהרת אותו אדם עדות</w:t>
      </w:r>
      <w:r>
        <w:rPr>
          <w:rStyle w:val="default"/>
          <w:rFonts w:cs="FrankRuehl"/>
          <w:rtl/>
        </w:rPr>
        <w:t xml:space="preserve">, </w:t>
      </w:r>
      <w:r>
        <w:rPr>
          <w:rStyle w:val="default"/>
          <w:rFonts w:cs="FrankRuehl" w:hint="cs"/>
          <w:rtl/>
        </w:rPr>
        <w:t>אלא אם כן היתה הועדה משוכנעת שקבלת ההצהרה כעדות דרושה למיצוי הצדק.</w:t>
      </w:r>
    </w:p>
    <w:p w:rsidR="00E57A47" w:rsidRDefault="00E57A47">
      <w:pPr>
        <w:pStyle w:val="P00"/>
        <w:spacing w:before="72"/>
        <w:ind w:left="0" w:right="1134"/>
        <w:rPr>
          <w:rStyle w:val="default"/>
          <w:rFonts w:cs="FrankRuehl"/>
          <w:rtl/>
        </w:rPr>
      </w:pPr>
      <w:bookmarkStart w:id="10" w:name="Seif10"/>
      <w:bookmarkEnd w:id="10"/>
      <w:r>
        <w:rPr>
          <w:lang w:val="he-IL"/>
        </w:rPr>
        <w:pict>
          <v:rect id="_x0000_s1035" style="position:absolute;left:0;text-align:left;margin-left:464.5pt;margin-top:8.05pt;width:75.05pt;height:15.55pt;z-index:251657216" o:allowincell="f" filled="f" stroked="f" strokecolor="lime" strokeweight=".25pt">
            <v:textbox inset="0,0,0,0">
              <w:txbxContent>
                <w:p w:rsidR="00E57A47" w:rsidRDefault="00E57A47">
                  <w:pPr>
                    <w:spacing w:line="160" w:lineRule="exact"/>
                    <w:jc w:val="left"/>
                    <w:rPr>
                      <w:rFonts w:cs="Miriam"/>
                      <w:noProof/>
                      <w:sz w:val="18"/>
                      <w:szCs w:val="18"/>
                      <w:rtl/>
                    </w:rPr>
                  </w:pPr>
                  <w:r>
                    <w:rPr>
                      <w:rFonts w:cs="Miriam"/>
                      <w:sz w:val="18"/>
                      <w:szCs w:val="18"/>
                      <w:rtl/>
                    </w:rPr>
                    <w:t>טע</w:t>
                  </w:r>
                  <w:r>
                    <w:rPr>
                      <w:rFonts w:cs="Miriam" w:hint="cs"/>
                      <w:sz w:val="18"/>
                      <w:szCs w:val="18"/>
                      <w:rtl/>
                    </w:rPr>
                    <w:t>נות בעלי דין</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ועדה תשמע תחילה את טענות התובע, ולאחר מכן את טענות </w:t>
      </w:r>
      <w:r>
        <w:rPr>
          <w:rStyle w:val="default"/>
          <w:rFonts w:cs="FrankRuehl"/>
          <w:rtl/>
        </w:rPr>
        <w:t>הנ</w:t>
      </w:r>
      <w:r>
        <w:rPr>
          <w:rStyle w:val="default"/>
          <w:rFonts w:cs="FrankRuehl" w:hint="cs"/>
          <w:rtl/>
        </w:rPr>
        <w:t>תבע.</w:t>
      </w:r>
    </w:p>
    <w:p w:rsidR="00E57A47" w:rsidRDefault="00E57A4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ועדה רשאית, ככל שהדבר ייראה לה, להתיר לתובע להשיב על טענות הנתבע.</w:t>
      </w:r>
    </w:p>
    <w:p w:rsidR="00E57A47" w:rsidRDefault="00E57A47">
      <w:pPr>
        <w:pStyle w:val="P00"/>
        <w:spacing w:before="72"/>
        <w:ind w:left="0" w:right="1134"/>
        <w:rPr>
          <w:rStyle w:val="default"/>
          <w:rFonts w:cs="FrankRuehl"/>
          <w:rtl/>
        </w:rPr>
      </w:pPr>
      <w:bookmarkStart w:id="11" w:name="Seif11"/>
      <w:bookmarkEnd w:id="11"/>
      <w:r>
        <w:rPr>
          <w:lang w:val="he-IL"/>
        </w:rPr>
        <w:pict>
          <v:rect id="_x0000_s1036" style="position:absolute;left:0;text-align:left;margin-left:464.5pt;margin-top:8.05pt;width:75.05pt;height:12.65pt;z-index:251658240" o:allowincell="f" filled="f" stroked="f" strokecolor="lime" strokeweight=".25pt">
            <v:textbox inset="0,0,0,0">
              <w:txbxContent>
                <w:p w:rsidR="00E57A47" w:rsidRDefault="00E57A47">
                  <w:pPr>
                    <w:spacing w:line="160" w:lineRule="exact"/>
                    <w:jc w:val="left"/>
                    <w:rPr>
                      <w:rFonts w:cs="Miriam"/>
                      <w:noProof/>
                      <w:sz w:val="18"/>
                      <w:szCs w:val="18"/>
                      <w:rtl/>
                    </w:rPr>
                  </w:pPr>
                  <w:r>
                    <w:rPr>
                      <w:rFonts w:cs="Miriam"/>
                      <w:sz w:val="18"/>
                      <w:szCs w:val="18"/>
                      <w:rtl/>
                    </w:rPr>
                    <w:t>טע</w:t>
                  </w:r>
                  <w:r>
                    <w:rPr>
                      <w:rFonts w:cs="Miriam" w:hint="cs"/>
                      <w:sz w:val="18"/>
                      <w:szCs w:val="18"/>
                      <w:rtl/>
                    </w:rPr>
                    <w:t>נות פגם</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שמיעת הת</w:t>
      </w:r>
      <w:r>
        <w:rPr>
          <w:rStyle w:val="default"/>
          <w:rFonts w:cs="FrankRuehl"/>
          <w:rtl/>
        </w:rPr>
        <w:t>ב</w:t>
      </w:r>
      <w:r>
        <w:rPr>
          <w:rStyle w:val="default"/>
          <w:rFonts w:cs="FrankRuehl" w:hint="cs"/>
          <w:rtl/>
        </w:rPr>
        <w:t xml:space="preserve">יעה לא תיזקק הועדה לכל טענות של פגם בצורת התביעה, אלא אם כן נמסרה הודעה בכתב על כך לתובע לפחות שבעה ימים לפני היום שנקבע לשמיעת התביעה והתובע לא תיקן את הפגם </w:t>
      </w:r>
      <w:r>
        <w:rPr>
          <w:rStyle w:val="default"/>
          <w:rFonts w:cs="FrankRuehl"/>
          <w:rtl/>
        </w:rPr>
        <w:t>לפ</w:t>
      </w:r>
      <w:r>
        <w:rPr>
          <w:rStyle w:val="default"/>
          <w:rFonts w:cs="FrankRuehl" w:hint="cs"/>
          <w:rtl/>
        </w:rPr>
        <w:t>ני אותו מועד.</w:t>
      </w:r>
    </w:p>
    <w:p w:rsidR="00E57A47" w:rsidRDefault="00E57A4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מסרה הודעה כאמור בתקנת משנה (א) והתובע לא תיקן את הפגם בעוד מועד, רשאית הוע</w:t>
      </w:r>
      <w:r>
        <w:rPr>
          <w:rStyle w:val="default"/>
          <w:rFonts w:cs="FrankRuehl"/>
          <w:rtl/>
        </w:rPr>
        <w:t>ד</w:t>
      </w:r>
      <w:r>
        <w:rPr>
          <w:rStyle w:val="default"/>
          <w:rFonts w:cs="FrankRuehl" w:hint="cs"/>
          <w:rtl/>
        </w:rPr>
        <w:t>ה -</w:t>
      </w:r>
      <w:r>
        <w:rPr>
          <w:rStyle w:val="default"/>
          <w:rFonts w:cs="FrankRuehl"/>
          <w:rtl/>
        </w:rPr>
        <w:t xml:space="preserve"> </w:t>
      </w:r>
      <w:r>
        <w:rPr>
          <w:rStyle w:val="default"/>
          <w:rFonts w:cs="FrankRuehl" w:hint="cs"/>
          <w:rtl/>
        </w:rPr>
        <w:t>מטעמים מיוחדים -</w:t>
      </w:r>
      <w:r>
        <w:rPr>
          <w:rStyle w:val="default"/>
          <w:rFonts w:cs="FrankRuehl"/>
          <w:rtl/>
        </w:rPr>
        <w:t xml:space="preserve"> </w:t>
      </w:r>
      <w:r>
        <w:rPr>
          <w:rStyle w:val="default"/>
          <w:rFonts w:cs="FrankRuehl" w:hint="cs"/>
          <w:rtl/>
        </w:rPr>
        <w:t>להרשות לתובע לתקן את הפגם בתנאים שתקבעם.</w:t>
      </w:r>
    </w:p>
    <w:p w:rsidR="00E57A47" w:rsidRDefault="00E57A47">
      <w:pPr>
        <w:pStyle w:val="P00"/>
        <w:spacing w:before="72"/>
        <w:ind w:left="0" w:right="1134"/>
        <w:rPr>
          <w:rFonts w:cs="FrankRuehl"/>
          <w:sz w:val="26"/>
          <w:rtl/>
        </w:rPr>
      </w:pPr>
      <w:bookmarkStart w:id="12" w:name="Seif12"/>
      <w:bookmarkEnd w:id="12"/>
      <w:r>
        <w:rPr>
          <w:lang w:val="he-IL"/>
        </w:rPr>
        <w:pict>
          <v:rect id="_x0000_s1037" style="position:absolute;left:0;text-align:left;margin-left:464.5pt;margin-top:8.05pt;width:75.05pt;height:19.15pt;z-index:251659264" o:allowincell="f" filled="f" stroked="f" strokecolor="lime" strokeweight=".25pt">
            <v:textbox inset="0,0,0,0">
              <w:txbxContent>
                <w:p w:rsidR="00E57A47" w:rsidRDefault="00E57A47">
                  <w:pPr>
                    <w:spacing w:line="160" w:lineRule="exact"/>
                    <w:jc w:val="left"/>
                    <w:rPr>
                      <w:rFonts w:cs="Miriam"/>
                      <w:noProof/>
                      <w:sz w:val="18"/>
                      <w:szCs w:val="18"/>
                      <w:rtl/>
                    </w:rPr>
                  </w:pPr>
                  <w:r>
                    <w:rPr>
                      <w:rFonts w:cs="Miriam"/>
                      <w:sz w:val="18"/>
                      <w:szCs w:val="18"/>
                      <w:rtl/>
                    </w:rPr>
                    <w:t>ני</w:t>
                  </w:r>
                  <w:r>
                    <w:rPr>
                      <w:rFonts w:cs="Miriam" w:hint="cs"/>
                      <w:sz w:val="18"/>
                      <w:szCs w:val="18"/>
                      <w:rtl/>
                    </w:rPr>
                    <w:t>מוקים שאין שומעים אותם</w:t>
                  </w:r>
                </w:p>
              </w:txbxContent>
            </v:textbox>
            <w10:anchorlock/>
          </v:rect>
        </w:pict>
      </w:r>
      <w:r>
        <w:rPr>
          <w:rStyle w:val="big-number"/>
          <w:rFonts w:cs="Miriam"/>
          <w:rtl/>
        </w:rPr>
        <w:t>12.</w:t>
      </w:r>
      <w:r>
        <w:rPr>
          <w:rStyle w:val="big-number"/>
          <w:rFonts w:cs="Miriam"/>
          <w:rtl/>
        </w:rPr>
        <w:tab/>
      </w:r>
      <w:r>
        <w:rPr>
          <w:rStyle w:val="default"/>
          <w:rFonts w:cs="FrankRuehl"/>
          <w:rtl/>
        </w:rPr>
        <w:t>בש</w:t>
      </w:r>
      <w:r>
        <w:rPr>
          <w:rStyle w:val="default"/>
          <w:rFonts w:cs="FrankRuehl" w:hint="cs"/>
          <w:rtl/>
        </w:rPr>
        <w:t>מיעת התביעה לא תיזקק הועדה לכל נימוק שלא הוזכר בתביעה או כתשובת הנתבע אלא אם כן היא משוכנ</w:t>
      </w:r>
      <w:r>
        <w:rPr>
          <w:rStyle w:val="default"/>
          <w:rFonts w:cs="FrankRuehl"/>
          <w:rtl/>
        </w:rPr>
        <w:t>עת</w:t>
      </w:r>
      <w:r>
        <w:rPr>
          <w:rStyle w:val="default"/>
          <w:rFonts w:cs="FrankRuehl" w:hint="cs"/>
          <w:rtl/>
        </w:rPr>
        <w:t xml:space="preserve">, שההשמטה נגרמה שלא באשמת בעל </w:t>
      </w:r>
      <w:r>
        <w:rPr>
          <w:rFonts w:cs="FrankRuehl"/>
          <w:sz w:val="26"/>
          <w:rtl/>
        </w:rPr>
        <w:t>הד</w:t>
      </w:r>
      <w:r>
        <w:rPr>
          <w:rFonts w:cs="FrankRuehl" w:hint="cs"/>
          <w:sz w:val="26"/>
          <w:rtl/>
        </w:rPr>
        <w:t>ין המבקש להיעזר באותו נימוק, או ששמיעת הנימוק הנוסף דרושה לשם מיצוי הצדק.</w:t>
      </w:r>
    </w:p>
    <w:p w:rsidR="00E57A47" w:rsidRDefault="00E57A47">
      <w:pPr>
        <w:pStyle w:val="P00"/>
        <w:spacing w:before="72"/>
        <w:ind w:left="0" w:right="1134"/>
        <w:rPr>
          <w:rStyle w:val="default"/>
          <w:rFonts w:cs="FrankRuehl" w:hint="cs"/>
          <w:rtl/>
        </w:rPr>
      </w:pPr>
      <w:bookmarkStart w:id="13" w:name="Seif13"/>
      <w:bookmarkEnd w:id="13"/>
      <w:r>
        <w:rPr>
          <w:lang w:val="he-IL"/>
        </w:rPr>
        <w:pict>
          <v:rect id="_x0000_s1038" style="position:absolute;left:0;text-align:left;margin-left:464.5pt;margin-top:8.05pt;width:75.05pt;height:24.2pt;z-index:251660288" o:allowincell="f" filled="f" stroked="f" strokecolor="lime" strokeweight=".25pt">
            <v:textbox inset="0,0,0,0">
              <w:txbxContent>
                <w:p w:rsidR="00E57A47" w:rsidRDefault="00E57A47">
                  <w:pPr>
                    <w:spacing w:line="160" w:lineRule="exact"/>
                    <w:jc w:val="left"/>
                    <w:rPr>
                      <w:rFonts w:cs="Miriam"/>
                      <w:noProof/>
                      <w:sz w:val="18"/>
                      <w:szCs w:val="18"/>
                      <w:rtl/>
                    </w:rPr>
                  </w:pPr>
                  <w:r>
                    <w:rPr>
                      <w:rFonts w:cs="Miriam"/>
                      <w:sz w:val="18"/>
                      <w:szCs w:val="18"/>
                      <w:rtl/>
                    </w:rPr>
                    <w:t>סמ</w:t>
                  </w:r>
                  <w:r>
                    <w:rPr>
                      <w:rFonts w:cs="Miriam" w:hint="cs"/>
                      <w:sz w:val="18"/>
                      <w:szCs w:val="18"/>
                      <w:rtl/>
                    </w:rPr>
                    <w:t>כויות יושב ראש הועדה</w:t>
                  </w:r>
                </w:p>
              </w:txbxContent>
            </v:textbox>
            <w10:anchorlock/>
          </v:rect>
        </w:pict>
      </w:r>
      <w:r>
        <w:rPr>
          <w:rStyle w:val="big-number"/>
          <w:rFonts w:cs="Miriam"/>
          <w:rtl/>
        </w:rPr>
        <w:t>13.</w:t>
      </w:r>
      <w:r>
        <w:rPr>
          <w:rStyle w:val="big-number"/>
          <w:rFonts w:cs="Miriam"/>
          <w:rtl/>
        </w:rPr>
        <w:tab/>
      </w:r>
      <w:r>
        <w:rPr>
          <w:rStyle w:val="default"/>
          <w:rFonts w:cs="FrankRuehl"/>
          <w:rtl/>
        </w:rPr>
        <w:t>יו</w:t>
      </w:r>
      <w:r>
        <w:rPr>
          <w:rStyle w:val="default"/>
          <w:rFonts w:cs="FrankRuehl" w:hint="cs"/>
          <w:rtl/>
        </w:rPr>
        <w:t xml:space="preserve">שב ראש הועדה רשאי </w:t>
      </w:r>
      <w:r>
        <w:rPr>
          <w:rStyle w:val="default"/>
          <w:rFonts w:cs="FrankRuehl"/>
          <w:rtl/>
        </w:rPr>
        <w:t>–</w:t>
      </w:r>
    </w:p>
    <w:p w:rsidR="00E57A47" w:rsidRDefault="00E57A47" w:rsidP="0057303A">
      <w:pPr>
        <w:pStyle w:val="P22"/>
        <w:tabs>
          <w:tab w:val="left" w:pos="624"/>
          <w:tab w:val="left" w:pos="1021"/>
        </w:tabs>
        <w:spacing w:before="72"/>
        <w:ind w:left="62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האריך כל מועד שנקבע בתקנות אלה;</w:t>
      </w:r>
    </w:p>
    <w:p w:rsidR="00E57A47" w:rsidRDefault="00E57A47" w:rsidP="0057303A">
      <w:pPr>
        <w:pStyle w:val="P22"/>
        <w:tabs>
          <w:tab w:val="left" w:pos="624"/>
          <w:tab w:val="left" w:pos="1021"/>
        </w:tabs>
        <w:spacing w:before="72"/>
        <w:ind w:left="62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הרשות לבעלי הדין להגיש מסמכים נוסף למסמכים שפורטו בת</w:t>
      </w:r>
      <w:r>
        <w:rPr>
          <w:rStyle w:val="default"/>
          <w:rFonts w:cs="FrankRuehl"/>
          <w:rtl/>
        </w:rPr>
        <w:t>קנ</w:t>
      </w:r>
      <w:r>
        <w:rPr>
          <w:rStyle w:val="default"/>
          <w:rFonts w:cs="FrankRuehl" w:hint="cs"/>
          <w:rtl/>
        </w:rPr>
        <w:t>ות אלה.</w:t>
      </w:r>
    </w:p>
    <w:p w:rsidR="00E57A47" w:rsidRDefault="00E57A47">
      <w:pPr>
        <w:pStyle w:val="P00"/>
        <w:spacing w:before="72"/>
        <w:ind w:left="0" w:right="1134"/>
        <w:rPr>
          <w:rStyle w:val="default"/>
          <w:rFonts w:cs="FrankRuehl"/>
          <w:rtl/>
        </w:rPr>
      </w:pPr>
      <w:bookmarkStart w:id="14" w:name="Seif14"/>
      <w:bookmarkEnd w:id="14"/>
      <w:r>
        <w:rPr>
          <w:lang w:val="he-IL"/>
        </w:rPr>
        <w:pict>
          <v:rect id="_x0000_s1039" style="position:absolute;left:0;text-align:left;margin-left:464.5pt;margin-top:8.05pt;width:75.05pt;height:15.9pt;z-index:251661312" o:allowincell="f" filled="f" stroked="f" strokecolor="lime" strokeweight=".25pt">
            <v:textbox inset="0,0,0,0">
              <w:txbxContent>
                <w:p w:rsidR="00E57A47" w:rsidRDefault="00E57A47">
                  <w:pPr>
                    <w:spacing w:line="160" w:lineRule="exact"/>
                    <w:jc w:val="left"/>
                    <w:rPr>
                      <w:rFonts w:cs="Miriam"/>
                      <w:noProof/>
                      <w:sz w:val="18"/>
                      <w:szCs w:val="18"/>
                      <w:rtl/>
                    </w:rPr>
                  </w:pPr>
                  <w:r>
                    <w:rPr>
                      <w:rFonts w:cs="Miriam"/>
                      <w:sz w:val="18"/>
                      <w:szCs w:val="18"/>
                      <w:rtl/>
                    </w:rPr>
                    <w:t>דח</w:t>
                  </w:r>
                  <w:r>
                    <w:rPr>
                      <w:rFonts w:cs="Miriam" w:hint="cs"/>
                      <w:sz w:val="18"/>
                      <w:szCs w:val="18"/>
                      <w:rtl/>
                    </w:rPr>
                    <w:t>יית הבירור</w:t>
                  </w:r>
                </w:p>
              </w:txbxContent>
            </v:textbox>
            <w10:anchorlock/>
          </v:rect>
        </w:pict>
      </w:r>
      <w:r>
        <w:rPr>
          <w:rStyle w:val="big-number"/>
          <w:rFonts w:cs="Miriam"/>
          <w:rtl/>
        </w:rPr>
        <w:t>14.</w:t>
      </w:r>
      <w:r>
        <w:rPr>
          <w:rStyle w:val="big-number"/>
          <w:rFonts w:cs="Miriam"/>
          <w:rtl/>
        </w:rPr>
        <w:tab/>
      </w:r>
      <w:r>
        <w:rPr>
          <w:rStyle w:val="default"/>
          <w:rFonts w:cs="FrankRuehl"/>
          <w:rtl/>
        </w:rPr>
        <w:t>הו</w:t>
      </w:r>
      <w:r>
        <w:rPr>
          <w:rStyle w:val="default"/>
          <w:rFonts w:cs="FrankRuehl" w:hint="cs"/>
          <w:rtl/>
        </w:rPr>
        <w:t xml:space="preserve">עדה רשאית לדחות את שמיעת התביעה, ומשהחלה בשמיעתה </w:t>
      </w:r>
      <w:r w:rsidR="0057303A">
        <w:rPr>
          <w:rStyle w:val="default"/>
          <w:rFonts w:cs="FrankRuehl"/>
          <w:rtl/>
        </w:rPr>
        <w:t>–</w:t>
      </w:r>
      <w:r>
        <w:rPr>
          <w:rStyle w:val="default"/>
          <w:rFonts w:cs="FrankRuehl"/>
          <w:rtl/>
        </w:rPr>
        <w:t xml:space="preserve"> </w:t>
      </w:r>
      <w:r>
        <w:rPr>
          <w:rStyle w:val="default"/>
          <w:rFonts w:cs="FrankRuehl" w:hint="cs"/>
          <w:rtl/>
        </w:rPr>
        <w:t>לדחות את המשך הדיון בו, אם הדחיה דרושה, לדעתה, לשם מיצוי הצדק.</w:t>
      </w:r>
    </w:p>
    <w:p w:rsidR="00E57A47" w:rsidRDefault="00E57A47">
      <w:pPr>
        <w:pStyle w:val="P00"/>
        <w:spacing w:before="72"/>
        <w:ind w:left="0" w:right="1134"/>
        <w:rPr>
          <w:rStyle w:val="default"/>
          <w:rFonts w:cs="FrankRuehl"/>
          <w:rtl/>
        </w:rPr>
      </w:pPr>
      <w:bookmarkStart w:id="15" w:name="Seif15"/>
      <w:bookmarkEnd w:id="15"/>
      <w:r>
        <w:rPr>
          <w:lang w:val="he-IL"/>
        </w:rPr>
        <w:pict>
          <v:rect id="_x0000_s1040" style="position:absolute;left:0;text-align:left;margin-left:464.5pt;margin-top:8.05pt;width:75.05pt;height:10.95pt;z-index:251662336" o:allowincell="f" filled="f" stroked="f" strokecolor="lime" strokeweight=".25pt">
            <v:textbox inset="0,0,0,0">
              <w:txbxContent>
                <w:p w:rsidR="00E57A47" w:rsidRDefault="00E57A47">
                  <w:pPr>
                    <w:spacing w:line="160" w:lineRule="exact"/>
                    <w:jc w:val="left"/>
                    <w:rPr>
                      <w:rFonts w:cs="Miriam"/>
                      <w:noProof/>
                      <w:sz w:val="18"/>
                      <w:szCs w:val="18"/>
                      <w:rtl/>
                    </w:rPr>
                  </w:pPr>
                  <w:r>
                    <w:rPr>
                      <w:rFonts w:cs="Miriam"/>
                      <w:sz w:val="18"/>
                      <w:szCs w:val="18"/>
                      <w:rtl/>
                    </w:rPr>
                    <w:t>הח</w:t>
                  </w:r>
                  <w:r>
                    <w:rPr>
                      <w:rFonts w:cs="Miriam" w:hint="cs"/>
                      <w:sz w:val="18"/>
                      <w:szCs w:val="18"/>
                      <w:rtl/>
                    </w:rPr>
                    <w:t>לטת הועדה</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ועדה רשאית לקבל החלטות ברוב דעות.</w:t>
      </w:r>
    </w:p>
    <w:p w:rsidR="00E57A47" w:rsidRDefault="00E57A4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חלטת הועדה תיערך בכתב ותיחתם ביד היושב ראש ושני חברים.</w:t>
      </w:r>
    </w:p>
    <w:p w:rsidR="00E57A47" w:rsidRDefault="00E57A4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עתק ההחלטה, מא</w:t>
      </w:r>
      <w:r>
        <w:rPr>
          <w:rStyle w:val="default"/>
          <w:rFonts w:cs="FrankRuehl"/>
          <w:rtl/>
        </w:rPr>
        <w:t>וש</w:t>
      </w:r>
      <w:r>
        <w:rPr>
          <w:rStyle w:val="default"/>
          <w:rFonts w:cs="FrankRuehl" w:hint="cs"/>
          <w:rtl/>
        </w:rPr>
        <w:t>ר ביד יושב ראש</w:t>
      </w:r>
      <w:r>
        <w:rPr>
          <w:rStyle w:val="default"/>
          <w:rFonts w:cs="FrankRuehl"/>
          <w:rtl/>
        </w:rPr>
        <w:t xml:space="preserve"> </w:t>
      </w:r>
      <w:r>
        <w:rPr>
          <w:rStyle w:val="default"/>
          <w:rFonts w:cs="FrankRuehl" w:hint="cs"/>
          <w:rtl/>
        </w:rPr>
        <w:t>הועדה, יימסר לתובע ולנתבע סמוך ככל האפשר למתן ההחלטה, אולם הועדה רשאית להחליט מטעמי בטחון שלא למסור לצדדים את נימוקי ההחלטה בכתב.</w:t>
      </w:r>
    </w:p>
    <w:p w:rsidR="00E57A47" w:rsidRDefault="00E57A47">
      <w:pPr>
        <w:pStyle w:val="P00"/>
        <w:spacing w:before="72"/>
        <w:ind w:left="0" w:right="1134"/>
        <w:rPr>
          <w:rStyle w:val="default"/>
          <w:rFonts w:cs="FrankRuehl"/>
          <w:rtl/>
        </w:rPr>
      </w:pPr>
      <w:bookmarkStart w:id="16" w:name="Seif16"/>
      <w:bookmarkEnd w:id="16"/>
      <w:r>
        <w:rPr>
          <w:lang w:val="he-IL"/>
        </w:rPr>
        <w:pict>
          <v:rect id="_x0000_s1041" style="position:absolute;left:0;text-align:left;margin-left:464.5pt;margin-top:8.05pt;width:75.05pt;height:10.25pt;z-index:251663360" o:allowincell="f" filled="f" stroked="f" strokecolor="lime" strokeweight=".25pt">
            <v:textbox inset="0,0,0,0">
              <w:txbxContent>
                <w:p w:rsidR="00E57A47" w:rsidRDefault="00E57A47">
                  <w:pPr>
                    <w:spacing w:line="160" w:lineRule="exact"/>
                    <w:jc w:val="left"/>
                    <w:rPr>
                      <w:rFonts w:cs="Miriam"/>
                      <w:noProof/>
                      <w:sz w:val="18"/>
                      <w:szCs w:val="18"/>
                      <w:rtl/>
                    </w:rPr>
                  </w:pPr>
                  <w:r>
                    <w:rPr>
                      <w:rFonts w:cs="Miriam"/>
                      <w:sz w:val="18"/>
                      <w:szCs w:val="18"/>
                      <w:rtl/>
                    </w:rPr>
                    <w:t>הו</w:t>
                  </w:r>
                  <w:r>
                    <w:rPr>
                      <w:rFonts w:cs="Miriam" w:hint="cs"/>
                      <w:sz w:val="18"/>
                      <w:szCs w:val="18"/>
                      <w:rtl/>
                    </w:rPr>
                    <w:t>צאות הבקשה</w:t>
                  </w:r>
                </w:p>
              </w:txbxContent>
            </v:textbox>
            <w10:anchorlock/>
          </v:rect>
        </w:pict>
      </w:r>
      <w:r>
        <w:rPr>
          <w:rStyle w:val="big-number"/>
          <w:rFonts w:cs="Miriam"/>
          <w:rtl/>
        </w:rPr>
        <w:t>16.</w:t>
      </w:r>
      <w:r>
        <w:rPr>
          <w:rStyle w:val="big-number"/>
          <w:rFonts w:cs="Miriam"/>
          <w:rtl/>
        </w:rPr>
        <w:tab/>
      </w:r>
      <w:r>
        <w:rPr>
          <w:rStyle w:val="default"/>
          <w:rFonts w:cs="FrankRuehl"/>
          <w:rtl/>
        </w:rPr>
        <w:t>הו</w:t>
      </w:r>
      <w:r>
        <w:rPr>
          <w:rStyle w:val="default"/>
          <w:rFonts w:cs="FrankRuehl" w:hint="cs"/>
          <w:rtl/>
        </w:rPr>
        <w:t>עדה רשאית לפסוק על הטלת הוצאות התביעה, ולקבוע על מי יוטלו.</w:t>
      </w:r>
    </w:p>
    <w:p w:rsidR="00E57A47" w:rsidRDefault="00E57A47">
      <w:pPr>
        <w:pStyle w:val="P00"/>
        <w:spacing w:before="72"/>
        <w:ind w:left="0" w:right="1134"/>
        <w:rPr>
          <w:rStyle w:val="default"/>
          <w:rFonts w:cs="FrankRuehl" w:hint="cs"/>
          <w:rtl/>
        </w:rPr>
      </w:pPr>
      <w:bookmarkStart w:id="17" w:name="Seif17"/>
      <w:bookmarkEnd w:id="17"/>
      <w:r>
        <w:rPr>
          <w:lang w:val="he-IL"/>
        </w:rPr>
        <w:pict>
          <v:rect id="_x0000_s1042" style="position:absolute;left:0;text-align:left;margin-left:464.5pt;margin-top:8.05pt;width:75.05pt;height:18.35pt;z-index:251664384" o:allowincell="f" filled="f" stroked="f" strokecolor="lime" strokeweight=".25pt">
            <v:textbox inset="0,0,0,0">
              <w:txbxContent>
                <w:p w:rsidR="00E57A47" w:rsidRDefault="00E57A47">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התיצבות בשעת הבירור</w:t>
                  </w:r>
                </w:p>
              </w:txbxContent>
            </v:textbox>
            <w10:anchorlock/>
          </v:rect>
        </w:pict>
      </w:r>
      <w:r>
        <w:rPr>
          <w:rStyle w:val="big-number"/>
          <w:rFonts w:cs="Miriam"/>
          <w:rtl/>
        </w:rPr>
        <w:t>17.</w:t>
      </w:r>
      <w:r>
        <w:rPr>
          <w:rStyle w:val="big-number"/>
          <w:rFonts w:cs="Miriam"/>
          <w:rtl/>
        </w:rPr>
        <w:tab/>
      </w:r>
      <w:r>
        <w:rPr>
          <w:rStyle w:val="default"/>
          <w:rFonts w:cs="FrankRuehl"/>
          <w:rtl/>
        </w:rPr>
        <w:t>בע</w:t>
      </w:r>
      <w:r>
        <w:rPr>
          <w:rStyle w:val="default"/>
          <w:rFonts w:cs="FrankRuehl" w:hint="cs"/>
          <w:rtl/>
        </w:rPr>
        <w:t>לי דין שנמסרה להם הודעה כדין ולא התי</w:t>
      </w:r>
      <w:r>
        <w:rPr>
          <w:rStyle w:val="default"/>
          <w:rFonts w:cs="FrankRuehl"/>
          <w:rtl/>
        </w:rPr>
        <w:t>צב</w:t>
      </w:r>
      <w:r>
        <w:rPr>
          <w:rStyle w:val="default"/>
          <w:rFonts w:cs="FrankRuehl" w:hint="cs"/>
          <w:rtl/>
        </w:rPr>
        <w:t>ו לפני הועדה במועד שנקבע לבירור התביעה או במועד שנדחה לפני תקנה 14, יחולו הוראות אלה: -</w:t>
      </w:r>
    </w:p>
    <w:p w:rsidR="00E57A47" w:rsidRDefault="00E57A47" w:rsidP="0057303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תייצב התובע ולא התייצב הנתבע, רשאית הועדה לדחות את הדיון או לדון בתביעה ולהחליט בה;</w:t>
      </w:r>
    </w:p>
    <w:p w:rsidR="00E57A47" w:rsidRDefault="00E57A47" w:rsidP="0057303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 xml:space="preserve">א התייצב התובע או לא התייצבו שניהם, רשאית הועדה </w:t>
      </w:r>
      <w:r>
        <w:rPr>
          <w:rStyle w:val="default"/>
          <w:rFonts w:cs="FrankRuehl"/>
          <w:rtl/>
        </w:rPr>
        <w:t>ל</w:t>
      </w:r>
      <w:r>
        <w:rPr>
          <w:rStyle w:val="default"/>
          <w:rFonts w:cs="FrankRuehl" w:hint="cs"/>
          <w:rtl/>
        </w:rPr>
        <w:t>דחות את הדיון או לבטל א</w:t>
      </w:r>
      <w:r>
        <w:rPr>
          <w:rStyle w:val="default"/>
          <w:rFonts w:cs="FrankRuehl"/>
          <w:rtl/>
        </w:rPr>
        <w:t xml:space="preserve">ת </w:t>
      </w:r>
      <w:r>
        <w:rPr>
          <w:rStyle w:val="default"/>
          <w:rFonts w:cs="FrankRuehl" w:hint="cs"/>
          <w:rtl/>
        </w:rPr>
        <w:t>התביעה.</w:t>
      </w:r>
    </w:p>
    <w:p w:rsidR="00E57A47" w:rsidRDefault="00E57A47">
      <w:pPr>
        <w:pStyle w:val="P00"/>
        <w:spacing w:before="72"/>
        <w:ind w:left="0" w:right="1134"/>
        <w:rPr>
          <w:rStyle w:val="default"/>
          <w:rFonts w:cs="FrankRuehl" w:hint="cs"/>
          <w:rtl/>
        </w:rPr>
      </w:pPr>
      <w:bookmarkStart w:id="18" w:name="Seif18"/>
      <w:bookmarkEnd w:id="18"/>
      <w:r>
        <w:rPr>
          <w:lang w:val="he-IL"/>
        </w:rPr>
        <w:pict>
          <v:rect id="_x0000_s1043" style="position:absolute;left:0;text-align:left;margin-left:464.5pt;margin-top:8.05pt;width:75.05pt;height:11.6pt;z-index:251665408" o:allowincell="f" filled="f" stroked="f" strokecolor="lime" strokeweight=".25pt">
            <v:textbox inset="0,0,0,0">
              <w:txbxContent>
                <w:p w:rsidR="00E57A47" w:rsidRDefault="00E57A47">
                  <w:pPr>
                    <w:spacing w:line="160" w:lineRule="exact"/>
                    <w:jc w:val="left"/>
                    <w:rPr>
                      <w:rFonts w:cs="Miriam"/>
                      <w:noProof/>
                      <w:sz w:val="18"/>
                      <w:szCs w:val="18"/>
                      <w:rtl/>
                    </w:rPr>
                  </w:pPr>
                  <w:r>
                    <w:rPr>
                      <w:rFonts w:cs="Miriam"/>
                      <w:sz w:val="18"/>
                      <w:szCs w:val="18"/>
                      <w:rtl/>
                    </w:rPr>
                    <w:t>מי</w:t>
                  </w:r>
                  <w:r>
                    <w:rPr>
                      <w:rFonts w:cs="Miriam" w:hint="cs"/>
                      <w:sz w:val="18"/>
                      <w:szCs w:val="18"/>
                      <w:rtl/>
                    </w:rPr>
                    <w:t>זוג בקשות</w:t>
                  </w:r>
                </w:p>
              </w:txbxContent>
            </v:textbox>
            <w10:anchorlock/>
          </v:rect>
        </w:pict>
      </w:r>
      <w:r>
        <w:rPr>
          <w:rStyle w:val="big-number"/>
          <w:rFonts w:cs="Miriam"/>
          <w:rtl/>
        </w:rPr>
        <w:t>18.</w:t>
      </w:r>
      <w:r>
        <w:rPr>
          <w:rStyle w:val="big-number"/>
          <w:rFonts w:cs="Miriam"/>
          <w:rtl/>
        </w:rPr>
        <w:tab/>
      </w:r>
      <w:r>
        <w:rPr>
          <w:rStyle w:val="default"/>
          <w:rFonts w:cs="FrankRuehl"/>
          <w:rtl/>
        </w:rPr>
        <w:t>הו</w:t>
      </w:r>
      <w:r>
        <w:rPr>
          <w:rStyle w:val="default"/>
          <w:rFonts w:cs="FrankRuehl" w:hint="cs"/>
          <w:rtl/>
        </w:rPr>
        <w:t xml:space="preserve">עדה רשאית למזג תביעות התלויות ועומדות לפניה, לדון בהן במשותף ולתת החלטה אחת בכולן </w:t>
      </w:r>
      <w:r>
        <w:rPr>
          <w:rStyle w:val="default"/>
          <w:rFonts w:cs="FrankRuehl"/>
          <w:rtl/>
        </w:rPr>
        <w:t>–</w:t>
      </w:r>
    </w:p>
    <w:p w:rsidR="00E57A47" w:rsidRDefault="00E57A47" w:rsidP="0057303A">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ם התביעות הוגשו בקשר להוראה אחת או להיתר אחד, או</w:t>
      </w:r>
    </w:p>
    <w:p w:rsidR="00E57A47" w:rsidRDefault="00E57A47" w:rsidP="0057303A">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א</w:t>
      </w:r>
      <w:r>
        <w:rPr>
          <w:rStyle w:val="default"/>
          <w:rFonts w:cs="FrankRuehl" w:hint="cs"/>
          <w:rtl/>
        </w:rPr>
        <w:t>ם כרוכות בהן אותן בעיות חוק או אותן בעיות עובדה, או אם כרוכות בהן בעיות חוק או בעיות עובדה דומות</w:t>
      </w:r>
      <w:r>
        <w:rPr>
          <w:rStyle w:val="default"/>
          <w:rFonts w:cs="FrankRuehl"/>
          <w:rtl/>
        </w:rPr>
        <w:t>.</w:t>
      </w:r>
    </w:p>
    <w:p w:rsidR="00E57A47" w:rsidRDefault="00E57A47">
      <w:pPr>
        <w:pStyle w:val="P00"/>
        <w:spacing w:before="72"/>
        <w:ind w:left="0" w:right="1134"/>
        <w:rPr>
          <w:rStyle w:val="default"/>
          <w:rFonts w:cs="FrankRuehl"/>
          <w:rtl/>
        </w:rPr>
      </w:pPr>
      <w:bookmarkStart w:id="19" w:name="Seif19"/>
      <w:bookmarkEnd w:id="19"/>
      <w:r>
        <w:rPr>
          <w:lang w:val="he-IL"/>
        </w:rPr>
        <w:pict>
          <v:rect id="_x0000_s1044" style="position:absolute;left:0;text-align:left;margin-left:464.5pt;margin-top:8.05pt;width:75.05pt;height:12.15pt;z-index:251666432" o:allowincell="f" filled="f" stroked="f" strokecolor="lime" strokeweight=".25pt">
            <v:textbox inset="0,0,0,0">
              <w:txbxContent>
                <w:p w:rsidR="00E57A47" w:rsidRDefault="00E57A47">
                  <w:pPr>
                    <w:spacing w:line="160" w:lineRule="exact"/>
                    <w:jc w:val="left"/>
                    <w:rPr>
                      <w:rFonts w:cs="Miriam"/>
                      <w:noProof/>
                      <w:sz w:val="18"/>
                      <w:szCs w:val="18"/>
                      <w:rtl/>
                    </w:rPr>
                  </w:pPr>
                  <w:r>
                    <w:rPr>
                      <w:rFonts w:cs="Miriam"/>
                      <w:sz w:val="18"/>
                      <w:szCs w:val="18"/>
                      <w:rtl/>
                    </w:rPr>
                    <w:t>צי</w:t>
                  </w:r>
                  <w:r>
                    <w:rPr>
                      <w:rFonts w:cs="Miriam" w:hint="cs"/>
                      <w:sz w:val="18"/>
                      <w:szCs w:val="18"/>
                      <w:rtl/>
                    </w:rPr>
                    <w:t>רוף בע</w:t>
                  </w:r>
                  <w:r>
                    <w:rPr>
                      <w:rFonts w:cs="Miriam"/>
                      <w:sz w:val="18"/>
                      <w:szCs w:val="18"/>
                      <w:rtl/>
                    </w:rPr>
                    <w:t>לי</w:t>
                  </w:r>
                  <w:r>
                    <w:rPr>
                      <w:rFonts w:cs="Miriam" w:hint="cs"/>
                      <w:sz w:val="18"/>
                      <w:szCs w:val="18"/>
                      <w:rtl/>
                    </w:rPr>
                    <w:t xml:space="preserve"> דין</w:t>
                  </w:r>
                </w:p>
              </w:txbxContent>
            </v:textbox>
            <w10:anchorlock/>
          </v:rect>
        </w:pict>
      </w:r>
      <w:r>
        <w:rPr>
          <w:rStyle w:val="big-number"/>
          <w:rFonts w:cs="Miriam"/>
          <w:rtl/>
        </w:rPr>
        <w:t>19.</w:t>
      </w:r>
      <w:r>
        <w:rPr>
          <w:rStyle w:val="big-number"/>
          <w:rFonts w:cs="Miriam"/>
          <w:rtl/>
        </w:rPr>
        <w:tab/>
      </w:r>
      <w:r>
        <w:rPr>
          <w:rStyle w:val="default"/>
          <w:rFonts w:cs="FrankRuehl"/>
          <w:rtl/>
        </w:rPr>
        <w:t>הו</w:t>
      </w:r>
      <w:r>
        <w:rPr>
          <w:rStyle w:val="default"/>
          <w:rFonts w:cs="FrankRuehl" w:hint="cs"/>
          <w:rtl/>
        </w:rPr>
        <w:t>עדה רשאית, בכל שלב של מהלך הדיון, לצרף כתובע או כנתבע בתביעה שלפניה כל אדם המעונין בתוצאות התביעה, לפי בקשתו של התובע, של הנתבע או של האדם המעונין כאמור.</w:t>
      </w:r>
    </w:p>
    <w:p w:rsidR="00E57A47" w:rsidRDefault="00E57A47">
      <w:pPr>
        <w:pStyle w:val="P00"/>
        <w:spacing w:before="72"/>
        <w:ind w:left="0" w:right="1134"/>
        <w:rPr>
          <w:rStyle w:val="default"/>
          <w:rFonts w:cs="FrankRuehl"/>
          <w:rtl/>
        </w:rPr>
      </w:pPr>
      <w:bookmarkStart w:id="20" w:name="Seif20"/>
      <w:bookmarkEnd w:id="20"/>
      <w:r>
        <w:rPr>
          <w:lang w:val="he-IL"/>
        </w:rPr>
        <w:pict>
          <v:rect id="_x0000_s1045" style="position:absolute;left:0;text-align:left;margin-left:464.5pt;margin-top:8.05pt;width:75.05pt;height:12.8pt;z-index:251667456" o:allowincell="f" filled="f" stroked="f" strokecolor="lime" strokeweight=".25pt">
            <v:textbox inset="0,0,0,0">
              <w:txbxContent>
                <w:p w:rsidR="00E57A47" w:rsidRDefault="00E57A47">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20.</w:t>
      </w:r>
      <w:r>
        <w:rPr>
          <w:rStyle w:val="big-number"/>
          <w:rFonts w:cs="Miriam"/>
          <w:rtl/>
        </w:rPr>
        <w:tab/>
      </w:r>
      <w:r>
        <w:rPr>
          <w:rStyle w:val="default"/>
          <w:rFonts w:cs="FrankRuehl"/>
          <w:rtl/>
        </w:rPr>
        <w:t>לת</w:t>
      </w:r>
      <w:r>
        <w:rPr>
          <w:rStyle w:val="default"/>
          <w:rFonts w:cs="FrankRuehl" w:hint="cs"/>
          <w:rtl/>
        </w:rPr>
        <w:t>קנות אלה ייקרא "תקנות הפט</w:t>
      </w:r>
      <w:r>
        <w:rPr>
          <w:rStyle w:val="default"/>
          <w:rFonts w:cs="FrankRuehl"/>
          <w:rtl/>
        </w:rPr>
        <w:t>נ</w:t>
      </w:r>
      <w:r>
        <w:rPr>
          <w:rStyle w:val="default"/>
          <w:rFonts w:cs="FrankRuehl" w:hint="cs"/>
          <w:rtl/>
        </w:rPr>
        <w:t>טים והמדגמים (סדרי הדין לפני ועדת פיצוי ודמי זכיון), תשי"ב-</w:t>
      </w:r>
      <w:r>
        <w:rPr>
          <w:rStyle w:val="default"/>
          <w:rFonts w:cs="FrankRuehl"/>
          <w:rtl/>
        </w:rPr>
        <w:t>1952".</w:t>
      </w:r>
    </w:p>
    <w:p w:rsidR="00E57A47" w:rsidRDefault="00E57A47">
      <w:pPr>
        <w:pStyle w:val="P00"/>
        <w:spacing w:before="72"/>
        <w:ind w:left="0" w:right="1134"/>
        <w:rPr>
          <w:rStyle w:val="default"/>
          <w:rFonts w:cs="FrankRuehl" w:hint="cs"/>
          <w:rtl/>
        </w:rPr>
      </w:pPr>
    </w:p>
    <w:p w:rsidR="0057303A" w:rsidRDefault="0057303A">
      <w:pPr>
        <w:pStyle w:val="P00"/>
        <w:spacing w:before="72"/>
        <w:ind w:left="0" w:right="1134"/>
        <w:rPr>
          <w:rStyle w:val="default"/>
          <w:rFonts w:cs="FrankRuehl" w:hint="cs"/>
          <w:rtl/>
        </w:rPr>
      </w:pPr>
    </w:p>
    <w:p w:rsidR="00E57A47" w:rsidRDefault="00E57A47" w:rsidP="0057303A">
      <w:pPr>
        <w:pStyle w:val="sig-0"/>
        <w:tabs>
          <w:tab w:val="clear" w:pos="4820"/>
          <w:tab w:val="center" w:pos="5670"/>
        </w:tabs>
        <w:spacing w:before="72"/>
        <w:ind w:left="0" w:right="1134"/>
        <w:rPr>
          <w:rFonts w:cs="FrankRuehl"/>
          <w:sz w:val="26"/>
          <w:rtl/>
        </w:rPr>
      </w:pPr>
      <w:r>
        <w:rPr>
          <w:rFonts w:cs="FrankRuehl"/>
          <w:sz w:val="26"/>
          <w:rtl/>
        </w:rPr>
        <w:t>י"</w:t>
      </w:r>
      <w:r>
        <w:rPr>
          <w:rFonts w:cs="FrankRuehl" w:hint="cs"/>
          <w:sz w:val="26"/>
          <w:rtl/>
        </w:rPr>
        <w:t>ד בתמוז תשי"ב (7 ביולי 1952)</w:t>
      </w:r>
      <w:r>
        <w:rPr>
          <w:rFonts w:cs="FrankRuehl"/>
          <w:sz w:val="26"/>
          <w:rtl/>
        </w:rPr>
        <w:tab/>
        <w:t>ח</w:t>
      </w:r>
      <w:r>
        <w:rPr>
          <w:rFonts w:cs="FrankRuehl" w:hint="cs"/>
          <w:sz w:val="26"/>
          <w:rtl/>
        </w:rPr>
        <w:t>יים כהן</w:t>
      </w:r>
    </w:p>
    <w:p w:rsidR="00E57A47" w:rsidRDefault="00E57A47" w:rsidP="0057303A">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t>ש</w:t>
      </w:r>
      <w:r>
        <w:rPr>
          <w:rFonts w:cs="FrankRuehl" w:hint="cs"/>
          <w:sz w:val="22"/>
          <w:rtl/>
        </w:rPr>
        <w:t>ר המשפטים</w:t>
      </w:r>
    </w:p>
    <w:p w:rsidR="00E57A47" w:rsidRDefault="00E57A47">
      <w:pPr>
        <w:pStyle w:val="P00"/>
        <w:spacing w:before="72"/>
        <w:ind w:left="0" w:right="1134"/>
        <w:rPr>
          <w:rStyle w:val="default"/>
          <w:rFonts w:cs="FrankRuehl" w:hint="cs"/>
          <w:rtl/>
        </w:rPr>
      </w:pPr>
    </w:p>
    <w:p w:rsidR="00E57A47" w:rsidRDefault="00E57A47">
      <w:pPr>
        <w:pStyle w:val="P00"/>
        <w:spacing w:before="72"/>
        <w:ind w:left="0" w:right="1134"/>
        <w:rPr>
          <w:rStyle w:val="default"/>
          <w:rFonts w:cs="FrankRuehl"/>
          <w:rtl/>
        </w:rPr>
      </w:pPr>
    </w:p>
    <w:p w:rsidR="00E57A47" w:rsidRDefault="00E57A47">
      <w:pPr>
        <w:pStyle w:val="P00"/>
        <w:spacing w:before="72"/>
        <w:ind w:left="0" w:right="1134"/>
        <w:rPr>
          <w:rStyle w:val="default"/>
          <w:rFonts w:cs="FrankRuehl"/>
          <w:rtl/>
        </w:rPr>
      </w:pPr>
      <w:bookmarkStart w:id="21" w:name="LawPartEnd"/>
    </w:p>
    <w:bookmarkEnd w:id="21"/>
    <w:p w:rsidR="0066168F" w:rsidRDefault="0066168F">
      <w:pPr>
        <w:pStyle w:val="P00"/>
        <w:spacing w:before="72"/>
        <w:ind w:left="0" w:right="1134"/>
        <w:rPr>
          <w:rStyle w:val="default"/>
          <w:rFonts w:cs="FrankRuehl"/>
          <w:rtl/>
        </w:rPr>
      </w:pPr>
    </w:p>
    <w:p w:rsidR="0066168F" w:rsidRDefault="0066168F">
      <w:pPr>
        <w:pStyle w:val="P00"/>
        <w:spacing w:before="72"/>
        <w:ind w:left="0" w:right="1134"/>
        <w:rPr>
          <w:rStyle w:val="default"/>
          <w:rFonts w:cs="FrankRuehl"/>
          <w:rtl/>
        </w:rPr>
      </w:pPr>
    </w:p>
    <w:p w:rsidR="0066168F" w:rsidRDefault="0066168F" w:rsidP="0066168F">
      <w:pPr>
        <w:pStyle w:val="P00"/>
        <w:spacing w:before="72"/>
        <w:ind w:left="0" w:right="1134"/>
        <w:jc w:val="center"/>
        <w:rPr>
          <w:rStyle w:val="default"/>
          <w:rFonts w:cs="David"/>
          <w:color w:val="0000FF"/>
          <w:szCs w:val="24"/>
          <w:u w:val="single"/>
          <w:rtl/>
        </w:rPr>
      </w:pPr>
      <w:hyperlink r:id="rId7" w:history="1">
        <w:r>
          <w:rPr>
            <w:rStyle w:val="Hyperlink"/>
            <w:noProof w:val="0"/>
            <w:sz w:val="22"/>
            <w:szCs w:val="24"/>
            <w:rtl/>
          </w:rPr>
          <w:t>הודעה למנויים על עריכה ושינויים במסמכי פסיקה, חקיקה ועוד באתר נבו - הקש כאן</w:t>
        </w:r>
      </w:hyperlink>
    </w:p>
    <w:p w:rsidR="00E57A47" w:rsidRPr="0066168F" w:rsidRDefault="00E57A47" w:rsidP="0066168F">
      <w:pPr>
        <w:pStyle w:val="P00"/>
        <w:spacing w:before="72"/>
        <w:ind w:left="0" w:right="1134"/>
        <w:jc w:val="center"/>
        <w:rPr>
          <w:rStyle w:val="default"/>
          <w:rFonts w:cs="David"/>
          <w:color w:val="0000FF"/>
          <w:szCs w:val="24"/>
          <w:u w:val="single"/>
          <w:rtl/>
        </w:rPr>
      </w:pPr>
    </w:p>
    <w:sectPr w:rsidR="00E57A47" w:rsidRPr="0066168F">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1925" w:rsidRDefault="00921925">
      <w:r>
        <w:separator/>
      </w:r>
    </w:p>
  </w:endnote>
  <w:endnote w:type="continuationSeparator" w:id="0">
    <w:p w:rsidR="00921925" w:rsidRDefault="00921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7A47" w:rsidRDefault="00E57A4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57A47" w:rsidRDefault="00E57A4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57A47" w:rsidRDefault="00E57A4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C:\Yael\hakika\Revadim\P187_012.doc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7A47" w:rsidRDefault="00E57A4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6168F">
      <w:rPr>
        <w:rFonts w:hAnsi="FrankRuehl" w:cs="FrankRuehl"/>
        <w:noProof/>
        <w:sz w:val="24"/>
        <w:szCs w:val="24"/>
        <w:rtl/>
      </w:rPr>
      <w:t>4</w:t>
    </w:r>
    <w:r>
      <w:rPr>
        <w:rFonts w:hAnsi="FrankRuehl" w:cs="FrankRuehl"/>
        <w:sz w:val="24"/>
        <w:szCs w:val="24"/>
        <w:rtl/>
      </w:rPr>
      <w:fldChar w:fldCharType="end"/>
    </w:r>
  </w:p>
  <w:p w:rsidR="00E57A47" w:rsidRDefault="00E57A4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57A47" w:rsidRDefault="00E57A4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C:\Yael\hakika\Revadim\P187_012.doc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1925" w:rsidRDefault="00921925">
      <w:pPr>
        <w:spacing w:before="60" w:line="240" w:lineRule="auto"/>
        <w:ind w:right="1134"/>
      </w:pPr>
      <w:r>
        <w:separator/>
      </w:r>
    </w:p>
  </w:footnote>
  <w:footnote w:type="continuationSeparator" w:id="0">
    <w:p w:rsidR="00921925" w:rsidRDefault="00921925">
      <w:r>
        <w:continuationSeparator/>
      </w:r>
    </w:p>
  </w:footnote>
  <w:footnote w:id="1">
    <w:p w:rsidR="00E57A47" w:rsidRDefault="00E57A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תשי"ב מס' 288</w:t>
        </w:r>
      </w:hyperlink>
      <w:r>
        <w:rPr>
          <w:rFonts w:cs="FrankRuehl" w:hint="cs"/>
          <w:rtl/>
        </w:rPr>
        <w:t xml:space="preserve"> מיום 24.7.1952 עמ' 1202.</w:t>
      </w:r>
    </w:p>
    <w:p w:rsidR="00E57A47" w:rsidRDefault="00E57A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w:t>
        </w:r>
        <w:r>
          <w:rPr>
            <w:rStyle w:val="Hyperlink"/>
            <w:rFonts w:cs="FrankRuehl"/>
            <w:rtl/>
          </w:rPr>
          <w:t>"</w:t>
        </w:r>
        <w:r>
          <w:rPr>
            <w:rStyle w:val="Hyperlink"/>
            <w:rFonts w:cs="FrankRuehl" w:hint="cs"/>
            <w:rtl/>
          </w:rPr>
          <w:t>ת תשמ"ו</w:t>
        </w:r>
        <w:r>
          <w:rPr>
            <w:rStyle w:val="Hyperlink"/>
            <w:rFonts w:cs="FrankRuehl" w:hint="cs"/>
            <w:rtl/>
          </w:rPr>
          <w:t xml:space="preserve"> מס' 4917</w:t>
        </w:r>
      </w:hyperlink>
      <w:r>
        <w:rPr>
          <w:rFonts w:cs="FrankRuehl" w:hint="cs"/>
          <w:rtl/>
        </w:rPr>
        <w:t xml:space="preserve"> מ</w:t>
      </w:r>
      <w:r>
        <w:rPr>
          <w:rFonts w:cs="FrankRuehl"/>
          <w:rtl/>
        </w:rPr>
        <w:t>יו</w:t>
      </w:r>
      <w:r>
        <w:rPr>
          <w:rFonts w:cs="FrankRuehl" w:hint="cs"/>
          <w:rtl/>
        </w:rPr>
        <w:t xml:space="preserve">ם 24.3.1986 עמ' 714 </w:t>
      </w:r>
      <w:r>
        <w:rPr>
          <w:rFonts w:cs="FrankRuehl"/>
          <w:rtl/>
        </w:rPr>
        <w:t>–</w:t>
      </w:r>
      <w:r>
        <w:rPr>
          <w:rFonts w:cs="FrankRuehl" w:hint="cs"/>
          <w:rtl/>
        </w:rPr>
        <w:t xml:space="preserve"> תק' תשמ"ו-1986; תחילתן ביום 1.4.1986.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7A47" w:rsidRDefault="00E57A4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הפטנטים והמדגמים (סדרי הדין לפני ועדת פיצוי ודמי זכיון), תשי"ב–1952</w:t>
    </w:r>
  </w:p>
  <w:p w:rsidR="00E57A47" w:rsidRDefault="00E57A4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57A47" w:rsidRDefault="00E57A4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7A47" w:rsidRDefault="00E57A4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הפטנטים והמדגמים (סדרי הדין לפני ועדת פיצוי ודמי זכיון), תשי"ב</w:t>
    </w:r>
    <w:r>
      <w:rPr>
        <w:rFonts w:hAnsi="FrankRuehl" w:cs="FrankRuehl" w:hint="cs"/>
        <w:color w:val="000000"/>
        <w:sz w:val="28"/>
        <w:szCs w:val="28"/>
        <w:rtl/>
      </w:rPr>
      <w:t>-</w:t>
    </w:r>
    <w:r>
      <w:rPr>
        <w:rFonts w:hAnsi="FrankRuehl" w:cs="FrankRuehl"/>
        <w:color w:val="000000"/>
        <w:sz w:val="28"/>
        <w:szCs w:val="28"/>
        <w:rtl/>
      </w:rPr>
      <w:t>1952</w:t>
    </w:r>
  </w:p>
  <w:p w:rsidR="00E57A47" w:rsidRDefault="00E57A4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57A47" w:rsidRDefault="00E57A4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7A47"/>
    <w:rsid w:val="002E006F"/>
    <w:rsid w:val="0048235D"/>
    <w:rsid w:val="0057303A"/>
    <w:rsid w:val="0066168F"/>
    <w:rsid w:val="00921925"/>
    <w:rsid w:val="0092547C"/>
    <w:rsid w:val="00AD206B"/>
    <w:rsid w:val="00B22F40"/>
    <w:rsid w:val="00E57A4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D81B945-F049-4429-A1A7-72D577F7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4917.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4917.pdf" TargetMode="External"/><Relationship Id="rId1" Type="http://schemas.openxmlformats.org/officeDocument/2006/relationships/hyperlink" Target="http://www.nevo.co.il/Law_word/law06/TAK-028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1024</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פרק 187</vt:lpstr>
    </vt:vector>
  </TitlesOfParts>
  <Company/>
  <LinksUpToDate>false</LinksUpToDate>
  <CharactersWithSpaces>6848</CharactersWithSpaces>
  <SharedDoc>false</SharedDoc>
  <HLinks>
    <vt:vector size="144" baseType="variant">
      <vt:variant>
        <vt:i4>393283</vt:i4>
      </vt:variant>
      <vt:variant>
        <vt:i4>123</vt:i4>
      </vt:variant>
      <vt:variant>
        <vt:i4>0</vt:i4>
      </vt:variant>
      <vt:variant>
        <vt:i4>5</vt:i4>
      </vt:variant>
      <vt:variant>
        <vt:lpwstr>http://www.nevo.co.il/advertisements/nevo-100.doc</vt:lpwstr>
      </vt:variant>
      <vt:variant>
        <vt:lpwstr/>
      </vt:variant>
      <vt:variant>
        <vt:i4>8126470</vt:i4>
      </vt:variant>
      <vt:variant>
        <vt:i4>120</vt:i4>
      </vt:variant>
      <vt:variant>
        <vt:i4>0</vt:i4>
      </vt:variant>
      <vt:variant>
        <vt:i4>5</vt:i4>
      </vt:variant>
      <vt:variant>
        <vt:lpwstr>http://www.nevo.co.il/Law_word/law06/TAK-4917.pdf</vt:lpwstr>
      </vt:variant>
      <vt:variant>
        <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8126470</vt:i4>
      </vt:variant>
      <vt:variant>
        <vt:i4>3</vt:i4>
      </vt:variant>
      <vt:variant>
        <vt:i4>0</vt:i4>
      </vt:variant>
      <vt:variant>
        <vt:i4>5</vt:i4>
      </vt:variant>
      <vt:variant>
        <vt:lpwstr>http://www.nevo.co.il/Law_word/law06/TAK-4917.pdf</vt:lpwstr>
      </vt:variant>
      <vt:variant>
        <vt:lpwstr/>
      </vt:variant>
      <vt:variant>
        <vt:i4>7405570</vt:i4>
      </vt:variant>
      <vt:variant>
        <vt:i4>0</vt:i4>
      </vt:variant>
      <vt:variant>
        <vt:i4>0</vt:i4>
      </vt:variant>
      <vt:variant>
        <vt:i4>5</vt:i4>
      </vt:variant>
      <vt:variant>
        <vt:lpwstr>http://www.nevo.co.il/Law_word/law06/TAK-0288.pdf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P187</vt:lpwstr>
  </property>
  <property fmtid="{D5CDD505-2E9C-101B-9397-08002B2CF9AE}" pid="3" name="CHNAME">
    <vt:lpwstr>פטנטים ומדגמים</vt:lpwstr>
  </property>
  <property fmtid="{D5CDD505-2E9C-101B-9397-08002B2CF9AE}" pid="4" name="LAWNAME">
    <vt:lpwstr>תקנות הפטנטים והמדגמים (סדרי הדין לפני ועדת פיצוי ודמי זכיון), תשי"ב-1952</vt:lpwstr>
  </property>
  <property fmtid="{D5CDD505-2E9C-101B-9397-08002B2CF9AE}" pid="5" name="LAWNUMBER">
    <vt:lpwstr>0012</vt:lpwstr>
  </property>
  <property fmtid="{D5CDD505-2E9C-101B-9397-08002B2CF9AE}" pid="6" name="TYPE">
    <vt:lpwstr>01</vt:lpwstr>
  </property>
  <property fmtid="{D5CDD505-2E9C-101B-9397-08002B2CF9AE}" pid="7" name="MEKOR_NAME1">
    <vt:lpwstr>פקודת הפטנטים והמדגמים</vt:lpwstr>
  </property>
  <property fmtid="{D5CDD505-2E9C-101B-9397-08002B2CF9AE}" pid="8" name="MEKOR_SAIF1">
    <vt:lpwstr>66X1X</vt:lpwstr>
  </property>
  <property fmtid="{D5CDD505-2E9C-101B-9397-08002B2CF9AE}" pid="9" name="NOSE11">
    <vt:lpwstr>משפט פרטי וכלכלה</vt:lpwstr>
  </property>
  <property fmtid="{D5CDD505-2E9C-101B-9397-08002B2CF9AE}" pid="10" name="NOSE21">
    <vt:lpwstr>קניין</vt:lpwstr>
  </property>
  <property fmtid="{D5CDD505-2E9C-101B-9397-08002B2CF9AE}" pid="11" name="NOSE31">
    <vt:lpwstr>קניין רוחני</vt:lpwstr>
  </property>
  <property fmtid="{D5CDD505-2E9C-101B-9397-08002B2CF9AE}" pid="12" name="NOSE41">
    <vt:lpwstr>פטנטים</vt:lpwstr>
  </property>
  <property fmtid="{D5CDD505-2E9C-101B-9397-08002B2CF9AE}" pid="13" name="NOSE12">
    <vt:lpwstr>משפט פרטי וכלכלה</vt:lpwstr>
  </property>
  <property fmtid="{D5CDD505-2E9C-101B-9397-08002B2CF9AE}" pid="14" name="NOSE22">
    <vt:lpwstr>קניין</vt:lpwstr>
  </property>
  <property fmtid="{D5CDD505-2E9C-101B-9397-08002B2CF9AE}" pid="15" name="NOSE32">
    <vt:lpwstr>קניין רוחני</vt:lpwstr>
  </property>
  <property fmtid="{D5CDD505-2E9C-101B-9397-08002B2CF9AE}" pid="16" name="NOSE42">
    <vt:lpwstr>מדגמים</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