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BF1D" w14:textId="77777777" w:rsidR="00EE004F" w:rsidRDefault="00EE004F" w:rsidP="00933188">
      <w:pPr>
        <w:pStyle w:val="big-header"/>
        <w:ind w:left="0" w:right="1134"/>
        <w:rPr>
          <w:rFonts w:hint="cs"/>
          <w:rtl/>
        </w:rPr>
      </w:pPr>
      <w:r>
        <w:rPr>
          <w:rFonts w:hint="cs"/>
          <w:rtl/>
        </w:rPr>
        <w:t>תקנות הפיקוח על י</w:t>
      </w:r>
      <w:r w:rsidR="00933188">
        <w:rPr>
          <w:rFonts w:hint="cs"/>
          <w:rtl/>
        </w:rPr>
        <w:t>י</w:t>
      </w:r>
      <w:r>
        <w:rPr>
          <w:rFonts w:hint="cs"/>
          <w:rtl/>
        </w:rPr>
        <w:t>צוא ביטחוני (פטור מרישיון י</w:t>
      </w:r>
      <w:r w:rsidR="00933188">
        <w:rPr>
          <w:rFonts w:hint="cs"/>
          <w:rtl/>
        </w:rPr>
        <w:t>י</w:t>
      </w:r>
      <w:r>
        <w:rPr>
          <w:rFonts w:hint="cs"/>
          <w:rtl/>
        </w:rPr>
        <w:t>צוא ביטחוני)</w:t>
      </w:r>
      <w:r>
        <w:rPr>
          <w:rtl/>
        </w:rPr>
        <w:t xml:space="preserve">, </w:t>
      </w:r>
      <w:r w:rsidR="00933188">
        <w:rPr>
          <w:rFonts w:hint="cs"/>
          <w:rtl/>
        </w:rPr>
        <w:t>תשע"ז-2017</w:t>
      </w:r>
    </w:p>
    <w:p w14:paraId="1E2F965A" w14:textId="77777777" w:rsidR="00494149" w:rsidRPr="00494149" w:rsidRDefault="00494149" w:rsidP="00494149">
      <w:pPr>
        <w:spacing w:line="320" w:lineRule="auto"/>
        <w:jc w:val="left"/>
        <w:rPr>
          <w:rFonts w:cs="FrankRuehl"/>
          <w:szCs w:val="26"/>
          <w:rtl/>
        </w:rPr>
      </w:pPr>
    </w:p>
    <w:p w14:paraId="22A7B3DE" w14:textId="77777777" w:rsidR="00494149" w:rsidRDefault="00494149" w:rsidP="00494149">
      <w:pPr>
        <w:spacing w:line="320" w:lineRule="auto"/>
        <w:jc w:val="left"/>
        <w:rPr>
          <w:rFonts w:cs="Miriam"/>
          <w:szCs w:val="22"/>
          <w:rtl/>
        </w:rPr>
      </w:pPr>
      <w:r w:rsidRPr="00494149">
        <w:rPr>
          <w:rFonts w:cs="Miriam"/>
          <w:szCs w:val="22"/>
          <w:rtl/>
        </w:rPr>
        <w:t>בטחון</w:t>
      </w:r>
      <w:r w:rsidRPr="00494149">
        <w:rPr>
          <w:rFonts w:cs="FrankRuehl"/>
          <w:szCs w:val="26"/>
          <w:rtl/>
        </w:rPr>
        <w:t xml:space="preserve"> – יצוא ביטחוני – רישיון ורישום</w:t>
      </w:r>
    </w:p>
    <w:p w14:paraId="16AC15D5" w14:textId="77777777" w:rsidR="002B065D" w:rsidRPr="00494149" w:rsidRDefault="00494149" w:rsidP="00494149">
      <w:pPr>
        <w:spacing w:line="320" w:lineRule="auto"/>
        <w:jc w:val="left"/>
        <w:rPr>
          <w:rFonts w:cs="Miriam"/>
          <w:szCs w:val="22"/>
          <w:rtl/>
        </w:rPr>
      </w:pPr>
      <w:r w:rsidRPr="00494149">
        <w:rPr>
          <w:rFonts w:cs="Miriam"/>
          <w:szCs w:val="22"/>
          <w:rtl/>
        </w:rPr>
        <w:t>משפט פרטי וכלכלה</w:t>
      </w:r>
      <w:r w:rsidRPr="00494149">
        <w:rPr>
          <w:rFonts w:cs="FrankRuehl"/>
          <w:szCs w:val="26"/>
          <w:rtl/>
        </w:rPr>
        <w:t xml:space="preserve"> – מסחר  – יצוא – יצוא בטחוני</w:t>
      </w:r>
    </w:p>
    <w:p w14:paraId="62CE391C" w14:textId="77777777" w:rsidR="00EE004F" w:rsidRDefault="00EE004F">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65B8" w:rsidRPr="00D565B8" w14:paraId="5B18612B" w14:textId="77777777" w:rsidTr="00D565B8">
        <w:tblPrEx>
          <w:tblCellMar>
            <w:top w:w="0" w:type="dxa"/>
            <w:bottom w:w="0" w:type="dxa"/>
          </w:tblCellMar>
        </w:tblPrEx>
        <w:tc>
          <w:tcPr>
            <w:tcW w:w="1247" w:type="dxa"/>
          </w:tcPr>
          <w:p w14:paraId="1C71D1DF" w14:textId="77777777" w:rsidR="00D565B8" w:rsidRPr="00D565B8" w:rsidRDefault="00D565B8" w:rsidP="00D565B8">
            <w:pPr>
              <w:spacing w:line="240" w:lineRule="auto"/>
              <w:jc w:val="left"/>
              <w:rPr>
                <w:rFonts w:cs="Frankruhel" w:hint="cs"/>
                <w:sz w:val="24"/>
                <w:rtl/>
              </w:rPr>
            </w:pPr>
            <w:r>
              <w:rPr>
                <w:rFonts w:cs="Times New Roman"/>
                <w:sz w:val="24"/>
                <w:rtl/>
              </w:rPr>
              <w:t xml:space="preserve">סעיף 1 </w:t>
            </w:r>
          </w:p>
        </w:tc>
        <w:tc>
          <w:tcPr>
            <w:tcW w:w="5669" w:type="dxa"/>
          </w:tcPr>
          <w:p w14:paraId="558D24AA" w14:textId="77777777" w:rsidR="00D565B8" w:rsidRPr="00D565B8" w:rsidRDefault="00D565B8" w:rsidP="00D565B8">
            <w:pPr>
              <w:spacing w:line="240" w:lineRule="auto"/>
              <w:jc w:val="left"/>
              <w:rPr>
                <w:rFonts w:cs="Frankruhel" w:hint="cs"/>
                <w:sz w:val="24"/>
                <w:rtl/>
              </w:rPr>
            </w:pPr>
            <w:r>
              <w:rPr>
                <w:rFonts w:cs="Times New Roman"/>
                <w:sz w:val="24"/>
                <w:rtl/>
              </w:rPr>
              <w:t>הגדרות</w:t>
            </w:r>
          </w:p>
        </w:tc>
        <w:tc>
          <w:tcPr>
            <w:tcW w:w="567" w:type="dxa"/>
          </w:tcPr>
          <w:p w14:paraId="22C460A1" w14:textId="77777777" w:rsidR="00D565B8" w:rsidRPr="00D565B8" w:rsidRDefault="00D565B8" w:rsidP="00D565B8">
            <w:pPr>
              <w:spacing w:line="240" w:lineRule="auto"/>
              <w:jc w:val="left"/>
              <w:rPr>
                <w:rStyle w:val="Hyperlink"/>
                <w:rFonts w:hint="cs"/>
                <w:rtl/>
              </w:rPr>
            </w:pPr>
            <w:hyperlink w:anchor="Seif1" w:tooltip="הגדרות" w:history="1">
              <w:r w:rsidRPr="00D565B8">
                <w:rPr>
                  <w:rStyle w:val="Hyperlink"/>
                </w:rPr>
                <w:t>Go</w:t>
              </w:r>
            </w:hyperlink>
          </w:p>
        </w:tc>
        <w:tc>
          <w:tcPr>
            <w:tcW w:w="850" w:type="dxa"/>
          </w:tcPr>
          <w:p w14:paraId="62BBD648" w14:textId="77777777" w:rsidR="00D565B8" w:rsidRPr="00D565B8" w:rsidRDefault="00D565B8" w:rsidP="00D565B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565B8" w:rsidRPr="00D565B8" w14:paraId="58D3121B" w14:textId="77777777" w:rsidTr="00D565B8">
        <w:tblPrEx>
          <w:tblCellMar>
            <w:top w:w="0" w:type="dxa"/>
            <w:bottom w:w="0" w:type="dxa"/>
          </w:tblCellMar>
        </w:tblPrEx>
        <w:tc>
          <w:tcPr>
            <w:tcW w:w="1247" w:type="dxa"/>
          </w:tcPr>
          <w:p w14:paraId="5154A6BB" w14:textId="77777777" w:rsidR="00D565B8" w:rsidRPr="00D565B8" w:rsidRDefault="00D565B8" w:rsidP="00D565B8">
            <w:pPr>
              <w:spacing w:line="240" w:lineRule="auto"/>
              <w:jc w:val="left"/>
              <w:rPr>
                <w:rFonts w:cs="Frankruhel" w:hint="cs"/>
                <w:sz w:val="24"/>
                <w:rtl/>
              </w:rPr>
            </w:pPr>
            <w:r>
              <w:rPr>
                <w:rFonts w:cs="Times New Roman"/>
                <w:sz w:val="24"/>
                <w:rtl/>
              </w:rPr>
              <w:t xml:space="preserve">סעיף 2 </w:t>
            </w:r>
          </w:p>
        </w:tc>
        <w:tc>
          <w:tcPr>
            <w:tcW w:w="5669" w:type="dxa"/>
          </w:tcPr>
          <w:p w14:paraId="378D344B" w14:textId="77777777" w:rsidR="00D565B8" w:rsidRPr="00D565B8" w:rsidRDefault="00D565B8" w:rsidP="00D565B8">
            <w:pPr>
              <w:spacing w:line="240" w:lineRule="auto"/>
              <w:jc w:val="left"/>
              <w:rPr>
                <w:rFonts w:cs="Frankruhel" w:hint="cs"/>
                <w:sz w:val="24"/>
                <w:rtl/>
              </w:rPr>
            </w:pPr>
            <w:r>
              <w:rPr>
                <w:rFonts w:cs="Times New Roman"/>
                <w:sz w:val="24"/>
                <w:rtl/>
              </w:rPr>
              <w:t>פטור לסוגים של פעילות ייצוא ביטחוני</w:t>
            </w:r>
          </w:p>
        </w:tc>
        <w:tc>
          <w:tcPr>
            <w:tcW w:w="567" w:type="dxa"/>
          </w:tcPr>
          <w:p w14:paraId="3F1BEB5A" w14:textId="77777777" w:rsidR="00D565B8" w:rsidRPr="00D565B8" w:rsidRDefault="00D565B8" w:rsidP="00D565B8">
            <w:pPr>
              <w:spacing w:line="240" w:lineRule="auto"/>
              <w:jc w:val="left"/>
              <w:rPr>
                <w:rStyle w:val="Hyperlink"/>
                <w:rFonts w:hint="cs"/>
                <w:rtl/>
              </w:rPr>
            </w:pPr>
            <w:hyperlink w:anchor="Seif2" w:tooltip="פטור לסוגים של פעילות ייצוא ביטחוני" w:history="1">
              <w:r w:rsidRPr="00D565B8">
                <w:rPr>
                  <w:rStyle w:val="Hyperlink"/>
                </w:rPr>
                <w:t>Go</w:t>
              </w:r>
            </w:hyperlink>
          </w:p>
        </w:tc>
        <w:tc>
          <w:tcPr>
            <w:tcW w:w="850" w:type="dxa"/>
          </w:tcPr>
          <w:p w14:paraId="2D20A7D3" w14:textId="77777777" w:rsidR="00D565B8" w:rsidRPr="00D565B8" w:rsidRDefault="00D565B8" w:rsidP="00D565B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565B8" w:rsidRPr="00D565B8" w14:paraId="27DBB65C" w14:textId="77777777" w:rsidTr="00D565B8">
        <w:tblPrEx>
          <w:tblCellMar>
            <w:top w:w="0" w:type="dxa"/>
            <w:bottom w:w="0" w:type="dxa"/>
          </w:tblCellMar>
        </w:tblPrEx>
        <w:tc>
          <w:tcPr>
            <w:tcW w:w="1247" w:type="dxa"/>
          </w:tcPr>
          <w:p w14:paraId="346A8873" w14:textId="77777777" w:rsidR="00D565B8" w:rsidRPr="00D565B8" w:rsidRDefault="00D565B8" w:rsidP="00D565B8">
            <w:pPr>
              <w:spacing w:line="240" w:lineRule="auto"/>
              <w:jc w:val="left"/>
              <w:rPr>
                <w:rFonts w:cs="Frankruhel" w:hint="cs"/>
                <w:sz w:val="24"/>
                <w:rtl/>
              </w:rPr>
            </w:pPr>
            <w:r>
              <w:rPr>
                <w:rFonts w:cs="Times New Roman"/>
                <w:sz w:val="24"/>
                <w:rtl/>
              </w:rPr>
              <w:t xml:space="preserve">סעיף 3 </w:t>
            </w:r>
          </w:p>
        </w:tc>
        <w:tc>
          <w:tcPr>
            <w:tcW w:w="5669" w:type="dxa"/>
          </w:tcPr>
          <w:p w14:paraId="76017A2B" w14:textId="77777777" w:rsidR="00D565B8" w:rsidRPr="00D565B8" w:rsidRDefault="00D565B8" w:rsidP="00D565B8">
            <w:pPr>
              <w:spacing w:line="240" w:lineRule="auto"/>
              <w:jc w:val="left"/>
              <w:rPr>
                <w:rFonts w:cs="Frankruhel" w:hint="cs"/>
                <w:sz w:val="24"/>
                <w:rtl/>
              </w:rPr>
            </w:pPr>
            <w:r>
              <w:rPr>
                <w:rFonts w:cs="Times New Roman"/>
                <w:sz w:val="24"/>
                <w:rtl/>
              </w:rPr>
              <w:t>ביטול</w:t>
            </w:r>
          </w:p>
        </w:tc>
        <w:tc>
          <w:tcPr>
            <w:tcW w:w="567" w:type="dxa"/>
          </w:tcPr>
          <w:p w14:paraId="31B8AE05" w14:textId="77777777" w:rsidR="00D565B8" w:rsidRPr="00D565B8" w:rsidRDefault="00D565B8" w:rsidP="00D565B8">
            <w:pPr>
              <w:spacing w:line="240" w:lineRule="auto"/>
              <w:jc w:val="left"/>
              <w:rPr>
                <w:rStyle w:val="Hyperlink"/>
                <w:rFonts w:hint="cs"/>
                <w:rtl/>
              </w:rPr>
            </w:pPr>
            <w:hyperlink w:anchor="Seif3" w:tooltip="ביטול" w:history="1">
              <w:r w:rsidRPr="00D565B8">
                <w:rPr>
                  <w:rStyle w:val="Hyperlink"/>
                </w:rPr>
                <w:t>Go</w:t>
              </w:r>
            </w:hyperlink>
          </w:p>
        </w:tc>
        <w:tc>
          <w:tcPr>
            <w:tcW w:w="850" w:type="dxa"/>
          </w:tcPr>
          <w:p w14:paraId="14F8CCF6" w14:textId="77777777" w:rsidR="00D565B8" w:rsidRPr="00D565B8" w:rsidRDefault="00D565B8" w:rsidP="00D565B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565B8" w:rsidRPr="00D565B8" w14:paraId="5434CA3E" w14:textId="77777777" w:rsidTr="00D565B8">
        <w:tblPrEx>
          <w:tblCellMar>
            <w:top w:w="0" w:type="dxa"/>
            <w:bottom w:w="0" w:type="dxa"/>
          </w:tblCellMar>
        </w:tblPrEx>
        <w:tc>
          <w:tcPr>
            <w:tcW w:w="1247" w:type="dxa"/>
          </w:tcPr>
          <w:p w14:paraId="32EFBBB8" w14:textId="77777777" w:rsidR="00D565B8" w:rsidRPr="00D565B8" w:rsidRDefault="00D565B8" w:rsidP="00D565B8">
            <w:pPr>
              <w:spacing w:line="240" w:lineRule="auto"/>
              <w:jc w:val="left"/>
              <w:rPr>
                <w:rFonts w:cs="Frankruhel" w:hint="cs"/>
                <w:sz w:val="24"/>
                <w:rtl/>
              </w:rPr>
            </w:pPr>
            <w:r>
              <w:rPr>
                <w:rFonts w:cs="Times New Roman"/>
                <w:sz w:val="24"/>
                <w:rtl/>
              </w:rPr>
              <w:t xml:space="preserve">סעיף 4 </w:t>
            </w:r>
          </w:p>
        </w:tc>
        <w:tc>
          <w:tcPr>
            <w:tcW w:w="5669" w:type="dxa"/>
          </w:tcPr>
          <w:p w14:paraId="32014295" w14:textId="77777777" w:rsidR="00D565B8" w:rsidRPr="00D565B8" w:rsidRDefault="00D565B8" w:rsidP="00D565B8">
            <w:pPr>
              <w:spacing w:line="240" w:lineRule="auto"/>
              <w:jc w:val="left"/>
              <w:rPr>
                <w:rFonts w:cs="Frankruhel" w:hint="cs"/>
                <w:sz w:val="24"/>
                <w:rtl/>
              </w:rPr>
            </w:pPr>
            <w:r>
              <w:rPr>
                <w:rFonts w:cs="Times New Roman"/>
                <w:sz w:val="24"/>
                <w:rtl/>
              </w:rPr>
              <w:t>תחילה ותחולה</w:t>
            </w:r>
          </w:p>
        </w:tc>
        <w:tc>
          <w:tcPr>
            <w:tcW w:w="567" w:type="dxa"/>
          </w:tcPr>
          <w:p w14:paraId="75642591" w14:textId="77777777" w:rsidR="00D565B8" w:rsidRPr="00D565B8" w:rsidRDefault="00D565B8" w:rsidP="00D565B8">
            <w:pPr>
              <w:spacing w:line="240" w:lineRule="auto"/>
              <w:jc w:val="left"/>
              <w:rPr>
                <w:rStyle w:val="Hyperlink"/>
                <w:rFonts w:hint="cs"/>
                <w:rtl/>
              </w:rPr>
            </w:pPr>
            <w:hyperlink w:anchor="Seif4" w:tooltip="תחילה ותחולה" w:history="1">
              <w:r w:rsidRPr="00D565B8">
                <w:rPr>
                  <w:rStyle w:val="Hyperlink"/>
                </w:rPr>
                <w:t>Go</w:t>
              </w:r>
            </w:hyperlink>
          </w:p>
        </w:tc>
        <w:tc>
          <w:tcPr>
            <w:tcW w:w="850" w:type="dxa"/>
          </w:tcPr>
          <w:p w14:paraId="1E022AE8" w14:textId="77777777" w:rsidR="00D565B8" w:rsidRPr="00D565B8" w:rsidRDefault="00D565B8" w:rsidP="00D565B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83F7CB3" w14:textId="77777777" w:rsidR="00EE004F" w:rsidRDefault="00EE004F">
      <w:pPr>
        <w:pStyle w:val="big-header"/>
        <w:ind w:left="0" w:right="1134"/>
        <w:rPr>
          <w:rFonts w:hint="cs"/>
          <w:rtl/>
        </w:rPr>
      </w:pPr>
    </w:p>
    <w:p w14:paraId="069FA025" w14:textId="77777777" w:rsidR="00EE004F" w:rsidRDefault="00EE004F" w:rsidP="00933188">
      <w:pPr>
        <w:pStyle w:val="big-header"/>
        <w:ind w:left="0" w:right="1134"/>
        <w:rPr>
          <w:rFonts w:hint="cs"/>
          <w:rtl/>
        </w:rPr>
      </w:pPr>
      <w:r>
        <w:rPr>
          <w:rtl/>
        </w:rPr>
        <w:br w:type="page"/>
      </w:r>
      <w:r w:rsidR="00933188">
        <w:rPr>
          <w:rFonts w:hint="cs"/>
          <w:rtl/>
        </w:rPr>
        <w:lastRenderedPageBreak/>
        <w:t>תקנות הפיקוח על ייצוא ביטחוני (פטור מרישיון ייצוא ביטחוני)</w:t>
      </w:r>
      <w:r w:rsidR="00933188">
        <w:rPr>
          <w:rtl/>
        </w:rPr>
        <w:t xml:space="preserve">, </w:t>
      </w:r>
      <w:r w:rsidR="00933188">
        <w:rPr>
          <w:rFonts w:hint="cs"/>
          <w:rtl/>
        </w:rPr>
        <w:t>תשע"ז-2017</w:t>
      </w:r>
      <w:r>
        <w:rPr>
          <w:rStyle w:val="default"/>
          <w:sz w:val="22"/>
          <w:szCs w:val="22"/>
          <w:rtl/>
        </w:rPr>
        <w:footnoteReference w:customMarkFollows="1" w:id="1"/>
        <w:t>*</w:t>
      </w:r>
    </w:p>
    <w:p w14:paraId="34CF5900" w14:textId="77777777" w:rsidR="00EE004F" w:rsidRDefault="00EE004F">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סעיפים 15(ב) ו-45 לחוק הפיקוח על י</w:t>
      </w:r>
      <w:r w:rsidR="00933188">
        <w:rPr>
          <w:rStyle w:val="default"/>
          <w:rFonts w:cs="FrankRuehl" w:hint="cs"/>
          <w:rtl/>
        </w:rPr>
        <w:t>י</w:t>
      </w:r>
      <w:r>
        <w:rPr>
          <w:rStyle w:val="default"/>
          <w:rFonts w:cs="FrankRuehl" w:hint="cs"/>
          <w:rtl/>
        </w:rPr>
        <w:t xml:space="preserve">צוא ביטחוני, התשס"ז-2007 (להלן </w:t>
      </w:r>
      <w:r>
        <w:rPr>
          <w:rStyle w:val="default"/>
          <w:rFonts w:cs="FrankRuehl"/>
          <w:rtl/>
        </w:rPr>
        <w:t>–</w:t>
      </w:r>
      <w:r>
        <w:rPr>
          <w:rStyle w:val="default"/>
          <w:rFonts w:cs="FrankRuehl" w:hint="cs"/>
          <w:rtl/>
        </w:rPr>
        <w:t xml:space="preserve"> החוק), בהתייעצות עם שר החוץ ובאישור ועדת החוץ והביטחון של הכנסת, אני מתקין תקנות אלה:</w:t>
      </w:r>
    </w:p>
    <w:p w14:paraId="11961943" w14:textId="77777777" w:rsidR="00EE004F" w:rsidRDefault="00EE004F" w:rsidP="00933188">
      <w:pPr>
        <w:pStyle w:val="P00"/>
        <w:spacing w:before="72"/>
        <w:ind w:left="0" w:right="1134"/>
        <w:rPr>
          <w:rStyle w:val="default"/>
          <w:rFonts w:cs="FrankRuehl" w:hint="cs"/>
          <w:rtl/>
        </w:rPr>
      </w:pPr>
      <w:bookmarkStart w:id="0" w:name="Seif1"/>
      <w:bookmarkEnd w:id="0"/>
      <w:r>
        <w:rPr>
          <w:lang w:val="he-IL"/>
        </w:rPr>
        <w:pict w14:anchorId="295E0073">
          <v:rect id="_x0000_s1026" style="position:absolute;left:0;text-align:left;margin-left:464.5pt;margin-top:8.05pt;width:75.05pt;height:12.15pt;z-index:251656192" o:allowincell="f" filled="f" stroked="f" strokecolor="lime" strokeweight=".25pt">
            <v:textbox style="mso-next-textbox:#_x0000_s1026" inset="0,0,0,0">
              <w:txbxContent>
                <w:p w14:paraId="35939501" w14:textId="77777777" w:rsidR="00EE004F" w:rsidRDefault="0093318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933188">
        <w:rPr>
          <w:rStyle w:val="default"/>
          <w:rFonts w:cs="FrankRuehl" w:hint="cs"/>
          <w:rtl/>
        </w:rPr>
        <w:t xml:space="preserve">בתקנות אלה </w:t>
      </w:r>
      <w:r w:rsidR="00933188">
        <w:rPr>
          <w:rStyle w:val="default"/>
          <w:rFonts w:cs="FrankRuehl"/>
          <w:rtl/>
        </w:rPr>
        <w:t>–</w:t>
      </w:r>
    </w:p>
    <w:p w14:paraId="4653E506" w14:textId="77777777" w:rsidR="00933188" w:rsidRDefault="00933188" w:rsidP="00933188">
      <w:pPr>
        <w:pStyle w:val="P00"/>
        <w:spacing w:before="72"/>
        <w:ind w:left="0" w:right="1134"/>
        <w:rPr>
          <w:rStyle w:val="default"/>
          <w:rFonts w:cs="FrankRuehl" w:hint="cs"/>
          <w:rtl/>
        </w:rPr>
      </w:pPr>
      <w:r>
        <w:rPr>
          <w:rStyle w:val="default"/>
          <w:rFonts w:cs="FrankRuehl" w:hint="cs"/>
          <w:rtl/>
        </w:rPr>
        <w:tab/>
        <w:t xml:space="preserve">"בלתי מסווג" </w:t>
      </w:r>
      <w:r>
        <w:rPr>
          <w:rStyle w:val="default"/>
          <w:rFonts w:cs="FrankRuehl"/>
          <w:rtl/>
        </w:rPr>
        <w:t>–</w:t>
      </w:r>
      <w:r>
        <w:rPr>
          <w:rStyle w:val="default"/>
          <w:rFonts w:cs="FrankRuehl" w:hint="cs"/>
          <w:rtl/>
        </w:rPr>
        <w:t xml:space="preserve"> לפי החלטה של הממונה על הביטחון במערכת הביטחון (מלמ"ב);</w:t>
      </w:r>
    </w:p>
    <w:p w14:paraId="1B85EE2D" w14:textId="77777777" w:rsidR="00933188" w:rsidRDefault="00933188" w:rsidP="00933188">
      <w:pPr>
        <w:pStyle w:val="P00"/>
        <w:spacing w:before="72"/>
        <w:ind w:left="0" w:right="1134"/>
        <w:rPr>
          <w:rStyle w:val="default"/>
          <w:rFonts w:cs="FrankRuehl" w:hint="cs"/>
          <w:rtl/>
        </w:rPr>
      </w:pPr>
      <w:r>
        <w:rPr>
          <w:rStyle w:val="default"/>
          <w:rFonts w:cs="FrankRuehl" w:hint="cs"/>
          <w:rtl/>
        </w:rPr>
        <w:tab/>
        <w:t xml:space="preserve">"כלי ירייה" </w:t>
      </w:r>
      <w:r>
        <w:rPr>
          <w:rStyle w:val="default"/>
          <w:rFonts w:cs="FrankRuehl"/>
          <w:rtl/>
        </w:rPr>
        <w:t>–</w:t>
      </w:r>
      <w:r>
        <w:rPr>
          <w:rStyle w:val="default"/>
          <w:rFonts w:cs="FrankRuehl" w:hint="cs"/>
          <w:rtl/>
        </w:rPr>
        <w:t xml:space="preserve"> כהגדרתו לפי חוק כלי הירייה, התש"ט-1949;</w:t>
      </w:r>
    </w:p>
    <w:p w14:paraId="7C0EE366" w14:textId="77777777" w:rsidR="00933188" w:rsidRDefault="00933188" w:rsidP="00933188">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שרשום במרשם הייצוא הביטחוני ומעוניין לבצע פעולת ייצוא ביטחוני;</w:t>
      </w:r>
    </w:p>
    <w:p w14:paraId="6236C2F4" w14:textId="77777777" w:rsidR="00933188" w:rsidRDefault="00933188" w:rsidP="00933188">
      <w:pPr>
        <w:pStyle w:val="P00"/>
        <w:spacing w:before="72"/>
        <w:ind w:left="0" w:right="1134"/>
        <w:rPr>
          <w:rStyle w:val="default"/>
          <w:rFonts w:cs="FrankRuehl" w:hint="cs"/>
          <w:rtl/>
        </w:rPr>
      </w:pPr>
      <w:r>
        <w:rPr>
          <w:rStyle w:val="default"/>
          <w:rFonts w:cs="FrankRuehl" w:hint="cs"/>
          <w:rtl/>
        </w:rPr>
        <w:tab/>
        <w:t xml:space="preserve">"מדינת מותרת" </w:t>
      </w:r>
      <w:r>
        <w:rPr>
          <w:rStyle w:val="default"/>
          <w:rFonts w:cs="FrankRuehl"/>
          <w:rtl/>
        </w:rPr>
        <w:t>–</w:t>
      </w:r>
      <w:r>
        <w:rPr>
          <w:rStyle w:val="default"/>
          <w:rFonts w:cs="FrankRuehl" w:hint="cs"/>
          <w:rtl/>
        </w:rPr>
        <w:t xml:space="preserve"> מדינה המנויה ברשימת מדינות שנקבעה לצורך תקנות אלה, המונחת לעיון מי שרשומים במרשם הייצוא הביטחוני במשרדי הרשות המוסמכת ושתובא לידיעת הרשומים במרשם האמור, על ידי הרשות המוסמכת;</w:t>
      </w:r>
    </w:p>
    <w:p w14:paraId="69E1F111" w14:textId="77777777" w:rsidR="00933188" w:rsidRDefault="00933188" w:rsidP="00933188">
      <w:pPr>
        <w:pStyle w:val="P00"/>
        <w:spacing w:before="72"/>
        <w:ind w:left="0" w:right="1134"/>
        <w:rPr>
          <w:rStyle w:val="default"/>
          <w:rFonts w:cs="FrankRuehl" w:hint="cs"/>
          <w:rtl/>
        </w:rPr>
      </w:pPr>
      <w:r>
        <w:rPr>
          <w:rStyle w:val="default"/>
          <w:rFonts w:cs="FrankRuehl" w:hint="cs"/>
          <w:rtl/>
        </w:rPr>
        <w:tab/>
        <w:t xml:space="preserve">"תערוכה" </w:t>
      </w:r>
      <w:r>
        <w:rPr>
          <w:rStyle w:val="default"/>
          <w:rFonts w:cs="FrankRuehl"/>
          <w:rtl/>
        </w:rPr>
        <w:t>–</w:t>
      </w:r>
      <w:r>
        <w:rPr>
          <w:rStyle w:val="default"/>
          <w:rFonts w:cs="FrankRuehl" w:hint="cs"/>
          <w:rtl/>
        </w:rPr>
        <w:t xml:space="preserve"> תצוגה מסודרת, של ציוד ביטחוני, מידע למטרות שיווק, ידע ביטחוני או שירות ביטחוני, שמטרתה המרכזית היא שיווק ביטחוני, במקום אחד, שפתוח לציבור הרחב או לכלל העוסקים בייצור, שיווק או רכישה של ידע ביטחוני, ציוד ביטחוני או שירות ביטחוני.</w:t>
      </w:r>
    </w:p>
    <w:p w14:paraId="1BE9FEA2" w14:textId="77777777" w:rsidR="00933188" w:rsidRDefault="00933188" w:rsidP="00933188">
      <w:pPr>
        <w:pStyle w:val="P00"/>
        <w:spacing w:before="72"/>
        <w:ind w:left="0" w:right="1134"/>
        <w:rPr>
          <w:rStyle w:val="default"/>
          <w:rFonts w:cs="FrankRuehl" w:hint="cs"/>
          <w:rtl/>
        </w:rPr>
      </w:pPr>
      <w:bookmarkStart w:id="1" w:name="Seif2"/>
      <w:bookmarkEnd w:id="1"/>
      <w:r>
        <w:rPr>
          <w:lang w:val="he-IL"/>
        </w:rPr>
        <w:pict w14:anchorId="16440FDA">
          <v:rect id="_x0000_s1064" style="position:absolute;left:0;text-align:left;margin-left:464.5pt;margin-top:8.05pt;width:75.05pt;height:25.25pt;z-index:251657216" o:allowincell="f" filled="f" stroked="f" strokecolor="lime" strokeweight=".25pt">
            <v:textbox style="mso-next-textbox:#_x0000_s1064" inset="0,0,0,0">
              <w:txbxContent>
                <w:p w14:paraId="5E2EB103" w14:textId="77777777" w:rsidR="00933188" w:rsidRDefault="00933188" w:rsidP="00933188">
                  <w:pPr>
                    <w:spacing w:line="160" w:lineRule="exact"/>
                    <w:jc w:val="left"/>
                    <w:rPr>
                      <w:rFonts w:cs="Miriam" w:hint="cs"/>
                      <w:noProof/>
                      <w:szCs w:val="18"/>
                      <w:rtl/>
                    </w:rPr>
                  </w:pPr>
                  <w:r>
                    <w:rPr>
                      <w:rFonts w:cs="Miriam" w:hint="cs"/>
                      <w:szCs w:val="18"/>
                      <w:rtl/>
                    </w:rPr>
                    <w:t>פטור לסוגים של פעילות ייצוא ביטחוני</w:t>
                  </w:r>
                </w:p>
              </w:txbxContent>
            </v:textbox>
            <w10:anchorlock/>
          </v:rect>
        </w:pict>
      </w:r>
      <w:r>
        <w:rPr>
          <w:rStyle w:val="big-number"/>
          <w:rFonts w:hint="cs"/>
          <w:rtl/>
        </w:rPr>
        <w:t>2</w:t>
      </w:r>
      <w:r w:rsidRPr="00933188">
        <w:rPr>
          <w:rStyle w:val="default"/>
          <w:rFonts w:cs="FrankRuehl"/>
          <w:rtl/>
        </w:rPr>
        <w:t>.</w:t>
      </w:r>
      <w:r w:rsidRPr="00933188">
        <w:rPr>
          <w:rStyle w:val="default"/>
          <w:rFonts w:cs="FrankRuehl"/>
          <w:rtl/>
        </w:rPr>
        <w:tab/>
      </w:r>
      <w:r>
        <w:rPr>
          <w:rStyle w:val="default"/>
          <w:rFonts w:cs="FrankRuehl" w:hint="cs"/>
          <w:rtl/>
        </w:rPr>
        <w:t>(א)</w:t>
      </w:r>
      <w:r>
        <w:rPr>
          <w:rStyle w:val="default"/>
          <w:rFonts w:cs="FrankRuehl" w:hint="cs"/>
          <w:rtl/>
        </w:rPr>
        <w:tab/>
        <w:t>מבקש יהיה פטור מרישיון ייצוא ביטחוני לפי סעיף 15(ב) לחוק בנוגע לפעולות המנויות להלן:</w:t>
      </w:r>
    </w:p>
    <w:p w14:paraId="7ADA3E14" w14:textId="77777777" w:rsidR="00EE004F" w:rsidRDefault="00EE004F" w:rsidP="009331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33188">
        <w:rPr>
          <w:rStyle w:val="default"/>
          <w:rFonts w:cs="FrankRuehl" w:hint="cs"/>
          <w:rtl/>
        </w:rPr>
        <w:t>העברת ידע ביטחוני לצורך ייצור מחוץ לישראל, במדינה מותרת, של רכיב בלתי מסווג בציוד ביטחוני אשר מיועד להיות מסופק לנותן הידע הביטחוני בישראל</w:t>
      </w:r>
      <w:r>
        <w:rPr>
          <w:rStyle w:val="default"/>
          <w:rFonts w:cs="FrankRuehl" w:hint="cs"/>
          <w:rtl/>
        </w:rPr>
        <w:t>;</w:t>
      </w:r>
    </w:p>
    <w:p w14:paraId="218C6C12" w14:textId="77777777" w:rsidR="00933188" w:rsidRDefault="00933188" w:rsidP="009331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החזרת ידע ביטחוני לגורם מחוץ לישראל אשר מסר את הידע הביטחוני;</w:t>
      </w:r>
    </w:p>
    <w:p w14:paraId="231AAA1C" w14:textId="77777777" w:rsidR="00933188" w:rsidRDefault="00933188" w:rsidP="009331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ייצוא של ציוד ביטחוני בלתי מסווג, למעט מוצרים הכלולים בקבוצה 1 (</w:t>
      </w:r>
      <w:r>
        <w:rPr>
          <w:rStyle w:val="default"/>
          <w:rFonts w:cs="FrankRuehl"/>
        </w:rPr>
        <w:t>Category 1</w:t>
      </w:r>
      <w:r>
        <w:rPr>
          <w:rStyle w:val="default"/>
          <w:rFonts w:cs="FrankRuehl" w:hint="cs"/>
          <w:rtl/>
        </w:rPr>
        <w:t>) לחלק ב' בתוספת לצו הפיקוח על ייצוא ביטחוני (ציוד טילים), התשס"ח-2008, לשם הצגה והדגמה בתערוכה הנערכת במדינה מותרת, ובלבד שמספר פריטי הציוד הזהים לא יעלה על 50 פריטים ותקופת השהייה של הציוד בתערוכה עד להשבתו לישראל לא תארך מעבר ל-90 ימים;</w:t>
      </w:r>
    </w:p>
    <w:p w14:paraId="50FCB728" w14:textId="77777777" w:rsidR="00933188" w:rsidRDefault="00933188" w:rsidP="009331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ייצוא של ציוד ביטחוני לבתי מסווג, למעט מוצרים הכלולים בקבוצה 1 (</w:t>
      </w:r>
      <w:r>
        <w:rPr>
          <w:rStyle w:val="default"/>
          <w:rFonts w:cs="FrankRuehl"/>
        </w:rPr>
        <w:t>Category 1</w:t>
      </w:r>
      <w:r>
        <w:rPr>
          <w:rStyle w:val="default"/>
          <w:rFonts w:cs="FrankRuehl" w:hint="cs"/>
          <w:rtl/>
        </w:rPr>
        <w:t>) לחלק ב' בתוספת לצו הפיקוח על ייצוא ביטחוני (ציוד טילים), התשס"ח-2008, לשם הדגמה למשתמש סופי במדינה מותרת, ובלבד שמספר פריטי הציוד הזהים לא יעלה על 50 פריטים ותקופת השהייה של הציוד מחוץ לישראל עד להשבתו לישראל לא תארך מעבר ל-90 ימים;</w:t>
      </w:r>
    </w:p>
    <w:p w14:paraId="0A0B6236" w14:textId="77777777" w:rsidR="00933188" w:rsidRDefault="00933188" w:rsidP="009331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ייצוא של ציוד ביטחוני בלתי מסווג, השייך למשתמש סופי במדינה מותרת ואשר יוצא אליו תחת רישיון כדין, לא יותר מאשר 10 שנים ממועד הייצוא המקורי, לאחר מתן שירות ביטחוני בישראל לציוד האמור, ובלבד שהתקיימו כל אלה:</w:t>
      </w:r>
    </w:p>
    <w:p w14:paraId="71C35B93" w14:textId="77777777" w:rsidR="00933188" w:rsidRDefault="00933188" w:rsidP="0051325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1325F">
        <w:rPr>
          <w:rStyle w:val="default"/>
          <w:rFonts w:cs="FrankRuehl" w:hint="cs"/>
          <w:rtl/>
        </w:rPr>
        <w:t>הציוד הביטחוני מוחזר למשתמש הסופי האמור;</w:t>
      </w:r>
    </w:p>
    <w:p w14:paraId="6E9D0BD0" w14:textId="77777777" w:rsidR="0051325F" w:rsidRDefault="0051325F" w:rsidP="0051325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יכולות הציוד הביטחוני לא שונו או שופרו באופן החורג מרישיונות השיווק או הייצוא, ככל שניתנו;</w:t>
      </w:r>
    </w:p>
    <w:p w14:paraId="19DB1CAE" w14:textId="77777777" w:rsidR="0051325F" w:rsidRDefault="0051325F" w:rsidP="0051325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הרכיבים הנכללים בציוד הביטחוני אינם חורגים מתנאי רישיונות השיווק או הייצוא, ככל שניתנו;</w:t>
      </w:r>
    </w:p>
    <w:p w14:paraId="05E80B44" w14:textId="77777777" w:rsidR="0051325F" w:rsidRDefault="0051325F" w:rsidP="0051325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כמות הציוד הביטחוני לא עולה על כמות הפריטים שיוצאו לפי רישיון הייצוא המקורי;</w:t>
      </w:r>
    </w:p>
    <w:p w14:paraId="3204F131" w14:textId="77777777" w:rsidR="0051325F" w:rsidRDefault="0051325F" w:rsidP="0051325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החזרה של ציוד ביטחוני בלתי מסווג שלא יוצר בישראל, שהגיע לישראל לכל מטרה, ליצרן הציוד במדינה מותרת, ובלבד שיכולות הציוד הביטחוני לא שונו או שופרו בעת היותו בישראל ביחס לציוד הביטחוני כפי שהגיע לישראל, ושמספר </w:t>
      </w:r>
      <w:r>
        <w:rPr>
          <w:rStyle w:val="default"/>
          <w:rFonts w:cs="FrankRuehl" w:hint="cs"/>
          <w:rtl/>
        </w:rPr>
        <w:lastRenderedPageBreak/>
        <w:t>פריטי הציוד האמור לא יעלה על 50 פריטים;</w:t>
      </w:r>
    </w:p>
    <w:p w14:paraId="02A5B534" w14:textId="77777777" w:rsidR="0051325F" w:rsidRDefault="0051325F" w:rsidP="0051325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העברת ידע ביטחוני כמשמעותו בפסקה (1) להגדרת ידע ביטחוני בסעיף 2 לחוק, אשר הוא מידע שהוא בנחלת הכלל.</w:t>
      </w:r>
    </w:p>
    <w:p w14:paraId="2A253B8C" w14:textId="77777777" w:rsidR="0051325F" w:rsidRDefault="0051325F" w:rsidP="005132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פסקאות (3) עד (6) בתקנת משנה (א) לא יחולו על ציוד ביטחוני שהוא כלי ירייה.</w:t>
      </w:r>
    </w:p>
    <w:p w14:paraId="716A316A" w14:textId="77777777" w:rsidR="00933188" w:rsidRDefault="00933188" w:rsidP="009659AF">
      <w:pPr>
        <w:pStyle w:val="P00"/>
        <w:spacing w:before="72"/>
        <w:ind w:left="0" w:right="1134"/>
        <w:rPr>
          <w:rStyle w:val="default"/>
          <w:rFonts w:cs="FrankRuehl" w:hint="cs"/>
          <w:rtl/>
        </w:rPr>
      </w:pPr>
      <w:bookmarkStart w:id="2" w:name="Seif3"/>
      <w:bookmarkEnd w:id="2"/>
      <w:r>
        <w:rPr>
          <w:lang w:val="he-IL"/>
        </w:rPr>
        <w:pict w14:anchorId="4C20CA07">
          <v:rect id="_x0000_s1065" style="position:absolute;left:0;text-align:left;margin-left:464.5pt;margin-top:8.05pt;width:75.05pt;height:9.75pt;z-index:251658240" o:allowincell="f" filled="f" stroked="f" strokecolor="lime" strokeweight=".25pt">
            <v:textbox style="mso-next-textbox:#_x0000_s1065" inset="0,0,0,0">
              <w:txbxContent>
                <w:p w14:paraId="091815EB" w14:textId="77777777" w:rsidR="00933188" w:rsidRDefault="00D56991" w:rsidP="00933188">
                  <w:pPr>
                    <w:spacing w:line="160" w:lineRule="exact"/>
                    <w:jc w:val="left"/>
                    <w:rPr>
                      <w:rFonts w:cs="Miriam" w:hint="cs"/>
                      <w:noProof/>
                      <w:szCs w:val="18"/>
                      <w:rtl/>
                    </w:rPr>
                  </w:pPr>
                  <w:r>
                    <w:rPr>
                      <w:rFonts w:cs="Miriam" w:hint="cs"/>
                      <w:szCs w:val="18"/>
                      <w:rtl/>
                    </w:rPr>
                    <w:t>ביטול</w:t>
                  </w:r>
                </w:p>
              </w:txbxContent>
            </v:textbox>
            <w10:anchorlock/>
          </v:rect>
        </w:pict>
      </w:r>
      <w:r w:rsidR="0051325F">
        <w:rPr>
          <w:rStyle w:val="big-number"/>
          <w:rFonts w:hint="cs"/>
          <w:rtl/>
        </w:rPr>
        <w:t>3</w:t>
      </w:r>
      <w:r>
        <w:rPr>
          <w:rStyle w:val="big-number"/>
          <w:rtl/>
        </w:rPr>
        <w:t>.</w:t>
      </w:r>
      <w:r>
        <w:rPr>
          <w:rStyle w:val="big-number"/>
          <w:rtl/>
        </w:rPr>
        <w:tab/>
      </w:r>
      <w:r w:rsidR="009659AF">
        <w:rPr>
          <w:rStyle w:val="default"/>
          <w:rFonts w:cs="FrankRuehl" w:hint="cs"/>
          <w:rtl/>
        </w:rPr>
        <w:t>תקנות הפיקוח על ייצוא ביטחוני (</w:t>
      </w:r>
      <w:r w:rsidR="00FD77F9">
        <w:rPr>
          <w:rStyle w:val="default"/>
          <w:rFonts w:cs="FrankRuehl" w:hint="cs"/>
          <w:rtl/>
        </w:rPr>
        <w:t xml:space="preserve">פטור מרישיון ייצוא ביטחוני), התשס"ח-2008 </w:t>
      </w:r>
      <w:r w:rsidR="00FD77F9">
        <w:rPr>
          <w:rStyle w:val="default"/>
          <w:rFonts w:cs="FrankRuehl"/>
          <w:rtl/>
        </w:rPr>
        <w:t>–</w:t>
      </w:r>
      <w:r w:rsidR="00FD77F9">
        <w:rPr>
          <w:rStyle w:val="default"/>
          <w:rFonts w:cs="FrankRuehl" w:hint="cs"/>
          <w:rtl/>
        </w:rPr>
        <w:t xml:space="preserve"> בטלות.</w:t>
      </w:r>
    </w:p>
    <w:p w14:paraId="11F6B243" w14:textId="77777777" w:rsidR="00933188" w:rsidRDefault="00933188" w:rsidP="00E22FE3">
      <w:pPr>
        <w:pStyle w:val="P00"/>
        <w:spacing w:before="72"/>
        <w:ind w:left="0" w:right="1134"/>
        <w:rPr>
          <w:rStyle w:val="default"/>
          <w:rFonts w:cs="FrankRuehl" w:hint="cs"/>
          <w:rtl/>
        </w:rPr>
      </w:pPr>
      <w:bookmarkStart w:id="3" w:name="Seif4"/>
      <w:bookmarkEnd w:id="3"/>
      <w:r>
        <w:rPr>
          <w:lang w:val="he-IL"/>
        </w:rPr>
        <w:pict w14:anchorId="20F3525A">
          <v:rect id="_x0000_s1066" style="position:absolute;left:0;text-align:left;margin-left:464.5pt;margin-top:8.05pt;width:75.05pt;height:10.45pt;z-index:251659264" o:allowincell="f" filled="f" stroked="f" strokecolor="lime" strokeweight=".25pt">
            <v:textbox style="mso-next-textbox:#_x0000_s1066" inset="0,0,0,0">
              <w:txbxContent>
                <w:p w14:paraId="6AA8C1EE" w14:textId="77777777" w:rsidR="00933188" w:rsidRDefault="00FD77F9" w:rsidP="00933188">
                  <w:pPr>
                    <w:spacing w:line="160" w:lineRule="exact"/>
                    <w:jc w:val="left"/>
                    <w:rPr>
                      <w:rFonts w:cs="Miriam" w:hint="cs"/>
                      <w:noProof/>
                      <w:szCs w:val="18"/>
                      <w:rtl/>
                    </w:rPr>
                  </w:pPr>
                  <w:r>
                    <w:rPr>
                      <w:rFonts w:cs="Miriam" w:hint="cs"/>
                      <w:szCs w:val="18"/>
                      <w:rtl/>
                    </w:rPr>
                    <w:t>תחילה ותחולה</w:t>
                  </w:r>
                </w:p>
              </w:txbxContent>
            </v:textbox>
            <w10:anchorlock/>
          </v:rect>
        </w:pict>
      </w:r>
      <w:r w:rsidR="00FD77F9">
        <w:rPr>
          <w:rStyle w:val="big-number"/>
          <w:rFonts w:hint="cs"/>
          <w:rtl/>
        </w:rPr>
        <w:t>4</w:t>
      </w:r>
      <w:r>
        <w:rPr>
          <w:rStyle w:val="big-number"/>
          <w:rtl/>
        </w:rPr>
        <w:t>.</w:t>
      </w:r>
      <w:r>
        <w:rPr>
          <w:rStyle w:val="big-number"/>
          <w:rtl/>
        </w:rPr>
        <w:tab/>
      </w:r>
      <w:r w:rsidR="00E22FE3">
        <w:rPr>
          <w:rStyle w:val="default"/>
          <w:rFonts w:cs="FrankRuehl" w:hint="cs"/>
          <w:rtl/>
        </w:rPr>
        <w:t>תחילתן של תקנות אלה ביום כ"א בסיוון התשע"ז (15 ביוני 2017) והן יחולו על פעולות ייצוא ביטחוני שיתקיימו אחרי יום התחילה.</w:t>
      </w:r>
    </w:p>
    <w:p w14:paraId="40216678" w14:textId="77777777" w:rsidR="00933188" w:rsidRDefault="00933188">
      <w:pPr>
        <w:pStyle w:val="P00"/>
        <w:spacing w:before="72"/>
        <w:ind w:left="0" w:right="1134"/>
        <w:rPr>
          <w:rStyle w:val="default"/>
          <w:rFonts w:cs="FrankRuehl" w:hint="cs"/>
          <w:rtl/>
        </w:rPr>
      </w:pPr>
    </w:p>
    <w:p w14:paraId="5C64D0ED" w14:textId="77777777" w:rsidR="00EE004F" w:rsidRDefault="00EE004F">
      <w:pPr>
        <w:pStyle w:val="P00"/>
        <w:spacing w:before="72"/>
        <w:ind w:left="0" w:right="1134"/>
        <w:rPr>
          <w:rStyle w:val="default"/>
          <w:rFonts w:cs="FrankRuehl" w:hint="cs"/>
          <w:rtl/>
        </w:rPr>
      </w:pPr>
    </w:p>
    <w:p w14:paraId="22AFEAF1" w14:textId="77777777" w:rsidR="00EE004F" w:rsidRDefault="00E22FE3" w:rsidP="00E22FE3">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י"ד בסיוון התשע"ז (8 ביוני 2017</w:t>
      </w:r>
      <w:r w:rsidR="00EE004F">
        <w:rPr>
          <w:rStyle w:val="default"/>
          <w:rFonts w:cs="FrankRuehl" w:hint="cs"/>
          <w:rtl/>
        </w:rPr>
        <w:t>)</w:t>
      </w:r>
      <w:r w:rsidR="00EE004F">
        <w:rPr>
          <w:rStyle w:val="default"/>
          <w:rFonts w:cs="FrankRuehl" w:hint="cs"/>
          <w:rtl/>
        </w:rPr>
        <w:tab/>
      </w:r>
      <w:r>
        <w:rPr>
          <w:rStyle w:val="default"/>
          <w:rFonts w:cs="FrankRuehl" w:hint="cs"/>
          <w:rtl/>
        </w:rPr>
        <w:t>אביגדור ליברמן</w:t>
      </w:r>
    </w:p>
    <w:p w14:paraId="51D4E708" w14:textId="77777777" w:rsidR="00EE004F" w:rsidRDefault="00EE004F" w:rsidP="00E22FE3">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הביטחון</w:t>
      </w:r>
    </w:p>
    <w:p w14:paraId="6FB002AF" w14:textId="77777777" w:rsidR="00933188" w:rsidRDefault="00933188">
      <w:pPr>
        <w:pStyle w:val="P00"/>
        <w:spacing w:before="72"/>
        <w:ind w:left="0" w:right="1134"/>
        <w:rPr>
          <w:rStyle w:val="default"/>
          <w:rFonts w:cs="FrankRuehl" w:hint="cs"/>
          <w:rtl/>
        </w:rPr>
      </w:pPr>
    </w:p>
    <w:p w14:paraId="4E63D92D" w14:textId="77777777" w:rsidR="00EE004F" w:rsidRDefault="00EE004F">
      <w:pPr>
        <w:pStyle w:val="P00"/>
        <w:spacing w:before="72"/>
        <w:ind w:left="0" w:right="1134"/>
        <w:rPr>
          <w:rStyle w:val="default"/>
          <w:rFonts w:cs="FrankRuehl" w:hint="cs"/>
          <w:rtl/>
        </w:rPr>
      </w:pPr>
    </w:p>
    <w:p w14:paraId="678F78E0" w14:textId="77777777" w:rsidR="00D565B8" w:rsidRDefault="00D565B8">
      <w:pPr>
        <w:pStyle w:val="P00"/>
        <w:spacing w:before="72"/>
        <w:ind w:left="0" w:right="1134"/>
        <w:rPr>
          <w:rStyle w:val="default"/>
          <w:rFonts w:cs="FrankRuehl"/>
          <w:rtl/>
        </w:rPr>
      </w:pPr>
      <w:bookmarkStart w:id="4" w:name="LawPartEnd"/>
      <w:bookmarkEnd w:id="4"/>
    </w:p>
    <w:p w14:paraId="061D07F0" w14:textId="77777777" w:rsidR="00D565B8" w:rsidRDefault="00D565B8">
      <w:pPr>
        <w:pStyle w:val="P00"/>
        <w:spacing w:before="72"/>
        <w:ind w:left="0" w:right="1134"/>
        <w:rPr>
          <w:rStyle w:val="default"/>
          <w:rFonts w:cs="FrankRuehl"/>
          <w:rtl/>
        </w:rPr>
      </w:pPr>
    </w:p>
    <w:p w14:paraId="22C63E82" w14:textId="77777777" w:rsidR="00D565B8" w:rsidRDefault="00D565B8" w:rsidP="00D565B8">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A58BD2C" w14:textId="77777777" w:rsidR="00EE004F" w:rsidRPr="00D565B8" w:rsidRDefault="00EE004F" w:rsidP="00D565B8">
      <w:pPr>
        <w:pStyle w:val="P00"/>
        <w:spacing w:before="72"/>
        <w:ind w:left="0" w:right="1134"/>
        <w:jc w:val="center"/>
        <w:rPr>
          <w:rStyle w:val="default"/>
          <w:rFonts w:cs="David"/>
          <w:color w:val="0000FF"/>
          <w:szCs w:val="24"/>
          <w:u w:val="single"/>
          <w:rtl/>
        </w:rPr>
      </w:pPr>
    </w:p>
    <w:sectPr w:rsidR="00EE004F" w:rsidRPr="00D565B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B24A" w14:textId="77777777" w:rsidR="006A079C" w:rsidRDefault="006A079C">
      <w:r>
        <w:separator/>
      </w:r>
    </w:p>
  </w:endnote>
  <w:endnote w:type="continuationSeparator" w:id="0">
    <w:p w14:paraId="06D2AA85" w14:textId="77777777" w:rsidR="006A079C" w:rsidRDefault="006A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F623" w14:textId="77777777" w:rsidR="00EE004F" w:rsidRDefault="00EE00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4AA143" w14:textId="77777777" w:rsidR="00EE004F" w:rsidRDefault="00EE00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196D9E" w14:textId="77777777" w:rsidR="00EE004F" w:rsidRDefault="00EE00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59B7" w14:textId="77777777" w:rsidR="00EE004F" w:rsidRDefault="00EE00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65B8">
      <w:rPr>
        <w:rFonts w:hAnsi="FrankRuehl" w:cs="FrankRuehl"/>
        <w:noProof/>
        <w:sz w:val="24"/>
        <w:szCs w:val="24"/>
        <w:rtl/>
      </w:rPr>
      <w:t>3</w:t>
    </w:r>
    <w:r>
      <w:rPr>
        <w:rFonts w:hAnsi="FrankRuehl" w:cs="FrankRuehl"/>
        <w:sz w:val="24"/>
        <w:szCs w:val="24"/>
        <w:rtl/>
      </w:rPr>
      <w:fldChar w:fldCharType="end"/>
    </w:r>
  </w:p>
  <w:p w14:paraId="38447D0D" w14:textId="77777777" w:rsidR="00EE004F" w:rsidRDefault="00EE00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7E1EB6" w14:textId="77777777" w:rsidR="00EE004F" w:rsidRDefault="00EE00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F813" w14:textId="77777777" w:rsidR="006A079C" w:rsidRDefault="006A079C">
      <w:pPr>
        <w:spacing w:before="60" w:line="240" w:lineRule="auto"/>
        <w:ind w:right="1134"/>
      </w:pPr>
      <w:r>
        <w:separator/>
      </w:r>
    </w:p>
  </w:footnote>
  <w:footnote w:type="continuationSeparator" w:id="0">
    <w:p w14:paraId="02E5E07C" w14:textId="77777777" w:rsidR="006A079C" w:rsidRDefault="006A079C">
      <w:r>
        <w:continuationSeparator/>
      </w:r>
    </w:p>
  </w:footnote>
  <w:footnote w:id="1">
    <w:p w14:paraId="78413991" w14:textId="77777777" w:rsidR="00806026" w:rsidRDefault="00EE004F" w:rsidP="008060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806026">
          <w:rPr>
            <w:rStyle w:val="Hyperlink"/>
            <w:rFonts w:hint="cs"/>
            <w:sz w:val="20"/>
            <w:rtl/>
          </w:rPr>
          <w:t>ק"ת תש</w:t>
        </w:r>
        <w:r w:rsidR="00933188" w:rsidRPr="00806026">
          <w:rPr>
            <w:rStyle w:val="Hyperlink"/>
            <w:rFonts w:hint="cs"/>
            <w:sz w:val="20"/>
            <w:rtl/>
          </w:rPr>
          <w:t>ע"ז</w:t>
        </w:r>
        <w:r w:rsidRPr="00806026">
          <w:rPr>
            <w:rStyle w:val="Hyperlink"/>
            <w:rFonts w:hint="cs"/>
            <w:sz w:val="20"/>
            <w:rtl/>
          </w:rPr>
          <w:t xml:space="preserve"> מס' </w:t>
        </w:r>
        <w:r w:rsidR="00933188" w:rsidRPr="00806026">
          <w:rPr>
            <w:rStyle w:val="Hyperlink"/>
            <w:rFonts w:hint="cs"/>
            <w:sz w:val="20"/>
            <w:rtl/>
          </w:rPr>
          <w:t>7826</w:t>
        </w:r>
      </w:hyperlink>
      <w:r>
        <w:rPr>
          <w:rFonts w:hint="cs"/>
          <w:sz w:val="20"/>
          <w:rtl/>
        </w:rPr>
        <w:t xml:space="preserve"> מיום </w:t>
      </w:r>
      <w:r w:rsidR="00933188">
        <w:rPr>
          <w:rFonts w:hint="cs"/>
          <w:sz w:val="20"/>
          <w:rtl/>
        </w:rPr>
        <w:t>15.6.2017</w:t>
      </w:r>
      <w:r>
        <w:rPr>
          <w:rFonts w:hint="cs"/>
          <w:sz w:val="20"/>
          <w:rtl/>
        </w:rPr>
        <w:t xml:space="preserve"> עמ' </w:t>
      </w:r>
      <w:r w:rsidR="00933188">
        <w:rPr>
          <w:rFonts w:hint="cs"/>
          <w:sz w:val="20"/>
          <w:rtl/>
        </w:rPr>
        <w:t>1223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4603" w14:textId="77777777" w:rsidR="00EE004F" w:rsidRDefault="00EE00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6E08522" w14:textId="77777777" w:rsidR="00EE004F" w:rsidRDefault="00EE00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602AFE" w14:textId="77777777" w:rsidR="00EE004F" w:rsidRDefault="00EE00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E0AA" w14:textId="77777777" w:rsidR="00EE004F" w:rsidRDefault="00EE004F" w:rsidP="0093318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w:t>
    </w:r>
    <w:r w:rsidR="00933188">
      <w:rPr>
        <w:rFonts w:hAnsi="FrankRuehl" w:cs="FrankRuehl" w:hint="cs"/>
        <w:color w:val="000000"/>
        <w:sz w:val="28"/>
        <w:szCs w:val="28"/>
        <w:rtl/>
      </w:rPr>
      <w:t>י</w:t>
    </w:r>
    <w:r>
      <w:rPr>
        <w:rFonts w:hAnsi="FrankRuehl" w:cs="FrankRuehl" w:hint="cs"/>
        <w:color w:val="000000"/>
        <w:sz w:val="28"/>
        <w:szCs w:val="28"/>
        <w:rtl/>
      </w:rPr>
      <w:t>צוא ביטחוני (פטור מרישיון י</w:t>
    </w:r>
    <w:r w:rsidR="00933188">
      <w:rPr>
        <w:rFonts w:hAnsi="FrankRuehl" w:cs="FrankRuehl" w:hint="cs"/>
        <w:color w:val="000000"/>
        <w:sz w:val="28"/>
        <w:szCs w:val="28"/>
        <w:rtl/>
      </w:rPr>
      <w:t>י</w:t>
    </w:r>
    <w:r>
      <w:rPr>
        <w:rFonts w:hAnsi="FrankRuehl" w:cs="FrankRuehl" w:hint="cs"/>
        <w:color w:val="000000"/>
        <w:sz w:val="28"/>
        <w:szCs w:val="28"/>
        <w:rtl/>
      </w:rPr>
      <w:t>צוא ביטחוני)</w:t>
    </w:r>
    <w:r>
      <w:rPr>
        <w:rFonts w:hAnsi="FrankRuehl" w:cs="FrankRuehl"/>
        <w:color w:val="000000"/>
        <w:sz w:val="28"/>
        <w:szCs w:val="28"/>
        <w:rtl/>
      </w:rPr>
      <w:t xml:space="preserve">, </w:t>
    </w:r>
    <w:r w:rsidR="00933188">
      <w:rPr>
        <w:rFonts w:hAnsi="FrankRuehl" w:cs="FrankRuehl" w:hint="cs"/>
        <w:color w:val="000000"/>
        <w:sz w:val="28"/>
        <w:szCs w:val="28"/>
        <w:rtl/>
      </w:rPr>
      <w:t>תשע"ז-2017</w:t>
    </w:r>
  </w:p>
  <w:p w14:paraId="56A6A210" w14:textId="77777777" w:rsidR="00EE004F" w:rsidRDefault="00EE00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A42484" w14:textId="77777777" w:rsidR="00EE004F" w:rsidRDefault="00EE00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065D"/>
    <w:rsid w:val="002B065D"/>
    <w:rsid w:val="002B0B5E"/>
    <w:rsid w:val="00494149"/>
    <w:rsid w:val="004F22E2"/>
    <w:rsid w:val="0051325F"/>
    <w:rsid w:val="006A079C"/>
    <w:rsid w:val="006D26E1"/>
    <w:rsid w:val="00806026"/>
    <w:rsid w:val="00933188"/>
    <w:rsid w:val="009659AF"/>
    <w:rsid w:val="00C05ADC"/>
    <w:rsid w:val="00C26FF7"/>
    <w:rsid w:val="00D565B8"/>
    <w:rsid w:val="00D56991"/>
    <w:rsid w:val="00D860A0"/>
    <w:rsid w:val="00E22FE3"/>
    <w:rsid w:val="00EE004F"/>
    <w:rsid w:val="00FD77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7694FE"/>
  <w15:chartTrackingRefBased/>
  <w15:docId w15:val="{40208072-F6EF-487B-B81D-50E611A5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3753</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8126470</vt:i4>
      </vt:variant>
      <vt:variant>
        <vt:i4>0</vt:i4>
      </vt:variant>
      <vt:variant>
        <vt:i4>0</vt:i4>
      </vt:variant>
      <vt:variant>
        <vt:i4>5</vt:i4>
      </vt:variant>
      <vt:variant>
        <vt:lpwstr>http://www.nevo.co.il/Law_word/law06/tak-7826.pdf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ביטחון</vt:lpwstr>
  </property>
  <property fmtid="{D5CDD505-2E9C-101B-9397-08002B2CF9AE}" pid="4" name="LAWNAME">
    <vt:lpwstr>תקנות הפיקוח על ייצוא ביטחוני (פטור מרישיון ייצוא ביטחוני), תשע"ז-2017</vt:lpwstr>
  </property>
  <property fmtid="{D5CDD505-2E9C-101B-9397-08002B2CF9AE}" pid="5" name="LAWNUMBER">
    <vt:lpwstr>0622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יצוא ביטחוני</vt:lpwstr>
  </property>
  <property fmtid="{D5CDD505-2E9C-101B-9397-08002B2CF9AE}" pid="23" name="NOSE31">
    <vt:lpwstr>רישיון ורישום</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מסחר </vt:lpwstr>
  </property>
  <property fmtid="{D5CDD505-2E9C-101B-9397-08002B2CF9AE}" pid="27" name="NOSE32">
    <vt:lpwstr>יצוא</vt:lpwstr>
  </property>
  <property fmtid="{D5CDD505-2E9C-101B-9397-08002B2CF9AE}" pid="28" name="NOSE42">
    <vt:lpwstr>יצוא בטחוני</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הפיקוח על יצוא ביטחוני</vt:lpwstr>
  </property>
  <property fmtid="{D5CDD505-2E9C-101B-9397-08002B2CF9AE}" pid="62" name="MEKOR_SAIF1">
    <vt:lpwstr>15XבX;45X</vt:lpwstr>
  </property>
  <property fmtid="{D5CDD505-2E9C-101B-9397-08002B2CF9AE}" pid="63" name="MEKORSAMCHUT">
    <vt:lpwstr/>
  </property>
  <property fmtid="{D5CDD505-2E9C-101B-9397-08002B2CF9AE}" pid="64" name="LINKK1">
    <vt:lpwstr>http://www.nevo.co.il/Law_word/law06/tak-7826.pdf;‎רשומות - תקנות כלליות#פורסמו ק"ת תשע"ז ‏מס' 7826 #מיום 15.6.2017 עמ' 1223‏</vt:lpwstr>
  </property>
</Properties>
</file>