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B65A5" w14:textId="77777777" w:rsidR="00F93DE3" w:rsidRDefault="00F93DE3">
      <w:pPr>
        <w:pStyle w:val="big-header"/>
        <w:ind w:left="0" w:right="1134"/>
        <w:rPr>
          <w:rFonts w:hint="cs"/>
          <w:rtl/>
        </w:rPr>
      </w:pPr>
      <w:r>
        <w:rPr>
          <w:rFonts w:hint="cs"/>
          <w:rtl/>
        </w:rPr>
        <w:t>תקנות הפיקוח על יצוא ביטחוני (הפחתה של העיצום הכספי)</w:t>
      </w:r>
      <w:r>
        <w:rPr>
          <w:rtl/>
        </w:rPr>
        <w:t>, תשס"</w:t>
      </w:r>
      <w:r>
        <w:rPr>
          <w:rFonts w:hint="cs"/>
          <w:rtl/>
        </w:rPr>
        <w:t>ח</w:t>
      </w:r>
      <w:r>
        <w:rPr>
          <w:rtl/>
        </w:rPr>
        <w:t>-200</w:t>
      </w:r>
      <w:r>
        <w:rPr>
          <w:rFonts w:hint="cs"/>
          <w:rtl/>
        </w:rPr>
        <w:t>8</w:t>
      </w:r>
    </w:p>
    <w:p w14:paraId="57B739C4" w14:textId="77777777" w:rsidR="004775A9" w:rsidRDefault="004775A9" w:rsidP="004775A9">
      <w:pPr>
        <w:spacing w:line="320" w:lineRule="auto"/>
        <w:jc w:val="left"/>
        <w:rPr>
          <w:rtl/>
        </w:rPr>
      </w:pPr>
    </w:p>
    <w:p w14:paraId="2B2FF157" w14:textId="77777777" w:rsidR="004775A9" w:rsidRDefault="004775A9" w:rsidP="004775A9">
      <w:pPr>
        <w:spacing w:line="320" w:lineRule="auto"/>
        <w:jc w:val="left"/>
        <w:rPr>
          <w:rFonts w:cs="Miriam"/>
          <w:szCs w:val="22"/>
          <w:rtl/>
        </w:rPr>
      </w:pPr>
      <w:r w:rsidRPr="004775A9">
        <w:rPr>
          <w:rFonts w:cs="Miriam"/>
          <w:szCs w:val="22"/>
          <w:rtl/>
        </w:rPr>
        <w:t>בטחון</w:t>
      </w:r>
      <w:r w:rsidRPr="004775A9">
        <w:rPr>
          <w:rFonts w:cs="FrankRuehl"/>
          <w:szCs w:val="26"/>
          <w:rtl/>
        </w:rPr>
        <w:t xml:space="preserve"> – יצוא ביטחוני</w:t>
      </w:r>
    </w:p>
    <w:p w14:paraId="694A67FA" w14:textId="77777777" w:rsidR="004775A9" w:rsidRDefault="004775A9" w:rsidP="004775A9">
      <w:pPr>
        <w:spacing w:line="320" w:lineRule="auto"/>
        <w:jc w:val="left"/>
        <w:rPr>
          <w:rFonts w:cs="Miriam"/>
          <w:szCs w:val="22"/>
          <w:rtl/>
        </w:rPr>
      </w:pPr>
      <w:r w:rsidRPr="004775A9">
        <w:rPr>
          <w:rFonts w:cs="Miriam"/>
          <w:szCs w:val="22"/>
          <w:rtl/>
        </w:rPr>
        <w:t>משפט פרטי וכלכלה</w:t>
      </w:r>
      <w:r w:rsidRPr="004775A9">
        <w:rPr>
          <w:rFonts w:cs="FrankRuehl"/>
          <w:szCs w:val="26"/>
          <w:rtl/>
        </w:rPr>
        <w:t xml:space="preserve"> – מסחר  – יצוא – יצוא בטחוני</w:t>
      </w:r>
    </w:p>
    <w:p w14:paraId="6683C5B3" w14:textId="77777777" w:rsidR="001956F9" w:rsidRPr="004775A9" w:rsidRDefault="004775A9" w:rsidP="004775A9">
      <w:pPr>
        <w:spacing w:line="320" w:lineRule="auto"/>
        <w:jc w:val="left"/>
        <w:rPr>
          <w:rFonts w:cs="Miriam"/>
          <w:szCs w:val="22"/>
          <w:rtl/>
        </w:rPr>
      </w:pPr>
      <w:r w:rsidRPr="004775A9">
        <w:rPr>
          <w:rFonts w:cs="Miriam"/>
          <w:szCs w:val="22"/>
          <w:rtl/>
        </w:rPr>
        <w:t>עונשין ומשפט פלילי</w:t>
      </w:r>
      <w:r w:rsidRPr="004775A9">
        <w:rPr>
          <w:rFonts w:cs="FrankRuehl"/>
          <w:szCs w:val="26"/>
          <w:rtl/>
        </w:rPr>
        <w:t xml:space="preserve"> – ענישה, מאסר ומעצר – עיצום כספי</w:t>
      </w:r>
    </w:p>
    <w:p w14:paraId="684442BC" w14:textId="77777777" w:rsidR="00F93DE3" w:rsidRDefault="00F93DE3">
      <w:pPr>
        <w:pStyle w:val="big-header"/>
        <w:ind w:left="0" w:right="1134"/>
        <w:rPr>
          <w:rFonts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93DE3" w14:paraId="4ED34072" w14:textId="77777777">
        <w:tblPrEx>
          <w:tblCellMar>
            <w:top w:w="0" w:type="dxa"/>
            <w:bottom w:w="0" w:type="dxa"/>
          </w:tblCellMar>
        </w:tblPrEx>
        <w:trPr>
          <w:jc w:val="right"/>
        </w:trPr>
        <w:tc>
          <w:tcPr>
            <w:tcW w:w="850" w:type="dxa"/>
          </w:tcPr>
          <w:p w14:paraId="1DC116EB" w14:textId="77777777" w:rsidR="00F93DE3" w:rsidRDefault="00F93DE3">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Seif0</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1398E913" w14:textId="77777777" w:rsidR="00F93DE3" w:rsidRDefault="00F93DE3">
            <w:pPr>
              <w:spacing w:line="240" w:lineRule="auto"/>
              <w:jc w:val="left"/>
              <w:rPr>
                <w:rFonts w:cs="Frankruhel" w:hint="cs"/>
                <w:sz w:val="24"/>
              </w:rPr>
            </w:pPr>
            <w:hyperlink w:anchor="Seif0" w:tooltip="הגדרה" w:history="1">
              <w:r>
                <w:rPr>
                  <w:rStyle w:val="Hyperlink"/>
                </w:rPr>
                <w:t>Go</w:t>
              </w:r>
            </w:hyperlink>
          </w:p>
        </w:tc>
        <w:tc>
          <w:tcPr>
            <w:tcW w:w="5669" w:type="dxa"/>
          </w:tcPr>
          <w:p w14:paraId="6C323E1D" w14:textId="77777777" w:rsidR="00F93DE3" w:rsidRDefault="00F93DE3">
            <w:pPr>
              <w:spacing w:line="240" w:lineRule="auto"/>
              <w:jc w:val="left"/>
              <w:rPr>
                <w:rFonts w:cs="Frankruhel"/>
                <w:sz w:val="24"/>
                <w:rtl/>
              </w:rPr>
            </w:pPr>
            <w:r>
              <w:rPr>
                <w:rFonts w:cs="Frankruhel"/>
                <w:sz w:val="24"/>
                <w:rtl/>
              </w:rPr>
              <w:t>הגדרה</w:t>
            </w:r>
          </w:p>
        </w:tc>
        <w:tc>
          <w:tcPr>
            <w:tcW w:w="1247" w:type="dxa"/>
          </w:tcPr>
          <w:p w14:paraId="5E85D1EC" w14:textId="77777777" w:rsidR="00F93DE3" w:rsidRDefault="00F93DE3">
            <w:pPr>
              <w:spacing w:line="240" w:lineRule="auto"/>
              <w:jc w:val="left"/>
              <w:rPr>
                <w:rFonts w:cs="Frankruhel" w:hint="cs"/>
                <w:sz w:val="24"/>
              </w:rPr>
            </w:pPr>
            <w:r>
              <w:rPr>
                <w:rFonts w:cs="Frankruhel"/>
                <w:sz w:val="24"/>
                <w:rtl/>
              </w:rPr>
              <w:t xml:space="preserve">סעיף 1 </w:t>
            </w:r>
          </w:p>
        </w:tc>
      </w:tr>
      <w:tr w:rsidR="00F93DE3" w14:paraId="4934154B" w14:textId="77777777">
        <w:tblPrEx>
          <w:tblCellMar>
            <w:top w:w="0" w:type="dxa"/>
            <w:bottom w:w="0" w:type="dxa"/>
          </w:tblCellMar>
        </w:tblPrEx>
        <w:trPr>
          <w:jc w:val="right"/>
        </w:trPr>
        <w:tc>
          <w:tcPr>
            <w:tcW w:w="850" w:type="dxa"/>
          </w:tcPr>
          <w:p w14:paraId="195C3CF8" w14:textId="77777777" w:rsidR="00F93DE3" w:rsidRDefault="00F93DE3">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Seif1</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029BAA9F" w14:textId="77777777" w:rsidR="00F93DE3" w:rsidRDefault="00F93DE3">
            <w:pPr>
              <w:spacing w:line="240" w:lineRule="auto"/>
              <w:jc w:val="left"/>
              <w:rPr>
                <w:rFonts w:cs="Frankruhel" w:hint="cs"/>
                <w:sz w:val="24"/>
              </w:rPr>
            </w:pPr>
            <w:hyperlink w:anchor="Seif1" w:tooltip="הפחתת סכומי העיצום הכספי" w:history="1">
              <w:r>
                <w:rPr>
                  <w:rStyle w:val="Hyperlink"/>
                </w:rPr>
                <w:t>Go</w:t>
              </w:r>
            </w:hyperlink>
          </w:p>
        </w:tc>
        <w:tc>
          <w:tcPr>
            <w:tcW w:w="5669" w:type="dxa"/>
          </w:tcPr>
          <w:p w14:paraId="28ED55E7" w14:textId="77777777" w:rsidR="00F93DE3" w:rsidRDefault="00F93DE3">
            <w:pPr>
              <w:spacing w:line="240" w:lineRule="auto"/>
              <w:jc w:val="left"/>
              <w:rPr>
                <w:rFonts w:cs="Frankruhel"/>
                <w:sz w:val="24"/>
                <w:rtl/>
              </w:rPr>
            </w:pPr>
            <w:r>
              <w:rPr>
                <w:rFonts w:cs="Frankruhel"/>
                <w:sz w:val="24"/>
                <w:rtl/>
              </w:rPr>
              <w:t>הפחתת סכומי העיצום הכספי</w:t>
            </w:r>
          </w:p>
        </w:tc>
        <w:tc>
          <w:tcPr>
            <w:tcW w:w="1247" w:type="dxa"/>
          </w:tcPr>
          <w:p w14:paraId="340544FB" w14:textId="77777777" w:rsidR="00F93DE3" w:rsidRDefault="00F93DE3">
            <w:pPr>
              <w:spacing w:line="240" w:lineRule="auto"/>
              <w:jc w:val="left"/>
              <w:rPr>
                <w:rFonts w:cs="Frankruhel" w:hint="cs"/>
                <w:sz w:val="24"/>
              </w:rPr>
            </w:pPr>
            <w:r>
              <w:rPr>
                <w:rFonts w:cs="Frankruhel"/>
                <w:sz w:val="24"/>
                <w:rtl/>
              </w:rPr>
              <w:t xml:space="preserve">סעיף 2 </w:t>
            </w:r>
          </w:p>
        </w:tc>
      </w:tr>
      <w:tr w:rsidR="00F93DE3" w14:paraId="20C2D096" w14:textId="77777777">
        <w:tblPrEx>
          <w:tblCellMar>
            <w:top w:w="0" w:type="dxa"/>
            <w:bottom w:w="0" w:type="dxa"/>
          </w:tblCellMar>
        </w:tblPrEx>
        <w:trPr>
          <w:jc w:val="right"/>
        </w:trPr>
        <w:tc>
          <w:tcPr>
            <w:tcW w:w="850" w:type="dxa"/>
          </w:tcPr>
          <w:p w14:paraId="6E21BC5B" w14:textId="77777777" w:rsidR="00F93DE3" w:rsidRDefault="00F93DE3">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Seif2</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1F43CE4B" w14:textId="77777777" w:rsidR="00F93DE3" w:rsidRDefault="00F93DE3">
            <w:pPr>
              <w:spacing w:line="240" w:lineRule="auto"/>
              <w:jc w:val="left"/>
              <w:rPr>
                <w:rFonts w:cs="Frankruhel" w:hint="cs"/>
                <w:sz w:val="24"/>
              </w:rPr>
            </w:pPr>
            <w:hyperlink w:anchor="Seif2" w:tooltip="הפחתה בשל נסיבות אישיות" w:history="1">
              <w:r>
                <w:rPr>
                  <w:rStyle w:val="Hyperlink"/>
                </w:rPr>
                <w:t>Go</w:t>
              </w:r>
            </w:hyperlink>
          </w:p>
        </w:tc>
        <w:tc>
          <w:tcPr>
            <w:tcW w:w="5669" w:type="dxa"/>
          </w:tcPr>
          <w:p w14:paraId="074DE7FE" w14:textId="77777777" w:rsidR="00F93DE3" w:rsidRDefault="00F93DE3">
            <w:pPr>
              <w:spacing w:line="240" w:lineRule="auto"/>
              <w:jc w:val="left"/>
              <w:rPr>
                <w:rFonts w:cs="Frankruhel"/>
                <w:sz w:val="24"/>
                <w:rtl/>
              </w:rPr>
            </w:pPr>
            <w:r>
              <w:rPr>
                <w:rFonts w:cs="Frankruhel"/>
                <w:sz w:val="24"/>
                <w:rtl/>
              </w:rPr>
              <w:t>הפחתה בשל נסיבות אישיות</w:t>
            </w:r>
          </w:p>
        </w:tc>
        <w:tc>
          <w:tcPr>
            <w:tcW w:w="1247" w:type="dxa"/>
          </w:tcPr>
          <w:p w14:paraId="52C9BF75" w14:textId="77777777" w:rsidR="00F93DE3" w:rsidRDefault="00F93DE3">
            <w:pPr>
              <w:spacing w:line="240" w:lineRule="auto"/>
              <w:jc w:val="left"/>
              <w:rPr>
                <w:rFonts w:cs="Frankruhel" w:hint="cs"/>
                <w:sz w:val="24"/>
              </w:rPr>
            </w:pPr>
            <w:r>
              <w:rPr>
                <w:rFonts w:cs="Frankruhel"/>
                <w:sz w:val="24"/>
                <w:rtl/>
              </w:rPr>
              <w:t xml:space="preserve">סעיף 3 </w:t>
            </w:r>
          </w:p>
        </w:tc>
      </w:tr>
      <w:tr w:rsidR="00F93DE3" w14:paraId="0E9DC534" w14:textId="77777777">
        <w:tblPrEx>
          <w:tblCellMar>
            <w:top w:w="0" w:type="dxa"/>
            <w:bottom w:w="0" w:type="dxa"/>
          </w:tblCellMar>
        </w:tblPrEx>
        <w:trPr>
          <w:jc w:val="right"/>
        </w:trPr>
        <w:tc>
          <w:tcPr>
            <w:tcW w:w="850" w:type="dxa"/>
          </w:tcPr>
          <w:p w14:paraId="6CC8BF3D" w14:textId="77777777" w:rsidR="00F93DE3" w:rsidRDefault="00F93DE3">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Seif3</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6C5D8291" w14:textId="77777777" w:rsidR="00F93DE3" w:rsidRDefault="00F93DE3">
            <w:pPr>
              <w:spacing w:line="240" w:lineRule="auto"/>
              <w:jc w:val="left"/>
              <w:rPr>
                <w:rFonts w:cs="Frankruhel" w:hint="cs"/>
                <w:sz w:val="24"/>
              </w:rPr>
            </w:pPr>
            <w:hyperlink w:anchor="Seif3" w:tooltip="הפחתה בשל התחשבות בהיקף מחזור המכירות" w:history="1">
              <w:r>
                <w:rPr>
                  <w:rStyle w:val="Hyperlink"/>
                </w:rPr>
                <w:t>Go</w:t>
              </w:r>
            </w:hyperlink>
          </w:p>
        </w:tc>
        <w:tc>
          <w:tcPr>
            <w:tcW w:w="5669" w:type="dxa"/>
          </w:tcPr>
          <w:p w14:paraId="5A66D4CF" w14:textId="77777777" w:rsidR="00F93DE3" w:rsidRDefault="00F93DE3">
            <w:pPr>
              <w:spacing w:line="240" w:lineRule="auto"/>
              <w:jc w:val="left"/>
              <w:rPr>
                <w:rFonts w:cs="Frankruhel"/>
                <w:sz w:val="24"/>
                <w:rtl/>
              </w:rPr>
            </w:pPr>
            <w:r>
              <w:rPr>
                <w:rFonts w:cs="Frankruhel"/>
                <w:sz w:val="24"/>
                <w:rtl/>
              </w:rPr>
              <w:t>הפחתה בשל התחשבות בהיקף מחזור המכירות</w:t>
            </w:r>
          </w:p>
        </w:tc>
        <w:tc>
          <w:tcPr>
            <w:tcW w:w="1247" w:type="dxa"/>
          </w:tcPr>
          <w:p w14:paraId="35FEE4D6" w14:textId="77777777" w:rsidR="00F93DE3" w:rsidRDefault="00F93DE3">
            <w:pPr>
              <w:spacing w:line="240" w:lineRule="auto"/>
              <w:jc w:val="left"/>
              <w:rPr>
                <w:rFonts w:cs="Frankruhel" w:hint="cs"/>
                <w:sz w:val="24"/>
              </w:rPr>
            </w:pPr>
            <w:r>
              <w:rPr>
                <w:rFonts w:cs="Frankruhel"/>
                <w:sz w:val="24"/>
                <w:rtl/>
              </w:rPr>
              <w:t xml:space="preserve">סעיף 4 </w:t>
            </w:r>
          </w:p>
        </w:tc>
      </w:tr>
    </w:tbl>
    <w:p w14:paraId="55A31F1A" w14:textId="77777777" w:rsidR="00F93DE3" w:rsidRDefault="00F93DE3">
      <w:pPr>
        <w:pStyle w:val="big-header"/>
        <w:ind w:left="0" w:right="1134"/>
        <w:rPr>
          <w:rFonts w:hint="cs"/>
          <w:rtl/>
        </w:rPr>
      </w:pPr>
    </w:p>
    <w:p w14:paraId="6DECFFA9" w14:textId="77777777" w:rsidR="00F93DE3" w:rsidRDefault="00F93DE3" w:rsidP="001956F9">
      <w:pPr>
        <w:pStyle w:val="big-header"/>
        <w:ind w:left="0" w:right="1134"/>
        <w:rPr>
          <w:rFonts w:hint="cs"/>
          <w:rtl/>
        </w:rPr>
      </w:pPr>
      <w:r>
        <w:rPr>
          <w:rtl/>
        </w:rPr>
        <w:br w:type="page"/>
      </w:r>
      <w:r>
        <w:rPr>
          <w:rFonts w:hint="cs"/>
          <w:rtl/>
        </w:rPr>
        <w:lastRenderedPageBreak/>
        <w:t>תקנות הפיקוח על יצוא ביטחוני (הפחתה של העיצום הכספי)</w:t>
      </w:r>
      <w:r>
        <w:rPr>
          <w:rtl/>
        </w:rPr>
        <w:t>, תשס"</w:t>
      </w:r>
      <w:r>
        <w:rPr>
          <w:rFonts w:hint="cs"/>
          <w:rtl/>
        </w:rPr>
        <w:t>ח</w:t>
      </w:r>
      <w:r>
        <w:rPr>
          <w:rtl/>
        </w:rPr>
        <w:t>-200</w:t>
      </w:r>
      <w:r>
        <w:rPr>
          <w:rFonts w:hint="cs"/>
          <w:rtl/>
        </w:rPr>
        <w:t>8</w:t>
      </w:r>
      <w:r>
        <w:rPr>
          <w:rStyle w:val="default"/>
          <w:sz w:val="22"/>
          <w:szCs w:val="22"/>
          <w:rtl/>
        </w:rPr>
        <w:footnoteReference w:customMarkFollows="1" w:id="1"/>
        <w:t>*</w:t>
      </w:r>
    </w:p>
    <w:p w14:paraId="3818E0B8" w14:textId="77777777" w:rsidR="00F93DE3" w:rsidRDefault="00F93DE3">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סעיפים 38(ב) ו-45 לחוק הפיקוח על יצוא ביטחוני, התשס"ז-2007 (להלן </w:t>
      </w:r>
      <w:r>
        <w:rPr>
          <w:rStyle w:val="default"/>
          <w:rFonts w:cs="FrankRuehl"/>
          <w:rtl/>
        </w:rPr>
        <w:t>–</w:t>
      </w:r>
      <w:r>
        <w:rPr>
          <w:rStyle w:val="default"/>
          <w:rFonts w:cs="FrankRuehl" w:hint="cs"/>
          <w:rtl/>
        </w:rPr>
        <w:t xml:space="preserve"> החוק), בהסכמת שר המשפטים ובאישור ועדת החוץ והביטחון של הכנסת, אני מתקין תקנות אלה:</w:t>
      </w:r>
    </w:p>
    <w:p w14:paraId="2D71C318" w14:textId="77777777" w:rsidR="00F93DE3" w:rsidRDefault="00F93DE3">
      <w:pPr>
        <w:pStyle w:val="P00"/>
        <w:spacing w:before="72"/>
        <w:ind w:left="0" w:right="1134"/>
        <w:rPr>
          <w:rStyle w:val="default"/>
          <w:rFonts w:cs="FrankRuehl" w:hint="cs"/>
          <w:rtl/>
        </w:rPr>
      </w:pPr>
      <w:bookmarkStart w:id="0" w:name="Seif0"/>
      <w:bookmarkEnd w:id="0"/>
      <w:r>
        <w:rPr>
          <w:lang w:val="he-IL"/>
        </w:rPr>
        <w:pict w14:anchorId="4AD5A492">
          <v:rect id="_x0000_s1026" style="position:absolute;left:0;text-align:left;margin-left:464.5pt;margin-top:8.05pt;width:75.05pt;height:14.8pt;z-index:251656192" o:allowincell="f" filled="f" stroked="f" strokecolor="lime" strokeweight=".25pt">
            <v:textbox style="mso-next-textbox:#_x0000_s1026" inset="0,0,0,0">
              <w:txbxContent>
                <w:p w14:paraId="2A8435E5" w14:textId="77777777" w:rsidR="00F93DE3" w:rsidRDefault="00F93DE3">
                  <w:pPr>
                    <w:spacing w:line="160" w:lineRule="exact"/>
                    <w:jc w:val="left"/>
                    <w:rPr>
                      <w:rFonts w:cs="Miriam" w:hint="cs"/>
                      <w:noProof/>
                      <w:szCs w:val="18"/>
                      <w:rtl/>
                    </w:rPr>
                  </w:pPr>
                  <w:r>
                    <w:rPr>
                      <w:rFonts w:cs="Miriam" w:hint="cs"/>
                      <w:szCs w:val="18"/>
                      <w:rtl/>
                    </w:rPr>
                    <w:t>הגדרה</w:t>
                  </w:r>
                </w:p>
              </w:txbxContent>
            </v:textbox>
            <w10:anchorlock/>
          </v:rect>
        </w:pict>
      </w:r>
      <w:r>
        <w:rPr>
          <w:rStyle w:val="big-number"/>
          <w:rtl/>
        </w:rPr>
        <w:t>1.</w:t>
      </w:r>
      <w:r>
        <w:rPr>
          <w:rStyle w:val="big-number"/>
          <w:rtl/>
        </w:rPr>
        <w:tab/>
      </w:r>
      <w:r>
        <w:rPr>
          <w:rStyle w:val="default"/>
          <w:rFonts w:cs="FrankRuehl" w:hint="cs"/>
          <w:rtl/>
        </w:rPr>
        <w:t xml:space="preserve">בתקנות אלה, "הוראה" </w:t>
      </w:r>
      <w:r>
        <w:rPr>
          <w:rStyle w:val="default"/>
          <w:rFonts w:cs="FrankRuehl"/>
          <w:rtl/>
        </w:rPr>
        <w:t>–</w:t>
      </w:r>
      <w:r>
        <w:rPr>
          <w:rStyle w:val="default"/>
          <w:rFonts w:cs="FrankRuehl" w:hint="cs"/>
          <w:rtl/>
        </w:rPr>
        <w:t xml:space="preserve"> הוראה מההוראות המפורטות בסעיף 36(א) או (ב) לחוק אשר בשל הפרתה מוסמכת הרשות המוסמכת להטיל עיצום כספי.</w:t>
      </w:r>
    </w:p>
    <w:p w14:paraId="005637CE" w14:textId="77777777" w:rsidR="00F93DE3" w:rsidRDefault="00F93DE3">
      <w:pPr>
        <w:pStyle w:val="P00"/>
        <w:spacing w:before="72"/>
        <w:ind w:left="0" w:right="1134"/>
        <w:rPr>
          <w:rStyle w:val="default"/>
          <w:rFonts w:cs="FrankRuehl" w:hint="cs"/>
          <w:rtl/>
        </w:rPr>
      </w:pPr>
      <w:bookmarkStart w:id="1" w:name="Seif1"/>
      <w:bookmarkEnd w:id="1"/>
      <w:r>
        <w:rPr>
          <w:lang w:val="he-IL"/>
        </w:rPr>
        <w:pict w14:anchorId="01175853">
          <v:rect id="_x0000_s1049" style="position:absolute;left:0;text-align:left;margin-left:464.5pt;margin-top:8.05pt;width:75.05pt;height:16.8pt;z-index:251657216" o:allowincell="f" filled="f" stroked="f" strokecolor="lime" strokeweight=".25pt">
            <v:textbox style="mso-next-textbox:#_x0000_s1049" inset="0,0,0,0">
              <w:txbxContent>
                <w:p w14:paraId="0028A71F" w14:textId="77777777" w:rsidR="00F93DE3" w:rsidRDefault="00F93DE3">
                  <w:pPr>
                    <w:spacing w:line="160" w:lineRule="exact"/>
                    <w:jc w:val="left"/>
                    <w:rPr>
                      <w:rFonts w:cs="Miriam" w:hint="cs"/>
                      <w:noProof/>
                      <w:szCs w:val="18"/>
                      <w:rtl/>
                    </w:rPr>
                  </w:pPr>
                  <w:r>
                    <w:rPr>
                      <w:rFonts w:cs="Miriam" w:hint="cs"/>
                      <w:szCs w:val="18"/>
                      <w:rtl/>
                    </w:rPr>
                    <w:t>הפחתת סכומי העיצום הכספי</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 xml:space="preserve">מצאה הרשות המוסמכת כי נתקיימו נסיבות שלפיהן ניתן להטיל על אדם עיצום כספי לפי סעיף 36 לחוק ונתקיימה אחת או יותר מן הנסיבות המנויות להלן, תפחית לאותו אדם מסכום העיצום הכספי הקבוע בשל אותה הפרה, את השיעור הנקוב לצד אותה נסיבה, ובהתקיים כמה נסיבות </w:t>
      </w:r>
      <w:r>
        <w:rPr>
          <w:rStyle w:val="default"/>
          <w:rFonts w:cs="FrankRuehl"/>
          <w:rtl/>
        </w:rPr>
        <w:t>–</w:t>
      </w:r>
      <w:r>
        <w:rPr>
          <w:rStyle w:val="default"/>
          <w:rFonts w:cs="FrankRuehl" w:hint="cs"/>
          <w:rtl/>
        </w:rPr>
        <w:t xml:space="preserve"> בשיעור המצטבר של השיעורים המנויים לצדן:</w:t>
      </w:r>
    </w:p>
    <w:p w14:paraId="06A78346" w14:textId="77777777" w:rsidR="00F93DE3" w:rsidRDefault="00F93DE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המפר לא הפר אותה הוראה בעבר </w:t>
      </w:r>
      <w:r>
        <w:rPr>
          <w:rStyle w:val="default"/>
          <w:rFonts w:cs="FrankRuehl"/>
          <w:rtl/>
        </w:rPr>
        <w:t>–</w:t>
      </w:r>
      <w:r>
        <w:rPr>
          <w:rStyle w:val="default"/>
          <w:rFonts w:cs="FrankRuehl" w:hint="cs"/>
          <w:rtl/>
        </w:rPr>
        <w:t xml:space="preserve"> 50%;</w:t>
      </w:r>
    </w:p>
    <w:p w14:paraId="6363D910" w14:textId="77777777" w:rsidR="00F93DE3" w:rsidRDefault="00F93DE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המפר הפסיק את ההפרה מיוזמתו ודיווח עליה לרשות המוסמכת </w:t>
      </w:r>
      <w:r>
        <w:rPr>
          <w:rStyle w:val="default"/>
          <w:rFonts w:cs="FrankRuehl"/>
          <w:rtl/>
        </w:rPr>
        <w:t>–</w:t>
      </w:r>
      <w:r>
        <w:rPr>
          <w:rStyle w:val="default"/>
          <w:rFonts w:cs="FrankRuehl" w:hint="cs"/>
          <w:rtl/>
        </w:rPr>
        <w:t xml:space="preserve"> 25%;</w:t>
      </w:r>
    </w:p>
    <w:p w14:paraId="088B31B7" w14:textId="77777777" w:rsidR="00F93DE3" w:rsidRDefault="00F93DE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המפר נקט פעולות למניעת הישנות ההפרה ולהקטנת הנזק, להנחת דעתה של הרשות המוסמכת </w:t>
      </w:r>
      <w:r>
        <w:rPr>
          <w:rStyle w:val="default"/>
          <w:rFonts w:cs="FrankRuehl"/>
          <w:rtl/>
        </w:rPr>
        <w:t>–</w:t>
      </w:r>
      <w:r>
        <w:rPr>
          <w:rStyle w:val="default"/>
          <w:rFonts w:cs="FrankRuehl" w:hint="cs"/>
          <w:rtl/>
        </w:rPr>
        <w:t xml:space="preserve"> 15%.</w:t>
      </w:r>
    </w:p>
    <w:p w14:paraId="5EFEE038" w14:textId="77777777" w:rsidR="00F93DE3" w:rsidRDefault="00F93DE3">
      <w:pPr>
        <w:pStyle w:val="P00"/>
        <w:spacing w:before="72"/>
        <w:ind w:left="0" w:right="1134"/>
        <w:rPr>
          <w:rStyle w:val="default"/>
          <w:rFonts w:cs="FrankRuehl" w:hint="cs"/>
          <w:rtl/>
        </w:rPr>
      </w:pPr>
      <w:bookmarkStart w:id="2" w:name="Seif2"/>
      <w:bookmarkEnd w:id="2"/>
      <w:r>
        <w:rPr>
          <w:lang w:val="he-IL"/>
        </w:rPr>
        <w:pict w14:anchorId="77A40F1D">
          <v:rect id="_x0000_s1050" style="position:absolute;left:0;text-align:left;margin-left:464.5pt;margin-top:8.05pt;width:75.05pt;height:16.95pt;z-index:251658240" o:allowincell="f" filled="f" stroked="f" strokecolor="lime" strokeweight=".25pt">
            <v:textbox style="mso-next-textbox:#_x0000_s1050" inset="0,0,0,0">
              <w:txbxContent>
                <w:p w14:paraId="4719B3F1" w14:textId="77777777" w:rsidR="00F93DE3" w:rsidRDefault="00F93DE3">
                  <w:pPr>
                    <w:spacing w:line="160" w:lineRule="exact"/>
                    <w:jc w:val="left"/>
                    <w:rPr>
                      <w:rFonts w:cs="Miriam" w:hint="cs"/>
                      <w:noProof/>
                      <w:szCs w:val="18"/>
                      <w:rtl/>
                    </w:rPr>
                  </w:pPr>
                  <w:r>
                    <w:rPr>
                      <w:rFonts w:cs="Miriam" w:hint="cs"/>
                      <w:szCs w:val="18"/>
                      <w:rtl/>
                    </w:rPr>
                    <w:t>הפחתה בשל נסיבות אישיות</w:t>
                  </w:r>
                </w:p>
              </w:txbxContent>
            </v:textbox>
            <w10:anchorlock/>
          </v:rect>
        </w:pict>
      </w:r>
      <w:r>
        <w:rPr>
          <w:rStyle w:val="big-number"/>
          <w:rFonts w:hint="cs"/>
          <w:rtl/>
        </w:rPr>
        <w:t>3</w:t>
      </w:r>
      <w:r>
        <w:rPr>
          <w:rStyle w:val="big-number"/>
          <w:rtl/>
        </w:rPr>
        <w:t>.</w:t>
      </w:r>
      <w:r>
        <w:rPr>
          <w:rStyle w:val="big-number"/>
          <w:rtl/>
        </w:rPr>
        <w:tab/>
      </w:r>
      <w:r>
        <w:rPr>
          <w:rStyle w:val="default"/>
          <w:rFonts w:cs="FrankRuehl" w:hint="cs"/>
          <w:rtl/>
        </w:rPr>
        <w:t>(א)</w:t>
      </w:r>
      <w:r>
        <w:rPr>
          <w:rStyle w:val="default"/>
          <w:rFonts w:cs="FrankRuehl" w:hint="cs"/>
          <w:rtl/>
        </w:rPr>
        <w:tab/>
        <w:t>מצאה הרשות המוסמכת, לגבי מפר שהוא יחיד ושאינו תאגיד, שהפרת ההוראה נגרמה בשל נסיבות אישיות המצדיקות הפחתה של העיצום הכספי, או שנתקיימו נסיבות אישיות קשות המצדיקות שלא למצות את הדין עם המפר, רשאית היא להפחית את סכום העיצום הכספי בשיעור שלא יעלה על עשרים אחוזים מסכום העיצום הכספי הקבוע לגבי המפר בשל אותה הפרה, וזאת בלי לגרוע מסמכותה לפי תקנה 2.</w:t>
      </w:r>
    </w:p>
    <w:p w14:paraId="72EC9AA9" w14:textId="77777777" w:rsidR="00F93DE3" w:rsidRDefault="00F93DE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הרשות המוסמכת תגיש אחת לשנה ליועץ המשפטי לממשלה או למי שהוא יורה דין וחשבון על השימוש בסמכות לפי תקנת משנה (א) והטעמים שבשלהם ניתנה ההפחתה מכוח תקנה זו.</w:t>
      </w:r>
    </w:p>
    <w:p w14:paraId="79F628D2" w14:textId="77777777" w:rsidR="00F93DE3" w:rsidRDefault="00F93DE3">
      <w:pPr>
        <w:pStyle w:val="P00"/>
        <w:spacing w:before="72"/>
        <w:ind w:left="0" w:right="1134"/>
        <w:rPr>
          <w:rStyle w:val="default"/>
          <w:rFonts w:cs="FrankRuehl" w:hint="cs"/>
          <w:rtl/>
        </w:rPr>
      </w:pPr>
      <w:bookmarkStart w:id="3" w:name="Seif3"/>
      <w:bookmarkEnd w:id="3"/>
      <w:r>
        <w:rPr>
          <w:lang w:val="he-IL"/>
        </w:rPr>
        <w:pict w14:anchorId="6BE4B6C2">
          <v:rect id="_x0000_s1063" style="position:absolute;left:0;text-align:left;margin-left:464.5pt;margin-top:8.05pt;width:75.05pt;height:31.25pt;z-index:251659264" o:allowincell="f" filled="f" stroked="f" strokecolor="lime" strokeweight=".25pt">
            <v:textbox style="mso-next-textbox:#_x0000_s1063" inset="0,0,0,0">
              <w:txbxContent>
                <w:p w14:paraId="578F60F8" w14:textId="77777777" w:rsidR="00F93DE3" w:rsidRDefault="00F93DE3">
                  <w:pPr>
                    <w:spacing w:line="160" w:lineRule="exact"/>
                    <w:jc w:val="left"/>
                    <w:rPr>
                      <w:rFonts w:cs="Miriam" w:hint="cs"/>
                      <w:noProof/>
                      <w:szCs w:val="18"/>
                      <w:rtl/>
                    </w:rPr>
                  </w:pPr>
                  <w:r>
                    <w:rPr>
                      <w:rFonts w:cs="Miriam" w:hint="cs"/>
                      <w:szCs w:val="18"/>
                      <w:rtl/>
                    </w:rPr>
                    <w:t>הפחתה בשל התחשבות בהיקף מחזור המכירות</w:t>
                  </w:r>
                </w:p>
              </w:txbxContent>
            </v:textbox>
            <w10:anchorlock/>
          </v:rect>
        </w:pict>
      </w:r>
      <w:r>
        <w:rPr>
          <w:rStyle w:val="big-number"/>
          <w:rFonts w:hint="cs"/>
          <w:rtl/>
        </w:rPr>
        <w:t>4</w:t>
      </w:r>
      <w:r>
        <w:rPr>
          <w:rStyle w:val="big-number"/>
          <w:rtl/>
        </w:rPr>
        <w:t>.</w:t>
      </w:r>
      <w:r>
        <w:rPr>
          <w:rStyle w:val="big-number"/>
          <w:rtl/>
        </w:rPr>
        <w:tab/>
      </w:r>
      <w:r>
        <w:rPr>
          <w:rStyle w:val="default"/>
          <w:rFonts w:cs="FrankRuehl" w:hint="cs"/>
          <w:rtl/>
        </w:rPr>
        <w:t>(א)</w:t>
      </w:r>
      <w:r>
        <w:rPr>
          <w:rStyle w:val="default"/>
          <w:rFonts w:cs="FrankRuehl" w:hint="cs"/>
          <w:rtl/>
        </w:rPr>
        <w:tab/>
        <w:t>הופחת העיצום הכספי לפי תקנה 2 ומצאה הרשות המוסמכת שסכום העיצום הכספי עולה על 20% ממחזור המכירות הכולל של המפר, תפחית הרשות המוסמכת את הסכום כך שלא יעלה על הסכום השווה ל-20% ממחזור המכירות הכולל של המפר.</w:t>
      </w:r>
    </w:p>
    <w:p w14:paraId="738901FD" w14:textId="77777777" w:rsidR="00F93DE3" w:rsidRDefault="00F93DE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תקנת משנה (א) תחול גם לעניין עיצום כספי שלא הופחת לפי תקנות 2 ו-3.</w:t>
      </w:r>
    </w:p>
    <w:p w14:paraId="6A1E30EE" w14:textId="77777777" w:rsidR="00F93DE3" w:rsidRDefault="00F93DE3">
      <w:pPr>
        <w:pStyle w:val="P00"/>
        <w:spacing w:before="72"/>
        <w:ind w:left="0" w:right="1134"/>
        <w:rPr>
          <w:rStyle w:val="default"/>
          <w:rFonts w:cs="FrankRuehl" w:hint="cs"/>
          <w:rtl/>
        </w:rPr>
      </w:pPr>
    </w:p>
    <w:p w14:paraId="23481B91" w14:textId="77777777" w:rsidR="00F93DE3" w:rsidRDefault="00F93DE3">
      <w:pPr>
        <w:pStyle w:val="P00"/>
        <w:spacing w:before="72"/>
        <w:ind w:left="0" w:right="1134"/>
        <w:rPr>
          <w:rStyle w:val="default"/>
          <w:rFonts w:cs="FrankRuehl"/>
          <w:rtl/>
        </w:rPr>
      </w:pPr>
    </w:p>
    <w:p w14:paraId="20563BE1" w14:textId="77777777" w:rsidR="00F93DE3" w:rsidRDefault="00F93DE3">
      <w:pPr>
        <w:pStyle w:val="sig-1"/>
        <w:tabs>
          <w:tab w:val="clear" w:pos="851"/>
          <w:tab w:val="clear" w:pos="2835"/>
          <w:tab w:val="clear" w:pos="4820"/>
          <w:tab w:val="center" w:pos="5103"/>
        </w:tabs>
        <w:ind w:left="0" w:right="1134"/>
        <w:rPr>
          <w:rStyle w:val="default"/>
          <w:rFonts w:cs="FrankRuehl" w:hint="cs"/>
          <w:rtl/>
        </w:rPr>
      </w:pPr>
      <w:r>
        <w:rPr>
          <w:rStyle w:val="default"/>
          <w:rFonts w:cs="FrankRuehl" w:hint="cs"/>
          <w:rtl/>
        </w:rPr>
        <w:t>י"ד בשבט התשס"ח (21 בינואר 2008)</w:t>
      </w:r>
      <w:r>
        <w:rPr>
          <w:rStyle w:val="default"/>
          <w:rFonts w:cs="FrankRuehl" w:hint="cs"/>
          <w:rtl/>
        </w:rPr>
        <w:tab/>
        <w:t>אהוד ברק</w:t>
      </w:r>
    </w:p>
    <w:p w14:paraId="2743F50A" w14:textId="77777777" w:rsidR="00F93DE3" w:rsidRDefault="00F93DE3">
      <w:pPr>
        <w:pStyle w:val="sig-1"/>
        <w:tabs>
          <w:tab w:val="clear" w:pos="851"/>
          <w:tab w:val="clear" w:pos="2835"/>
          <w:tab w:val="clear" w:pos="4820"/>
          <w:tab w:val="center" w:pos="5103"/>
        </w:tabs>
        <w:ind w:left="0" w:right="1134"/>
        <w:rPr>
          <w:rStyle w:val="default"/>
          <w:rFonts w:cs="FrankRuehl" w:hint="cs"/>
          <w:sz w:val="22"/>
          <w:szCs w:val="22"/>
          <w:rtl/>
        </w:rPr>
      </w:pPr>
      <w:r>
        <w:rPr>
          <w:rStyle w:val="default"/>
          <w:rFonts w:cs="FrankRuehl" w:hint="cs"/>
          <w:sz w:val="22"/>
          <w:szCs w:val="22"/>
          <w:rtl/>
        </w:rPr>
        <w:tab/>
        <w:t>שר הביטחון</w:t>
      </w:r>
    </w:p>
    <w:p w14:paraId="751C535A" w14:textId="77777777" w:rsidR="00F93DE3" w:rsidRDefault="00F93DE3">
      <w:pPr>
        <w:pStyle w:val="P00"/>
        <w:spacing w:before="72"/>
        <w:ind w:left="0" w:right="1134"/>
        <w:rPr>
          <w:rStyle w:val="default"/>
          <w:rFonts w:cs="FrankRuehl" w:hint="cs"/>
          <w:rtl/>
        </w:rPr>
      </w:pPr>
    </w:p>
    <w:p w14:paraId="5AB691EA" w14:textId="77777777" w:rsidR="00F93DE3" w:rsidRDefault="00F93DE3">
      <w:pPr>
        <w:pStyle w:val="P00"/>
        <w:spacing w:before="72"/>
        <w:ind w:left="0" w:right="1134"/>
        <w:rPr>
          <w:rStyle w:val="default"/>
          <w:rFonts w:cs="FrankRuehl" w:hint="cs"/>
          <w:rtl/>
        </w:rPr>
      </w:pPr>
    </w:p>
    <w:p w14:paraId="29089F57" w14:textId="77777777" w:rsidR="00F93DE3" w:rsidRDefault="00F93DE3">
      <w:pPr>
        <w:pStyle w:val="P00"/>
        <w:spacing w:before="72"/>
        <w:ind w:left="0" w:right="1134"/>
        <w:rPr>
          <w:rStyle w:val="default"/>
          <w:rFonts w:cs="FrankRuehl"/>
          <w:rtl/>
        </w:rPr>
      </w:pPr>
      <w:bookmarkStart w:id="4" w:name="LawPartEnd"/>
      <w:bookmarkEnd w:id="4"/>
    </w:p>
    <w:sectPr w:rsidR="00F93DE3">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6E793" w14:textId="77777777" w:rsidR="000041B4" w:rsidRDefault="000041B4">
      <w:r>
        <w:separator/>
      </w:r>
    </w:p>
  </w:endnote>
  <w:endnote w:type="continuationSeparator" w:id="0">
    <w:p w14:paraId="26EB6F08" w14:textId="77777777" w:rsidR="000041B4" w:rsidRDefault="00004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C2388" w14:textId="77777777" w:rsidR="00F93DE3" w:rsidRDefault="00F93DE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10BF17F" w14:textId="77777777" w:rsidR="00F93DE3" w:rsidRDefault="00F93DE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23C6DDB" w14:textId="77777777" w:rsidR="00F93DE3" w:rsidRDefault="00F93DE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X:\2008-law\yael\08-02-14\table\999_911.doc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C0CCE" w14:textId="77777777" w:rsidR="00F93DE3" w:rsidRDefault="00F93DE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44592">
      <w:rPr>
        <w:rFonts w:hAnsi="FrankRuehl" w:cs="FrankRuehl"/>
        <w:noProof/>
        <w:sz w:val="24"/>
        <w:szCs w:val="24"/>
        <w:rtl/>
      </w:rPr>
      <w:t>2</w:t>
    </w:r>
    <w:r>
      <w:rPr>
        <w:rFonts w:hAnsi="FrankRuehl" w:cs="FrankRuehl"/>
        <w:sz w:val="24"/>
        <w:szCs w:val="24"/>
        <w:rtl/>
      </w:rPr>
      <w:fldChar w:fldCharType="end"/>
    </w:r>
  </w:p>
  <w:p w14:paraId="36A40372" w14:textId="77777777" w:rsidR="00F93DE3" w:rsidRDefault="00F93DE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D24F744" w14:textId="77777777" w:rsidR="00F93DE3" w:rsidRDefault="00F93DE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X:\2008-law\yael\08-02-14\table\999_911.doc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41328" w14:textId="77777777" w:rsidR="000041B4" w:rsidRDefault="000041B4">
      <w:pPr>
        <w:spacing w:before="60" w:line="240" w:lineRule="auto"/>
        <w:ind w:right="1134"/>
      </w:pPr>
      <w:r>
        <w:separator/>
      </w:r>
    </w:p>
  </w:footnote>
  <w:footnote w:type="continuationSeparator" w:id="0">
    <w:p w14:paraId="22C52271" w14:textId="77777777" w:rsidR="000041B4" w:rsidRDefault="000041B4">
      <w:r>
        <w:continuationSeparator/>
      </w:r>
    </w:p>
  </w:footnote>
  <w:footnote w:id="1">
    <w:p w14:paraId="64BD7A51" w14:textId="77777777" w:rsidR="00F93DE3" w:rsidRDefault="00F93DE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Pr>
            <w:rStyle w:val="Hyperlink"/>
            <w:rFonts w:hint="cs"/>
            <w:sz w:val="20"/>
            <w:rtl/>
          </w:rPr>
          <w:t>ק"ת תשס"ח מס' 6646</w:t>
        </w:r>
      </w:hyperlink>
      <w:r>
        <w:rPr>
          <w:rFonts w:hint="cs"/>
          <w:sz w:val="20"/>
          <w:rtl/>
        </w:rPr>
        <w:t xml:space="preserve"> מיום 12.2.2008 עמ' 465.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CD2D7" w14:textId="77777777" w:rsidR="00F93DE3" w:rsidRDefault="00F93DE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59A14ADC" w14:textId="77777777" w:rsidR="00F93DE3" w:rsidRDefault="00F93DE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BC1C213" w14:textId="77777777" w:rsidR="00F93DE3" w:rsidRDefault="00F93DE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7A918" w14:textId="77777777" w:rsidR="00F93DE3" w:rsidRDefault="00F93DE3">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הפיקוח על יצוא ביטחוני (הפחתה של העיצום הכספי)</w:t>
    </w:r>
    <w:r>
      <w:rPr>
        <w:rFonts w:hAnsi="FrankRuehl" w:cs="FrankRuehl"/>
        <w:color w:val="000000"/>
        <w:sz w:val="28"/>
        <w:szCs w:val="28"/>
        <w:rtl/>
      </w:rPr>
      <w:t>, תשס"</w:t>
    </w:r>
    <w:r>
      <w:rPr>
        <w:rFonts w:hAnsi="FrankRuehl" w:cs="FrankRuehl" w:hint="cs"/>
        <w:color w:val="000000"/>
        <w:sz w:val="28"/>
        <w:szCs w:val="28"/>
        <w:rtl/>
      </w:rPr>
      <w:t>ח-</w:t>
    </w:r>
    <w:r>
      <w:rPr>
        <w:rFonts w:hAnsi="FrankRuehl" w:cs="FrankRuehl"/>
        <w:color w:val="000000"/>
        <w:sz w:val="28"/>
        <w:szCs w:val="28"/>
        <w:rtl/>
      </w:rPr>
      <w:t>200</w:t>
    </w:r>
    <w:r>
      <w:rPr>
        <w:rFonts w:hAnsi="FrankRuehl" w:cs="FrankRuehl" w:hint="cs"/>
        <w:color w:val="000000"/>
        <w:sz w:val="28"/>
        <w:szCs w:val="28"/>
        <w:rtl/>
      </w:rPr>
      <w:t>8</w:t>
    </w:r>
  </w:p>
  <w:p w14:paraId="790EED22" w14:textId="77777777" w:rsidR="00F93DE3" w:rsidRDefault="00F93DE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CAC3560" w14:textId="77777777" w:rsidR="00F93DE3" w:rsidRDefault="00F93DE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56F9"/>
    <w:rsid w:val="000041B4"/>
    <w:rsid w:val="001956F9"/>
    <w:rsid w:val="004775A9"/>
    <w:rsid w:val="007C17E3"/>
    <w:rsid w:val="00901C10"/>
    <w:rsid w:val="00CC622E"/>
    <w:rsid w:val="00D44592"/>
    <w:rsid w:val="00F93DE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F91A9BD"/>
  <w15:chartTrackingRefBased/>
  <w15:docId w15:val="{90041795-C39E-4277-BF88-2EEE83FE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eb1.nevo.co.il/Law_word/law06/tak-664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2333</CharactersWithSpaces>
  <SharedDoc>false</SharedDoc>
  <HLinks>
    <vt:vector size="30" baseType="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3014669</vt:i4>
      </vt:variant>
      <vt:variant>
        <vt:i4>0</vt:i4>
      </vt:variant>
      <vt:variant>
        <vt:i4>0</vt:i4>
      </vt:variant>
      <vt:variant>
        <vt:i4>5</vt:i4>
      </vt:variant>
      <vt:variant>
        <vt:lpwstr>http://web1.nevo.co.il/Law_word/law06/tak-6646.pdf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eli</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ביטחון</vt:lpwstr>
  </property>
  <property fmtid="{D5CDD505-2E9C-101B-9397-08002B2CF9AE}" pid="4" name="LAWNAME">
    <vt:lpwstr>תקנות הפיקוח על יצוא ביטחוני (הפחתה של העיצום הכספי), תשס"ח-2008</vt:lpwstr>
  </property>
  <property fmtid="{D5CDD505-2E9C-101B-9397-08002B2CF9AE}" pid="5" name="LAWNUMBER">
    <vt:lpwstr>0911</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http://web1.nevo.co.il/Law_word/law06/tak-6646.pdf;רשומות - תקנות כלליות#פורסמו ק"ת תשס"ח מס' 6646 #מיום 12.2.2008 עמ' 465</vt:lpwstr>
  </property>
  <property fmtid="{D5CDD505-2E9C-101B-9397-08002B2CF9AE}" pid="22" name="NOSE11">
    <vt:lpwstr>בטחון</vt:lpwstr>
  </property>
  <property fmtid="{D5CDD505-2E9C-101B-9397-08002B2CF9AE}" pid="23" name="NOSE21">
    <vt:lpwstr>יצוא ביטחוני</vt:lpwstr>
  </property>
  <property fmtid="{D5CDD505-2E9C-101B-9397-08002B2CF9AE}" pid="24" name="NOSE31">
    <vt:lpwstr/>
  </property>
  <property fmtid="{D5CDD505-2E9C-101B-9397-08002B2CF9AE}" pid="25" name="NOSE41">
    <vt:lpwstr/>
  </property>
  <property fmtid="{D5CDD505-2E9C-101B-9397-08002B2CF9AE}" pid="26" name="NOSE12">
    <vt:lpwstr>משפט פרטי וכלכלה</vt:lpwstr>
  </property>
  <property fmtid="{D5CDD505-2E9C-101B-9397-08002B2CF9AE}" pid="27" name="NOSE22">
    <vt:lpwstr>מסחר </vt:lpwstr>
  </property>
  <property fmtid="{D5CDD505-2E9C-101B-9397-08002B2CF9AE}" pid="28" name="NOSE32">
    <vt:lpwstr>יצוא</vt:lpwstr>
  </property>
  <property fmtid="{D5CDD505-2E9C-101B-9397-08002B2CF9AE}" pid="29" name="NOSE42">
    <vt:lpwstr>יצוא בטחוני</vt:lpwstr>
  </property>
  <property fmtid="{D5CDD505-2E9C-101B-9397-08002B2CF9AE}" pid="30" name="NOSE13">
    <vt:lpwstr>עונשין ומשפט פלילי</vt:lpwstr>
  </property>
  <property fmtid="{D5CDD505-2E9C-101B-9397-08002B2CF9AE}" pid="31" name="NOSE23">
    <vt:lpwstr>ענישה, מאסר ומעצר</vt:lpwstr>
  </property>
  <property fmtid="{D5CDD505-2E9C-101B-9397-08002B2CF9AE}" pid="32" name="NOSE33">
    <vt:lpwstr>עיצום כספי</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הפיקוח על יצוא ביטחוני</vt:lpwstr>
  </property>
  <property fmtid="{D5CDD505-2E9C-101B-9397-08002B2CF9AE}" pid="63" name="MEKOR_SAIF1">
    <vt:lpwstr>38XבX;45X</vt:lpwstr>
  </property>
</Properties>
</file>