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9E3" w:rsidRDefault="00A309E3">
      <w:pPr>
        <w:pStyle w:val="big-header"/>
        <w:ind w:left="0" w:right="1134"/>
        <w:rPr>
          <w:rFonts w:hint="cs"/>
          <w:rtl/>
        </w:rPr>
      </w:pPr>
      <w:r>
        <w:rPr>
          <w:rFonts w:hint="cs"/>
          <w:rtl/>
        </w:rPr>
        <w:t>תקנות הפיקוח על יצוא ביטחוני (הפחתה של סכומי הקנס האזרחי)</w:t>
      </w:r>
      <w:r>
        <w:rPr>
          <w:rtl/>
        </w:rPr>
        <w:t xml:space="preserve">, </w:t>
      </w:r>
      <w:r>
        <w:rPr>
          <w:rFonts w:hint="cs"/>
          <w:rtl/>
        </w:rPr>
        <w:br/>
      </w:r>
      <w:r>
        <w:rPr>
          <w:rtl/>
        </w:rPr>
        <w:t>תשס"</w:t>
      </w:r>
      <w:r>
        <w:rPr>
          <w:rFonts w:hint="cs"/>
          <w:rtl/>
        </w:rPr>
        <w:t>ח</w:t>
      </w:r>
      <w:r>
        <w:rPr>
          <w:rtl/>
        </w:rPr>
        <w:t>-200</w:t>
      </w:r>
      <w:r>
        <w:rPr>
          <w:rFonts w:hint="cs"/>
          <w:rtl/>
        </w:rPr>
        <w:t>8</w:t>
      </w:r>
    </w:p>
    <w:p w:rsidR="00E800CB" w:rsidRPr="00E800CB" w:rsidRDefault="00E800CB" w:rsidP="00E800CB">
      <w:pPr>
        <w:spacing w:line="320" w:lineRule="auto"/>
        <w:jc w:val="left"/>
        <w:rPr>
          <w:rFonts w:cs="FrankRuehl"/>
          <w:szCs w:val="26"/>
          <w:rtl/>
        </w:rPr>
      </w:pPr>
    </w:p>
    <w:p w:rsidR="00E800CB" w:rsidRDefault="00E800CB" w:rsidP="00E800CB">
      <w:pPr>
        <w:spacing w:line="320" w:lineRule="auto"/>
        <w:jc w:val="left"/>
        <w:rPr>
          <w:rFonts w:cs="Miriam"/>
          <w:szCs w:val="22"/>
          <w:rtl/>
        </w:rPr>
      </w:pPr>
      <w:r w:rsidRPr="00E800CB">
        <w:rPr>
          <w:rFonts w:cs="Miriam"/>
          <w:szCs w:val="22"/>
          <w:rtl/>
        </w:rPr>
        <w:t>בטחון</w:t>
      </w:r>
      <w:r w:rsidRPr="00E800CB">
        <w:rPr>
          <w:rFonts w:cs="FrankRuehl"/>
          <w:szCs w:val="26"/>
          <w:rtl/>
        </w:rPr>
        <w:t xml:space="preserve"> – יצוא ביטחוני</w:t>
      </w:r>
    </w:p>
    <w:p w:rsidR="00BC31F6" w:rsidRPr="00E800CB" w:rsidRDefault="00E800CB" w:rsidP="00E800CB">
      <w:pPr>
        <w:spacing w:line="320" w:lineRule="auto"/>
        <w:jc w:val="left"/>
        <w:rPr>
          <w:rFonts w:cs="Miriam"/>
          <w:szCs w:val="22"/>
          <w:rtl/>
        </w:rPr>
      </w:pPr>
      <w:r w:rsidRPr="00E800CB">
        <w:rPr>
          <w:rFonts w:cs="Miriam"/>
          <w:szCs w:val="22"/>
          <w:rtl/>
        </w:rPr>
        <w:t>משפט פרטי וכלכלה</w:t>
      </w:r>
      <w:r w:rsidRPr="00E800CB">
        <w:rPr>
          <w:rFonts w:cs="FrankRuehl"/>
          <w:szCs w:val="26"/>
          <w:rtl/>
        </w:rPr>
        <w:t xml:space="preserve"> – מסחר  – יצוא – יצוא בטחוני</w:t>
      </w:r>
    </w:p>
    <w:p w:rsidR="00A309E3" w:rsidRDefault="00A309E3">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309E3">
        <w:tblPrEx>
          <w:tblCellMar>
            <w:top w:w="0" w:type="dxa"/>
            <w:bottom w:w="0" w:type="dxa"/>
          </w:tblCellMar>
        </w:tblPrEx>
        <w:trPr>
          <w:jc w:val="right"/>
        </w:trPr>
        <w:tc>
          <w:tcPr>
            <w:tcW w:w="850" w:type="dxa"/>
          </w:tcPr>
          <w:p w:rsidR="00A309E3" w:rsidRDefault="00A309E3">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A309E3" w:rsidRDefault="00A309E3">
            <w:pPr>
              <w:spacing w:line="240" w:lineRule="auto"/>
              <w:jc w:val="left"/>
              <w:rPr>
                <w:rFonts w:cs="Frankruhel" w:hint="cs"/>
                <w:sz w:val="24"/>
              </w:rPr>
            </w:pPr>
            <w:hyperlink w:anchor="Seif0" w:tooltip="הגדרה" w:history="1">
              <w:r>
                <w:rPr>
                  <w:rStyle w:val="Hyperlink"/>
                </w:rPr>
                <w:t>Go</w:t>
              </w:r>
            </w:hyperlink>
          </w:p>
        </w:tc>
        <w:tc>
          <w:tcPr>
            <w:tcW w:w="5669" w:type="dxa"/>
          </w:tcPr>
          <w:p w:rsidR="00A309E3" w:rsidRDefault="00A309E3">
            <w:pPr>
              <w:spacing w:line="240" w:lineRule="auto"/>
              <w:jc w:val="left"/>
              <w:rPr>
                <w:rFonts w:cs="Frankruhel"/>
                <w:sz w:val="24"/>
                <w:rtl/>
              </w:rPr>
            </w:pPr>
            <w:r>
              <w:rPr>
                <w:rFonts w:cs="Frankruhel"/>
                <w:sz w:val="24"/>
                <w:rtl/>
              </w:rPr>
              <w:t>הגדרה</w:t>
            </w:r>
          </w:p>
        </w:tc>
        <w:tc>
          <w:tcPr>
            <w:tcW w:w="1247" w:type="dxa"/>
          </w:tcPr>
          <w:p w:rsidR="00A309E3" w:rsidRDefault="00A309E3">
            <w:pPr>
              <w:spacing w:line="240" w:lineRule="auto"/>
              <w:jc w:val="left"/>
              <w:rPr>
                <w:rFonts w:cs="Frankruhel" w:hint="cs"/>
                <w:sz w:val="24"/>
              </w:rPr>
            </w:pPr>
            <w:r>
              <w:rPr>
                <w:rFonts w:cs="Frankruhel"/>
                <w:sz w:val="24"/>
                <w:rtl/>
              </w:rPr>
              <w:t xml:space="preserve">סעיף 1 </w:t>
            </w:r>
          </w:p>
        </w:tc>
      </w:tr>
      <w:tr w:rsidR="00A309E3">
        <w:tblPrEx>
          <w:tblCellMar>
            <w:top w:w="0" w:type="dxa"/>
            <w:bottom w:w="0" w:type="dxa"/>
          </w:tblCellMar>
        </w:tblPrEx>
        <w:trPr>
          <w:jc w:val="right"/>
        </w:trPr>
        <w:tc>
          <w:tcPr>
            <w:tcW w:w="850" w:type="dxa"/>
          </w:tcPr>
          <w:p w:rsidR="00A309E3" w:rsidRDefault="00A309E3">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A309E3" w:rsidRDefault="00A309E3">
            <w:pPr>
              <w:spacing w:line="240" w:lineRule="auto"/>
              <w:jc w:val="left"/>
              <w:rPr>
                <w:rFonts w:cs="Frankruhel" w:hint="cs"/>
                <w:sz w:val="24"/>
              </w:rPr>
            </w:pPr>
            <w:hyperlink w:anchor="Seif1" w:tooltip="הפחתת סכומי הקנס האזרחי" w:history="1">
              <w:r>
                <w:rPr>
                  <w:rStyle w:val="Hyperlink"/>
                </w:rPr>
                <w:t>Go</w:t>
              </w:r>
            </w:hyperlink>
          </w:p>
        </w:tc>
        <w:tc>
          <w:tcPr>
            <w:tcW w:w="5669" w:type="dxa"/>
          </w:tcPr>
          <w:p w:rsidR="00A309E3" w:rsidRDefault="00A309E3">
            <w:pPr>
              <w:spacing w:line="240" w:lineRule="auto"/>
              <w:jc w:val="left"/>
              <w:rPr>
                <w:rFonts w:cs="Frankruhel"/>
                <w:sz w:val="24"/>
                <w:rtl/>
              </w:rPr>
            </w:pPr>
            <w:r>
              <w:rPr>
                <w:rFonts w:cs="Frankruhel"/>
                <w:sz w:val="24"/>
                <w:rtl/>
              </w:rPr>
              <w:t>הפחתת סכומי הקנס האזרחי</w:t>
            </w:r>
          </w:p>
        </w:tc>
        <w:tc>
          <w:tcPr>
            <w:tcW w:w="1247" w:type="dxa"/>
          </w:tcPr>
          <w:p w:rsidR="00A309E3" w:rsidRDefault="00A309E3">
            <w:pPr>
              <w:spacing w:line="240" w:lineRule="auto"/>
              <w:jc w:val="left"/>
              <w:rPr>
                <w:rFonts w:cs="Frankruhel" w:hint="cs"/>
                <w:sz w:val="24"/>
              </w:rPr>
            </w:pPr>
            <w:r>
              <w:rPr>
                <w:rFonts w:cs="Frankruhel"/>
                <w:sz w:val="24"/>
                <w:rtl/>
              </w:rPr>
              <w:t xml:space="preserve">סעיף 2 </w:t>
            </w:r>
          </w:p>
        </w:tc>
      </w:tr>
      <w:tr w:rsidR="00A309E3">
        <w:tblPrEx>
          <w:tblCellMar>
            <w:top w:w="0" w:type="dxa"/>
            <w:bottom w:w="0" w:type="dxa"/>
          </w:tblCellMar>
        </w:tblPrEx>
        <w:trPr>
          <w:jc w:val="right"/>
        </w:trPr>
        <w:tc>
          <w:tcPr>
            <w:tcW w:w="850" w:type="dxa"/>
          </w:tcPr>
          <w:p w:rsidR="00A309E3" w:rsidRDefault="00A309E3">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A309E3" w:rsidRDefault="00A309E3">
            <w:pPr>
              <w:spacing w:line="240" w:lineRule="auto"/>
              <w:jc w:val="left"/>
              <w:rPr>
                <w:rFonts w:cs="Frankruhel" w:hint="cs"/>
                <w:sz w:val="24"/>
              </w:rPr>
            </w:pPr>
            <w:hyperlink w:anchor="Seif2" w:tooltip="הפחתה בשל התחשבות בהיקף מחזור המכירות" w:history="1">
              <w:r>
                <w:rPr>
                  <w:rStyle w:val="Hyperlink"/>
                </w:rPr>
                <w:t>Go</w:t>
              </w:r>
            </w:hyperlink>
          </w:p>
        </w:tc>
        <w:tc>
          <w:tcPr>
            <w:tcW w:w="5669" w:type="dxa"/>
          </w:tcPr>
          <w:p w:rsidR="00A309E3" w:rsidRDefault="00A309E3">
            <w:pPr>
              <w:spacing w:line="240" w:lineRule="auto"/>
              <w:jc w:val="left"/>
              <w:rPr>
                <w:rFonts w:cs="Frankruhel"/>
                <w:sz w:val="24"/>
                <w:rtl/>
              </w:rPr>
            </w:pPr>
            <w:r>
              <w:rPr>
                <w:rFonts w:cs="Frankruhel"/>
                <w:sz w:val="24"/>
                <w:rtl/>
              </w:rPr>
              <w:t>הפחתה בשל התחשבות בהיקף מחזור המכירות</w:t>
            </w:r>
          </w:p>
        </w:tc>
        <w:tc>
          <w:tcPr>
            <w:tcW w:w="1247" w:type="dxa"/>
          </w:tcPr>
          <w:p w:rsidR="00A309E3" w:rsidRDefault="00A309E3">
            <w:pPr>
              <w:spacing w:line="240" w:lineRule="auto"/>
              <w:jc w:val="left"/>
              <w:rPr>
                <w:rFonts w:cs="Frankruhel" w:hint="cs"/>
                <w:sz w:val="24"/>
              </w:rPr>
            </w:pPr>
            <w:r>
              <w:rPr>
                <w:rFonts w:cs="Frankruhel"/>
                <w:sz w:val="24"/>
                <w:rtl/>
              </w:rPr>
              <w:t xml:space="preserve">סעיף 3 </w:t>
            </w:r>
          </w:p>
        </w:tc>
      </w:tr>
    </w:tbl>
    <w:p w:rsidR="00A309E3" w:rsidRDefault="00A309E3">
      <w:pPr>
        <w:pStyle w:val="big-header"/>
        <w:ind w:left="0" w:right="1134"/>
        <w:rPr>
          <w:rFonts w:hint="cs"/>
          <w:rtl/>
        </w:rPr>
      </w:pPr>
    </w:p>
    <w:p w:rsidR="00A309E3" w:rsidRDefault="00A309E3" w:rsidP="00BC31F6">
      <w:pPr>
        <w:pStyle w:val="big-header"/>
        <w:ind w:left="0" w:right="1134"/>
        <w:rPr>
          <w:rFonts w:hint="cs"/>
          <w:rtl/>
        </w:rPr>
      </w:pPr>
      <w:r>
        <w:rPr>
          <w:rtl/>
        </w:rPr>
        <w:br w:type="page"/>
      </w:r>
      <w:r>
        <w:rPr>
          <w:rFonts w:hint="cs"/>
          <w:rtl/>
        </w:rPr>
        <w:lastRenderedPageBreak/>
        <w:t>תקנות הפיקוח על יצוא ביטחוני (הפחתה של סכומי הקנס האזרחי)</w:t>
      </w:r>
      <w:r>
        <w:rPr>
          <w:rtl/>
        </w:rPr>
        <w:t xml:space="preserve">, </w:t>
      </w:r>
      <w:r>
        <w:rPr>
          <w:rFonts w:hint="cs"/>
          <w:rtl/>
        </w:rPr>
        <w:br/>
      </w:r>
      <w:r>
        <w:rPr>
          <w:rtl/>
        </w:rPr>
        <w:t>תשס"</w:t>
      </w:r>
      <w:r>
        <w:rPr>
          <w:rFonts w:hint="cs"/>
          <w:rtl/>
        </w:rPr>
        <w:t>ח</w:t>
      </w:r>
      <w:r>
        <w:rPr>
          <w:rtl/>
        </w:rPr>
        <w:t>-200</w:t>
      </w:r>
      <w:r>
        <w:rPr>
          <w:rFonts w:hint="cs"/>
          <w:rtl/>
        </w:rPr>
        <w:t>8</w:t>
      </w:r>
      <w:r>
        <w:rPr>
          <w:rStyle w:val="default"/>
          <w:sz w:val="22"/>
          <w:szCs w:val="22"/>
          <w:rtl/>
        </w:rPr>
        <w:footnoteReference w:customMarkFollows="1" w:id="1"/>
        <w:t>*</w:t>
      </w:r>
    </w:p>
    <w:p w:rsidR="00A309E3" w:rsidRDefault="00A309E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38(ב) ו-45 לחוק הפיקוח על יצוא ביטחוני, התשס"ז-2007 (להלן </w:t>
      </w:r>
      <w:r>
        <w:rPr>
          <w:rStyle w:val="default"/>
          <w:rFonts w:cs="FrankRuehl"/>
          <w:rtl/>
        </w:rPr>
        <w:t>–</w:t>
      </w:r>
      <w:r>
        <w:rPr>
          <w:rStyle w:val="default"/>
          <w:rFonts w:cs="FrankRuehl" w:hint="cs"/>
          <w:rtl/>
        </w:rPr>
        <w:t xml:space="preserve"> החוק), בהסכמת שר המשפטים ובאישור ועדת החוץ והביטחון של הכנסת, אני מתקין תקנות אלה:</w:t>
      </w:r>
    </w:p>
    <w:p w:rsidR="00A309E3" w:rsidRDefault="00A309E3">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8pt;z-index:251656704" o:allowincell="f" filled="f" stroked="f" strokecolor="lime" strokeweight=".25pt">
            <v:textbox style="mso-next-textbox:#_x0000_s1026" inset="0,0,0,0">
              <w:txbxContent>
                <w:p w:rsidR="00A309E3" w:rsidRDefault="00A309E3">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tl/>
        </w:rPr>
        <w:t>1.</w:t>
      </w:r>
      <w:r>
        <w:rPr>
          <w:rStyle w:val="big-number"/>
          <w:rtl/>
        </w:rPr>
        <w:tab/>
      </w:r>
      <w:r>
        <w:rPr>
          <w:rStyle w:val="default"/>
          <w:rFonts w:cs="FrankRuehl" w:hint="cs"/>
          <w:rtl/>
        </w:rPr>
        <w:t xml:space="preserve">בתקנות אלה, "הוראה" </w:t>
      </w:r>
      <w:r>
        <w:rPr>
          <w:rStyle w:val="default"/>
          <w:rFonts w:cs="FrankRuehl"/>
          <w:rtl/>
        </w:rPr>
        <w:t>–</w:t>
      </w:r>
      <w:r>
        <w:rPr>
          <w:rStyle w:val="default"/>
          <w:rFonts w:cs="FrankRuehl" w:hint="cs"/>
          <w:rtl/>
        </w:rPr>
        <w:t xml:space="preserve"> הוראה המפורטת בסעיף 35 לחוק אשר בשל הפרתה מוסמכת הרשות המוסמכת להטיל קנס אזרחי.</w:t>
      </w:r>
    </w:p>
    <w:p w:rsidR="00A309E3" w:rsidRDefault="00A309E3">
      <w:pPr>
        <w:pStyle w:val="P00"/>
        <w:spacing w:before="72"/>
        <w:ind w:left="0" w:right="1134"/>
        <w:rPr>
          <w:rStyle w:val="default"/>
          <w:rFonts w:cs="FrankRuehl" w:hint="cs"/>
          <w:rtl/>
        </w:rPr>
      </w:pPr>
      <w:bookmarkStart w:id="1" w:name="Seif1"/>
      <w:bookmarkEnd w:id="1"/>
      <w:r>
        <w:rPr>
          <w:lang w:val="he-IL"/>
        </w:rPr>
        <w:pict>
          <v:rect id="_x0000_s1049" style="position:absolute;left:0;text-align:left;margin-left:464.5pt;margin-top:8.05pt;width:75.05pt;height:16.8pt;z-index:251657728" o:allowincell="f" filled="f" stroked="f" strokecolor="lime" strokeweight=".25pt">
            <v:textbox style="mso-next-textbox:#_x0000_s1049" inset="0,0,0,0">
              <w:txbxContent>
                <w:p w:rsidR="00A309E3" w:rsidRDefault="00A309E3">
                  <w:pPr>
                    <w:spacing w:line="160" w:lineRule="exact"/>
                    <w:jc w:val="left"/>
                    <w:rPr>
                      <w:rFonts w:cs="Miriam" w:hint="cs"/>
                      <w:noProof/>
                      <w:szCs w:val="18"/>
                      <w:rtl/>
                    </w:rPr>
                  </w:pPr>
                  <w:r>
                    <w:rPr>
                      <w:rFonts w:cs="Miriam" w:hint="cs"/>
                      <w:szCs w:val="18"/>
                      <w:rtl/>
                    </w:rPr>
                    <w:t>הפחתת סכומי הקנס האזרחי</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מצאה הרשות המוסמכת כי נתקיימו נסיבות שלפיהן ניתן להטיל על אדם קנס אזרחי לפי סעיף 35 לחוק ונתקיימו אחת או יותר מן הנסיבות המנויות להלן, תפחית לאותו אדם מסכום הקנס האזרחי את השיעור הנקוב לצד אותה נסיבה, ובהתקיים כמה נסיבות </w:t>
      </w:r>
      <w:r>
        <w:rPr>
          <w:rStyle w:val="default"/>
          <w:rFonts w:cs="FrankRuehl"/>
          <w:rtl/>
        </w:rPr>
        <w:t>–</w:t>
      </w:r>
      <w:r>
        <w:rPr>
          <w:rStyle w:val="default"/>
          <w:rFonts w:cs="FrankRuehl" w:hint="cs"/>
          <w:rtl/>
        </w:rPr>
        <w:t xml:space="preserve"> בשיעור המצטבר של השיעורים המנויים לצדן:</w:t>
      </w:r>
    </w:p>
    <w:p w:rsidR="00A309E3" w:rsidRDefault="00A309E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המפר לא הפר אותה הוראה בעבר </w:t>
      </w:r>
      <w:r>
        <w:rPr>
          <w:rStyle w:val="default"/>
          <w:rFonts w:cs="FrankRuehl"/>
          <w:rtl/>
        </w:rPr>
        <w:t>–</w:t>
      </w:r>
      <w:r>
        <w:rPr>
          <w:rStyle w:val="default"/>
          <w:rFonts w:cs="FrankRuehl" w:hint="cs"/>
          <w:rtl/>
        </w:rPr>
        <w:t xml:space="preserve"> 50%;</w:t>
      </w:r>
    </w:p>
    <w:p w:rsidR="00A309E3" w:rsidRDefault="00A309E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ודיווח עליה לרשות המוסמכת </w:t>
      </w:r>
      <w:r>
        <w:rPr>
          <w:rStyle w:val="default"/>
          <w:rFonts w:cs="FrankRuehl"/>
          <w:rtl/>
        </w:rPr>
        <w:t>–</w:t>
      </w:r>
      <w:r>
        <w:rPr>
          <w:rStyle w:val="default"/>
          <w:rFonts w:cs="FrankRuehl" w:hint="cs"/>
          <w:rtl/>
        </w:rPr>
        <w:t xml:space="preserve"> 25%;</w:t>
      </w:r>
    </w:p>
    <w:p w:rsidR="00A309E3" w:rsidRDefault="00A309E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המפר נקט פעולות למניעת הישנות ההפרה ולהקטנת הנזק, להנחת דעתה של הרשות המוסמכת </w:t>
      </w:r>
      <w:r>
        <w:rPr>
          <w:rStyle w:val="default"/>
          <w:rFonts w:cs="FrankRuehl"/>
          <w:rtl/>
        </w:rPr>
        <w:t>–</w:t>
      </w:r>
      <w:r>
        <w:rPr>
          <w:rStyle w:val="default"/>
          <w:rFonts w:cs="FrankRuehl" w:hint="cs"/>
          <w:rtl/>
        </w:rPr>
        <w:t xml:space="preserve"> 15%.</w:t>
      </w:r>
    </w:p>
    <w:p w:rsidR="00A309E3" w:rsidRDefault="00A309E3">
      <w:pPr>
        <w:pStyle w:val="P00"/>
        <w:spacing w:before="72"/>
        <w:ind w:left="0" w:right="1134"/>
        <w:rPr>
          <w:rStyle w:val="default"/>
          <w:rFonts w:cs="FrankRuehl" w:hint="cs"/>
          <w:rtl/>
        </w:rPr>
      </w:pPr>
      <w:bookmarkStart w:id="2" w:name="Seif2"/>
      <w:bookmarkEnd w:id="2"/>
      <w:r>
        <w:rPr>
          <w:lang w:val="he-IL"/>
        </w:rPr>
        <w:pict>
          <v:rect id="_x0000_s1063" style="position:absolute;left:0;text-align:left;margin-left:464.5pt;margin-top:8.05pt;width:75.05pt;height:31.25pt;z-index:251658752" o:allowincell="f" filled="f" stroked="f" strokecolor="lime" strokeweight=".25pt">
            <v:textbox style="mso-next-textbox:#_x0000_s1063" inset="0,0,0,0">
              <w:txbxContent>
                <w:p w:rsidR="00A309E3" w:rsidRDefault="00A309E3">
                  <w:pPr>
                    <w:spacing w:line="160" w:lineRule="exact"/>
                    <w:jc w:val="left"/>
                    <w:rPr>
                      <w:rFonts w:cs="Miriam" w:hint="cs"/>
                      <w:noProof/>
                      <w:szCs w:val="18"/>
                      <w:rtl/>
                    </w:rPr>
                  </w:pPr>
                  <w:r>
                    <w:rPr>
                      <w:rFonts w:cs="Miriam" w:hint="cs"/>
                      <w:szCs w:val="18"/>
                      <w:rtl/>
                    </w:rPr>
                    <w:t>הפחתה בשל התחשבות בהיקף מחזור המכירות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הופחת הקנס האזרחי לפי תקנה 2 ומצאה הרשות המוסמכת שסכום הקנס האזרחי עולה על 20% ממחזור המכירות הכולל של המפר, תפחית את הסכום כך שלא יעלה על הסכום השווה ל-20% ממחזור המכירות הכולל של המפר.</w:t>
      </w:r>
    </w:p>
    <w:p w:rsidR="00A309E3" w:rsidRDefault="00A309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גם לעניין קנס אזרחי שלא הופחת לפי תקנה 2.</w:t>
      </w:r>
    </w:p>
    <w:p w:rsidR="00A309E3" w:rsidRDefault="00A309E3">
      <w:pPr>
        <w:pStyle w:val="P00"/>
        <w:spacing w:before="72"/>
        <w:ind w:left="0" w:right="1134"/>
        <w:rPr>
          <w:rStyle w:val="default"/>
          <w:rFonts w:cs="FrankRuehl" w:hint="cs"/>
          <w:rtl/>
        </w:rPr>
      </w:pPr>
    </w:p>
    <w:p w:rsidR="00A309E3" w:rsidRDefault="00A309E3">
      <w:pPr>
        <w:pStyle w:val="P00"/>
        <w:spacing w:before="72"/>
        <w:ind w:left="0" w:right="1134"/>
        <w:rPr>
          <w:rStyle w:val="default"/>
          <w:rFonts w:cs="FrankRuehl"/>
          <w:rtl/>
        </w:rPr>
      </w:pPr>
    </w:p>
    <w:p w:rsidR="00A309E3" w:rsidRDefault="00A309E3">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בשבט התשס"ח (21 בינואר 2008)</w:t>
      </w:r>
      <w:r>
        <w:rPr>
          <w:rStyle w:val="default"/>
          <w:rFonts w:cs="FrankRuehl" w:hint="cs"/>
          <w:rtl/>
        </w:rPr>
        <w:tab/>
        <w:t>אהוד ברק</w:t>
      </w:r>
    </w:p>
    <w:p w:rsidR="00A309E3" w:rsidRDefault="00A309E3">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הביטחון</w:t>
      </w:r>
    </w:p>
    <w:p w:rsidR="00A309E3" w:rsidRDefault="00A309E3">
      <w:pPr>
        <w:pStyle w:val="P00"/>
        <w:spacing w:before="72"/>
        <w:ind w:left="0" w:right="1134"/>
        <w:rPr>
          <w:rStyle w:val="default"/>
          <w:rFonts w:cs="FrankRuehl" w:hint="cs"/>
          <w:rtl/>
        </w:rPr>
      </w:pPr>
    </w:p>
    <w:p w:rsidR="00A309E3" w:rsidRDefault="00A309E3">
      <w:pPr>
        <w:pStyle w:val="P00"/>
        <w:spacing w:before="72"/>
        <w:ind w:left="0" w:right="1134"/>
        <w:rPr>
          <w:rStyle w:val="default"/>
          <w:rFonts w:cs="FrankRuehl" w:hint="cs"/>
          <w:rtl/>
        </w:rPr>
      </w:pPr>
    </w:p>
    <w:p w:rsidR="00A309E3" w:rsidRDefault="00A309E3">
      <w:pPr>
        <w:pStyle w:val="P00"/>
        <w:spacing w:before="72"/>
        <w:ind w:left="0" w:right="1134"/>
        <w:rPr>
          <w:rStyle w:val="default"/>
          <w:rFonts w:cs="FrankRuehl"/>
          <w:rtl/>
        </w:rPr>
      </w:pPr>
      <w:bookmarkStart w:id="3" w:name="LawPartEnd"/>
      <w:bookmarkEnd w:id="3"/>
    </w:p>
    <w:sectPr w:rsidR="00A309E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C4D" w:rsidRDefault="00525C4D">
      <w:r>
        <w:separator/>
      </w:r>
    </w:p>
  </w:endnote>
  <w:endnote w:type="continuationSeparator" w:id="0">
    <w:p w:rsidR="00525C4D" w:rsidRDefault="0052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9E3" w:rsidRDefault="00A309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309E3" w:rsidRDefault="00A309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309E3" w:rsidRDefault="00A309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9E3" w:rsidRDefault="00A309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1724">
      <w:rPr>
        <w:rFonts w:hAnsi="FrankRuehl" w:cs="FrankRuehl"/>
        <w:noProof/>
        <w:sz w:val="24"/>
        <w:szCs w:val="24"/>
        <w:rtl/>
      </w:rPr>
      <w:t>2</w:t>
    </w:r>
    <w:r>
      <w:rPr>
        <w:rFonts w:hAnsi="FrankRuehl" w:cs="FrankRuehl"/>
        <w:sz w:val="24"/>
        <w:szCs w:val="24"/>
        <w:rtl/>
      </w:rPr>
      <w:fldChar w:fldCharType="end"/>
    </w:r>
  </w:p>
  <w:p w:rsidR="00A309E3" w:rsidRDefault="00A309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309E3" w:rsidRDefault="00A309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C4D" w:rsidRDefault="00525C4D">
      <w:pPr>
        <w:spacing w:before="60" w:line="240" w:lineRule="auto"/>
        <w:ind w:right="1134"/>
      </w:pPr>
      <w:r>
        <w:separator/>
      </w:r>
    </w:p>
  </w:footnote>
  <w:footnote w:type="continuationSeparator" w:id="0">
    <w:p w:rsidR="00525C4D" w:rsidRDefault="00525C4D">
      <w:r>
        <w:continuationSeparator/>
      </w:r>
    </w:p>
  </w:footnote>
  <w:footnote w:id="1">
    <w:p w:rsidR="00A309E3" w:rsidRDefault="00A309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תשס"ח מס' 6646</w:t>
        </w:r>
      </w:hyperlink>
      <w:r>
        <w:rPr>
          <w:rFonts w:hint="cs"/>
          <w:sz w:val="20"/>
          <w:rtl/>
        </w:rPr>
        <w:t xml:space="preserve"> מיום 12.2.2008 עמ' 465.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9E3" w:rsidRDefault="00A309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A309E3" w:rsidRDefault="00A309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309E3" w:rsidRDefault="00A309E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09E3" w:rsidRDefault="00A309E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יצוא ביטחוני (הפחתה של סכומי הקנס האזרחי)</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rsidR="00A309E3" w:rsidRDefault="00A309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309E3" w:rsidRDefault="00A309E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31F6"/>
    <w:rsid w:val="00305790"/>
    <w:rsid w:val="003C0555"/>
    <w:rsid w:val="00525C4D"/>
    <w:rsid w:val="0059095F"/>
    <w:rsid w:val="00931724"/>
    <w:rsid w:val="00A309E3"/>
    <w:rsid w:val="00BC31F6"/>
    <w:rsid w:val="00E800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663573B-3778-4C39-A475-2B369038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eb1.nevo.co.il/Law_word/law06/tak-6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1604</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3014669</vt:i4>
      </vt:variant>
      <vt:variant>
        <vt:i4>0</vt:i4>
      </vt:variant>
      <vt:variant>
        <vt:i4>0</vt:i4>
      </vt:variant>
      <vt:variant>
        <vt:i4>5</vt:i4>
      </vt:variant>
      <vt:variant>
        <vt:lpwstr>http://web1.nevo.co.il/Law_word/law06/tak-6646.pdf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הפיקוח על יצוא ביטחוני (הפחתה של סכומי הקנס האזרחי), תשס"ח-2008</vt:lpwstr>
  </property>
  <property fmtid="{D5CDD505-2E9C-101B-9397-08002B2CF9AE}" pid="5" name="LAWNUMBER">
    <vt:lpwstr>0912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http://web1.nevo.co.il/Law_word/law06/tak-6646.pdf;רשומות - תקנות כלליות#פורסמו ק"ת תשס"ח מס' 6646 #מיום 12.2.2008 עמ' 465</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יצוא ביטחוני</vt:lpwstr>
  </property>
  <property fmtid="{D5CDD505-2E9C-101B-9397-08002B2CF9AE}" pid="63" name="MEKOR_SAIF1">
    <vt:lpwstr>38XבX;45X</vt:lpwstr>
  </property>
</Properties>
</file>