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91A3" w14:textId="77777777" w:rsidR="007E7183" w:rsidRDefault="007E7183">
      <w:pPr>
        <w:pStyle w:val="big-header"/>
        <w:ind w:left="0" w:right="1134"/>
        <w:rPr>
          <w:rFonts w:hint="cs"/>
          <w:rtl/>
        </w:rPr>
      </w:pPr>
      <w:r>
        <w:rPr>
          <w:rFonts w:hint="cs"/>
          <w:rtl/>
        </w:rPr>
        <w:t>תקנות הפיקוח על יצוא ביטחוני (השגה על החלטת הרשות המוסמכת)</w:t>
      </w:r>
      <w:r>
        <w:rPr>
          <w:rtl/>
        </w:rPr>
        <w:t>, תשס"</w:t>
      </w:r>
      <w:r>
        <w:rPr>
          <w:rFonts w:hint="cs"/>
          <w:rtl/>
        </w:rPr>
        <w:t>ח</w:t>
      </w:r>
      <w:r>
        <w:rPr>
          <w:rtl/>
        </w:rPr>
        <w:t>-200</w:t>
      </w:r>
      <w:r>
        <w:rPr>
          <w:rFonts w:hint="cs"/>
          <w:rtl/>
        </w:rPr>
        <w:t>8</w:t>
      </w:r>
    </w:p>
    <w:p w14:paraId="29C2E6FB" w14:textId="77777777" w:rsidR="00980DA8" w:rsidRPr="00980DA8" w:rsidRDefault="00980DA8" w:rsidP="00980DA8">
      <w:pPr>
        <w:spacing w:line="320" w:lineRule="auto"/>
        <w:jc w:val="left"/>
        <w:rPr>
          <w:rFonts w:cs="FrankRuehl"/>
          <w:szCs w:val="26"/>
          <w:rtl/>
        </w:rPr>
      </w:pPr>
    </w:p>
    <w:p w14:paraId="3523F553" w14:textId="77777777" w:rsidR="00980DA8" w:rsidRDefault="00980DA8" w:rsidP="00980DA8">
      <w:pPr>
        <w:spacing w:line="320" w:lineRule="auto"/>
        <w:jc w:val="left"/>
        <w:rPr>
          <w:rFonts w:cs="Miriam"/>
          <w:szCs w:val="22"/>
          <w:rtl/>
        </w:rPr>
      </w:pPr>
      <w:r w:rsidRPr="00980DA8">
        <w:rPr>
          <w:rFonts w:cs="Miriam"/>
          <w:szCs w:val="22"/>
          <w:rtl/>
        </w:rPr>
        <w:t>בטחון</w:t>
      </w:r>
      <w:r w:rsidRPr="00980DA8">
        <w:rPr>
          <w:rFonts w:cs="FrankRuehl"/>
          <w:szCs w:val="26"/>
          <w:rtl/>
        </w:rPr>
        <w:t xml:space="preserve"> – יצוא ביטחוני</w:t>
      </w:r>
    </w:p>
    <w:p w14:paraId="3F8753F2" w14:textId="77777777" w:rsidR="003A1664" w:rsidRPr="00980DA8" w:rsidRDefault="00980DA8" w:rsidP="00980DA8">
      <w:pPr>
        <w:spacing w:line="320" w:lineRule="auto"/>
        <w:jc w:val="left"/>
        <w:rPr>
          <w:rFonts w:cs="Miriam"/>
          <w:szCs w:val="22"/>
          <w:rtl/>
        </w:rPr>
      </w:pPr>
      <w:r w:rsidRPr="00980DA8">
        <w:rPr>
          <w:rFonts w:cs="Miriam"/>
          <w:szCs w:val="22"/>
          <w:rtl/>
        </w:rPr>
        <w:t>משפט פרטי וכלכלה</w:t>
      </w:r>
      <w:r w:rsidRPr="00980DA8">
        <w:rPr>
          <w:rFonts w:cs="FrankRuehl"/>
          <w:szCs w:val="26"/>
          <w:rtl/>
        </w:rPr>
        <w:t xml:space="preserve"> – מסחר  – יצוא – יצוא בטחוני</w:t>
      </w:r>
    </w:p>
    <w:p w14:paraId="45AC447E" w14:textId="77777777" w:rsidR="007E7183" w:rsidRDefault="007E7183">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1B1D" w:rsidRPr="006F1B1D" w14:paraId="0A136BDE" w14:textId="77777777">
        <w:tblPrEx>
          <w:tblCellMar>
            <w:top w:w="0" w:type="dxa"/>
            <w:bottom w:w="0" w:type="dxa"/>
          </w:tblCellMar>
        </w:tblPrEx>
        <w:tc>
          <w:tcPr>
            <w:tcW w:w="1247" w:type="dxa"/>
          </w:tcPr>
          <w:p w14:paraId="7CCC6232" w14:textId="77777777" w:rsidR="006F1B1D" w:rsidRPr="006F1B1D" w:rsidRDefault="006F1B1D" w:rsidP="006F1B1D">
            <w:pPr>
              <w:spacing w:line="240" w:lineRule="auto"/>
              <w:jc w:val="left"/>
              <w:rPr>
                <w:rFonts w:cs="Frankruhel" w:hint="cs"/>
                <w:sz w:val="24"/>
                <w:rtl/>
              </w:rPr>
            </w:pPr>
          </w:p>
        </w:tc>
        <w:tc>
          <w:tcPr>
            <w:tcW w:w="5669" w:type="dxa"/>
          </w:tcPr>
          <w:p w14:paraId="47E022DB" w14:textId="77777777" w:rsidR="006F1B1D" w:rsidRPr="006F1B1D" w:rsidRDefault="006F1B1D" w:rsidP="006F1B1D">
            <w:pPr>
              <w:spacing w:line="240" w:lineRule="auto"/>
              <w:jc w:val="left"/>
              <w:rPr>
                <w:rFonts w:cs="Frankruhel" w:hint="cs"/>
                <w:sz w:val="24"/>
                <w:rtl/>
              </w:rPr>
            </w:pPr>
            <w:r>
              <w:rPr>
                <w:rFonts w:cs="Times New Roman"/>
                <w:sz w:val="24"/>
                <w:rtl/>
              </w:rPr>
              <w:t>פרק א': פרשנות</w:t>
            </w:r>
          </w:p>
        </w:tc>
        <w:tc>
          <w:tcPr>
            <w:tcW w:w="567" w:type="dxa"/>
          </w:tcPr>
          <w:p w14:paraId="7CA60DC9" w14:textId="77777777" w:rsidR="006F1B1D" w:rsidRPr="006F1B1D" w:rsidRDefault="006F1B1D" w:rsidP="006F1B1D">
            <w:pPr>
              <w:spacing w:line="240" w:lineRule="auto"/>
              <w:jc w:val="left"/>
              <w:rPr>
                <w:rStyle w:val="Hyperlink"/>
                <w:rFonts w:hint="cs"/>
                <w:rtl/>
              </w:rPr>
            </w:pPr>
            <w:hyperlink w:anchor="med0" w:tooltip="פרק א: פרשנות" w:history="1">
              <w:r w:rsidRPr="006F1B1D">
                <w:rPr>
                  <w:rStyle w:val="Hyperlink"/>
                </w:rPr>
                <w:t>Go</w:t>
              </w:r>
            </w:hyperlink>
          </w:p>
        </w:tc>
        <w:tc>
          <w:tcPr>
            <w:tcW w:w="850" w:type="dxa"/>
          </w:tcPr>
          <w:p w14:paraId="096BDD3F"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3FE1460C" w14:textId="77777777">
        <w:tblPrEx>
          <w:tblCellMar>
            <w:top w:w="0" w:type="dxa"/>
            <w:bottom w:w="0" w:type="dxa"/>
          </w:tblCellMar>
        </w:tblPrEx>
        <w:tc>
          <w:tcPr>
            <w:tcW w:w="1247" w:type="dxa"/>
          </w:tcPr>
          <w:p w14:paraId="261DDD0C"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1 </w:t>
            </w:r>
          </w:p>
        </w:tc>
        <w:tc>
          <w:tcPr>
            <w:tcW w:w="5669" w:type="dxa"/>
          </w:tcPr>
          <w:p w14:paraId="62B5CE14" w14:textId="77777777" w:rsidR="006F1B1D" w:rsidRPr="006F1B1D" w:rsidRDefault="006F1B1D" w:rsidP="006F1B1D">
            <w:pPr>
              <w:spacing w:line="240" w:lineRule="auto"/>
              <w:jc w:val="left"/>
              <w:rPr>
                <w:rFonts w:cs="Frankruhel" w:hint="cs"/>
                <w:sz w:val="24"/>
                <w:rtl/>
              </w:rPr>
            </w:pPr>
            <w:r>
              <w:rPr>
                <w:rFonts w:cs="Times New Roman"/>
                <w:sz w:val="24"/>
                <w:rtl/>
              </w:rPr>
              <w:t>הגדרות</w:t>
            </w:r>
          </w:p>
        </w:tc>
        <w:tc>
          <w:tcPr>
            <w:tcW w:w="567" w:type="dxa"/>
          </w:tcPr>
          <w:p w14:paraId="73AFC25C" w14:textId="77777777" w:rsidR="006F1B1D" w:rsidRPr="006F1B1D" w:rsidRDefault="006F1B1D" w:rsidP="006F1B1D">
            <w:pPr>
              <w:spacing w:line="240" w:lineRule="auto"/>
              <w:jc w:val="left"/>
              <w:rPr>
                <w:rStyle w:val="Hyperlink"/>
                <w:rFonts w:hint="cs"/>
                <w:rtl/>
              </w:rPr>
            </w:pPr>
            <w:hyperlink w:anchor="Seif1" w:tooltip="הגדרות" w:history="1">
              <w:r w:rsidRPr="006F1B1D">
                <w:rPr>
                  <w:rStyle w:val="Hyperlink"/>
                </w:rPr>
                <w:t>Go</w:t>
              </w:r>
            </w:hyperlink>
          </w:p>
        </w:tc>
        <w:tc>
          <w:tcPr>
            <w:tcW w:w="850" w:type="dxa"/>
          </w:tcPr>
          <w:p w14:paraId="38C02F3F"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1205BBC5" w14:textId="77777777">
        <w:tblPrEx>
          <w:tblCellMar>
            <w:top w:w="0" w:type="dxa"/>
            <w:bottom w:w="0" w:type="dxa"/>
          </w:tblCellMar>
        </w:tblPrEx>
        <w:tc>
          <w:tcPr>
            <w:tcW w:w="1247" w:type="dxa"/>
          </w:tcPr>
          <w:p w14:paraId="4049231C" w14:textId="77777777" w:rsidR="006F1B1D" w:rsidRPr="006F1B1D" w:rsidRDefault="006F1B1D" w:rsidP="006F1B1D">
            <w:pPr>
              <w:spacing w:line="240" w:lineRule="auto"/>
              <w:jc w:val="left"/>
              <w:rPr>
                <w:rFonts w:cs="Frankruhel" w:hint="cs"/>
                <w:sz w:val="24"/>
                <w:rtl/>
              </w:rPr>
            </w:pPr>
          </w:p>
        </w:tc>
        <w:tc>
          <w:tcPr>
            <w:tcW w:w="5669" w:type="dxa"/>
          </w:tcPr>
          <w:p w14:paraId="50D4C076" w14:textId="77777777" w:rsidR="006F1B1D" w:rsidRPr="006F1B1D" w:rsidRDefault="006F1B1D" w:rsidP="006F1B1D">
            <w:pPr>
              <w:spacing w:line="240" w:lineRule="auto"/>
              <w:jc w:val="left"/>
              <w:rPr>
                <w:rFonts w:cs="Frankruhel" w:hint="cs"/>
                <w:sz w:val="24"/>
                <w:rtl/>
              </w:rPr>
            </w:pPr>
            <w:r>
              <w:rPr>
                <w:rFonts w:cs="Times New Roman"/>
                <w:sz w:val="24"/>
                <w:rtl/>
              </w:rPr>
              <w:t>פרק ב': הגשת השגה</w:t>
            </w:r>
          </w:p>
        </w:tc>
        <w:tc>
          <w:tcPr>
            <w:tcW w:w="567" w:type="dxa"/>
          </w:tcPr>
          <w:p w14:paraId="0CE8602A" w14:textId="77777777" w:rsidR="006F1B1D" w:rsidRPr="006F1B1D" w:rsidRDefault="006F1B1D" w:rsidP="006F1B1D">
            <w:pPr>
              <w:spacing w:line="240" w:lineRule="auto"/>
              <w:jc w:val="left"/>
              <w:rPr>
                <w:rStyle w:val="Hyperlink"/>
                <w:rFonts w:hint="cs"/>
                <w:rtl/>
              </w:rPr>
            </w:pPr>
            <w:hyperlink w:anchor="med1" w:tooltip="פרק ב: הגשת השגה" w:history="1">
              <w:r w:rsidRPr="006F1B1D">
                <w:rPr>
                  <w:rStyle w:val="Hyperlink"/>
                </w:rPr>
                <w:t>Go</w:t>
              </w:r>
            </w:hyperlink>
          </w:p>
        </w:tc>
        <w:tc>
          <w:tcPr>
            <w:tcW w:w="850" w:type="dxa"/>
          </w:tcPr>
          <w:p w14:paraId="49BDD0F2"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36D1A84C" w14:textId="77777777">
        <w:tblPrEx>
          <w:tblCellMar>
            <w:top w:w="0" w:type="dxa"/>
            <w:bottom w:w="0" w:type="dxa"/>
          </w:tblCellMar>
        </w:tblPrEx>
        <w:tc>
          <w:tcPr>
            <w:tcW w:w="1247" w:type="dxa"/>
          </w:tcPr>
          <w:p w14:paraId="01011E9B"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2 </w:t>
            </w:r>
          </w:p>
        </w:tc>
        <w:tc>
          <w:tcPr>
            <w:tcW w:w="5669" w:type="dxa"/>
          </w:tcPr>
          <w:p w14:paraId="22FFCFF7" w14:textId="77777777" w:rsidR="006F1B1D" w:rsidRPr="006F1B1D" w:rsidRDefault="006F1B1D" w:rsidP="006F1B1D">
            <w:pPr>
              <w:spacing w:line="240" w:lineRule="auto"/>
              <w:jc w:val="left"/>
              <w:rPr>
                <w:rFonts w:cs="Frankruhel" w:hint="cs"/>
                <w:sz w:val="24"/>
                <w:rtl/>
              </w:rPr>
            </w:pPr>
            <w:r>
              <w:rPr>
                <w:rFonts w:cs="Times New Roman"/>
                <w:sz w:val="24"/>
                <w:rtl/>
              </w:rPr>
              <w:t>פרטי ההשגה</w:t>
            </w:r>
          </w:p>
        </w:tc>
        <w:tc>
          <w:tcPr>
            <w:tcW w:w="567" w:type="dxa"/>
          </w:tcPr>
          <w:p w14:paraId="4AD9FE4A" w14:textId="77777777" w:rsidR="006F1B1D" w:rsidRPr="006F1B1D" w:rsidRDefault="006F1B1D" w:rsidP="006F1B1D">
            <w:pPr>
              <w:spacing w:line="240" w:lineRule="auto"/>
              <w:jc w:val="left"/>
              <w:rPr>
                <w:rStyle w:val="Hyperlink"/>
                <w:rFonts w:hint="cs"/>
                <w:rtl/>
              </w:rPr>
            </w:pPr>
            <w:hyperlink w:anchor="Seif2" w:tooltip="פרטי ההשגה" w:history="1">
              <w:r w:rsidRPr="006F1B1D">
                <w:rPr>
                  <w:rStyle w:val="Hyperlink"/>
                </w:rPr>
                <w:t>Go</w:t>
              </w:r>
            </w:hyperlink>
          </w:p>
        </w:tc>
        <w:tc>
          <w:tcPr>
            <w:tcW w:w="850" w:type="dxa"/>
          </w:tcPr>
          <w:p w14:paraId="27FD2DC5"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11BDDC67" w14:textId="77777777">
        <w:tblPrEx>
          <w:tblCellMar>
            <w:top w:w="0" w:type="dxa"/>
            <w:bottom w:w="0" w:type="dxa"/>
          </w:tblCellMar>
        </w:tblPrEx>
        <w:tc>
          <w:tcPr>
            <w:tcW w:w="1247" w:type="dxa"/>
          </w:tcPr>
          <w:p w14:paraId="24323B43"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3 </w:t>
            </w:r>
          </w:p>
        </w:tc>
        <w:tc>
          <w:tcPr>
            <w:tcW w:w="5669" w:type="dxa"/>
          </w:tcPr>
          <w:p w14:paraId="3618300A" w14:textId="77777777" w:rsidR="006F1B1D" w:rsidRPr="006F1B1D" w:rsidRDefault="006F1B1D" w:rsidP="006F1B1D">
            <w:pPr>
              <w:spacing w:line="240" w:lineRule="auto"/>
              <w:jc w:val="left"/>
              <w:rPr>
                <w:rFonts w:cs="Frankruhel" w:hint="cs"/>
                <w:sz w:val="24"/>
                <w:rtl/>
              </w:rPr>
            </w:pPr>
            <w:r>
              <w:rPr>
                <w:rFonts w:cs="Times New Roman"/>
                <w:sz w:val="24"/>
                <w:rtl/>
              </w:rPr>
              <w:t>חתימה והצהרות</w:t>
            </w:r>
          </w:p>
        </w:tc>
        <w:tc>
          <w:tcPr>
            <w:tcW w:w="567" w:type="dxa"/>
          </w:tcPr>
          <w:p w14:paraId="58F7BA09" w14:textId="77777777" w:rsidR="006F1B1D" w:rsidRPr="006F1B1D" w:rsidRDefault="006F1B1D" w:rsidP="006F1B1D">
            <w:pPr>
              <w:spacing w:line="240" w:lineRule="auto"/>
              <w:jc w:val="left"/>
              <w:rPr>
                <w:rStyle w:val="Hyperlink"/>
                <w:rFonts w:hint="cs"/>
                <w:rtl/>
              </w:rPr>
            </w:pPr>
            <w:hyperlink w:anchor="Seif3" w:tooltip="חתימה והצהרות" w:history="1">
              <w:r w:rsidRPr="006F1B1D">
                <w:rPr>
                  <w:rStyle w:val="Hyperlink"/>
                </w:rPr>
                <w:t>Go</w:t>
              </w:r>
            </w:hyperlink>
          </w:p>
        </w:tc>
        <w:tc>
          <w:tcPr>
            <w:tcW w:w="850" w:type="dxa"/>
          </w:tcPr>
          <w:p w14:paraId="32A8D345"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5452E52C" w14:textId="77777777">
        <w:tblPrEx>
          <w:tblCellMar>
            <w:top w:w="0" w:type="dxa"/>
            <w:bottom w:w="0" w:type="dxa"/>
          </w:tblCellMar>
        </w:tblPrEx>
        <w:tc>
          <w:tcPr>
            <w:tcW w:w="1247" w:type="dxa"/>
          </w:tcPr>
          <w:p w14:paraId="3BBD2932"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4 </w:t>
            </w:r>
          </w:p>
        </w:tc>
        <w:tc>
          <w:tcPr>
            <w:tcW w:w="5669" w:type="dxa"/>
          </w:tcPr>
          <w:p w14:paraId="62E22B78" w14:textId="77777777" w:rsidR="006F1B1D" w:rsidRPr="006F1B1D" w:rsidRDefault="006F1B1D" w:rsidP="006F1B1D">
            <w:pPr>
              <w:spacing w:line="240" w:lineRule="auto"/>
              <w:jc w:val="left"/>
              <w:rPr>
                <w:rFonts w:cs="Frankruhel" w:hint="cs"/>
                <w:sz w:val="24"/>
                <w:rtl/>
              </w:rPr>
            </w:pPr>
            <w:r>
              <w:rPr>
                <w:rFonts w:cs="Times New Roman"/>
                <w:sz w:val="24"/>
                <w:rtl/>
              </w:rPr>
              <w:t>הגשת ההשגה</w:t>
            </w:r>
          </w:p>
        </w:tc>
        <w:tc>
          <w:tcPr>
            <w:tcW w:w="567" w:type="dxa"/>
          </w:tcPr>
          <w:p w14:paraId="19AA7F4D" w14:textId="77777777" w:rsidR="006F1B1D" w:rsidRPr="006F1B1D" w:rsidRDefault="006F1B1D" w:rsidP="006F1B1D">
            <w:pPr>
              <w:spacing w:line="240" w:lineRule="auto"/>
              <w:jc w:val="left"/>
              <w:rPr>
                <w:rStyle w:val="Hyperlink"/>
                <w:rFonts w:hint="cs"/>
                <w:rtl/>
              </w:rPr>
            </w:pPr>
            <w:hyperlink w:anchor="Seif4" w:tooltip="הגשת ההשגה" w:history="1">
              <w:r w:rsidRPr="006F1B1D">
                <w:rPr>
                  <w:rStyle w:val="Hyperlink"/>
                </w:rPr>
                <w:t>Go</w:t>
              </w:r>
            </w:hyperlink>
          </w:p>
        </w:tc>
        <w:tc>
          <w:tcPr>
            <w:tcW w:w="850" w:type="dxa"/>
          </w:tcPr>
          <w:p w14:paraId="3CE2653F"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113AED5D" w14:textId="77777777">
        <w:tblPrEx>
          <w:tblCellMar>
            <w:top w:w="0" w:type="dxa"/>
            <w:bottom w:w="0" w:type="dxa"/>
          </w:tblCellMar>
        </w:tblPrEx>
        <w:tc>
          <w:tcPr>
            <w:tcW w:w="1247" w:type="dxa"/>
          </w:tcPr>
          <w:p w14:paraId="0B2EA72C"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5 </w:t>
            </w:r>
          </w:p>
        </w:tc>
        <w:tc>
          <w:tcPr>
            <w:tcW w:w="5669" w:type="dxa"/>
          </w:tcPr>
          <w:p w14:paraId="17D002D3" w14:textId="77777777" w:rsidR="006F1B1D" w:rsidRPr="006F1B1D" w:rsidRDefault="006F1B1D" w:rsidP="006F1B1D">
            <w:pPr>
              <w:spacing w:line="240" w:lineRule="auto"/>
              <w:jc w:val="left"/>
              <w:rPr>
                <w:rFonts w:cs="Frankruhel" w:hint="cs"/>
                <w:sz w:val="24"/>
                <w:rtl/>
              </w:rPr>
            </w:pPr>
            <w:r>
              <w:rPr>
                <w:rFonts w:cs="Times New Roman"/>
                <w:sz w:val="24"/>
                <w:rtl/>
              </w:rPr>
              <w:t>הארכת מועד הגשת השגה</w:t>
            </w:r>
          </w:p>
        </w:tc>
        <w:tc>
          <w:tcPr>
            <w:tcW w:w="567" w:type="dxa"/>
          </w:tcPr>
          <w:p w14:paraId="22092934" w14:textId="77777777" w:rsidR="006F1B1D" w:rsidRPr="006F1B1D" w:rsidRDefault="006F1B1D" w:rsidP="006F1B1D">
            <w:pPr>
              <w:spacing w:line="240" w:lineRule="auto"/>
              <w:jc w:val="left"/>
              <w:rPr>
                <w:rStyle w:val="Hyperlink"/>
                <w:rFonts w:hint="cs"/>
                <w:rtl/>
              </w:rPr>
            </w:pPr>
            <w:hyperlink w:anchor="Seif5" w:tooltip="הארכת מועד הגשת השגה" w:history="1">
              <w:r w:rsidRPr="006F1B1D">
                <w:rPr>
                  <w:rStyle w:val="Hyperlink"/>
                </w:rPr>
                <w:t>Go</w:t>
              </w:r>
            </w:hyperlink>
          </w:p>
        </w:tc>
        <w:tc>
          <w:tcPr>
            <w:tcW w:w="850" w:type="dxa"/>
          </w:tcPr>
          <w:p w14:paraId="547E6D7B"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B1D" w:rsidRPr="006F1B1D" w14:paraId="0CAE7148" w14:textId="77777777">
        <w:tblPrEx>
          <w:tblCellMar>
            <w:top w:w="0" w:type="dxa"/>
            <w:bottom w:w="0" w:type="dxa"/>
          </w:tblCellMar>
        </w:tblPrEx>
        <w:tc>
          <w:tcPr>
            <w:tcW w:w="1247" w:type="dxa"/>
          </w:tcPr>
          <w:p w14:paraId="1CB0CEEC"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6 </w:t>
            </w:r>
          </w:p>
        </w:tc>
        <w:tc>
          <w:tcPr>
            <w:tcW w:w="5669" w:type="dxa"/>
          </w:tcPr>
          <w:p w14:paraId="45FEE7CF" w14:textId="77777777" w:rsidR="006F1B1D" w:rsidRPr="006F1B1D" w:rsidRDefault="006F1B1D" w:rsidP="006F1B1D">
            <w:pPr>
              <w:spacing w:line="240" w:lineRule="auto"/>
              <w:jc w:val="left"/>
              <w:rPr>
                <w:rFonts w:cs="Frankruhel" w:hint="cs"/>
                <w:sz w:val="24"/>
                <w:rtl/>
              </w:rPr>
            </w:pPr>
            <w:r>
              <w:rPr>
                <w:rFonts w:cs="Times New Roman"/>
                <w:sz w:val="24"/>
                <w:rtl/>
              </w:rPr>
              <w:t>תקפות ה</w:t>
            </w:r>
          </w:p>
        </w:tc>
        <w:tc>
          <w:tcPr>
            <w:tcW w:w="567" w:type="dxa"/>
          </w:tcPr>
          <w:p w14:paraId="5F0FD341" w14:textId="77777777" w:rsidR="006F1B1D" w:rsidRPr="006F1B1D" w:rsidRDefault="006F1B1D" w:rsidP="006F1B1D">
            <w:pPr>
              <w:spacing w:line="240" w:lineRule="auto"/>
              <w:jc w:val="left"/>
              <w:rPr>
                <w:rStyle w:val="Hyperlink"/>
                <w:rFonts w:hint="cs"/>
                <w:rtl/>
              </w:rPr>
            </w:pPr>
            <w:hyperlink w:anchor="Seif6" w:tooltip="תקפות ה" w:history="1">
              <w:r w:rsidRPr="006F1B1D">
                <w:rPr>
                  <w:rStyle w:val="Hyperlink"/>
                </w:rPr>
                <w:t>Go</w:t>
              </w:r>
            </w:hyperlink>
          </w:p>
        </w:tc>
        <w:tc>
          <w:tcPr>
            <w:tcW w:w="850" w:type="dxa"/>
          </w:tcPr>
          <w:p w14:paraId="7D284365"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351FCBA4" w14:textId="77777777">
        <w:tblPrEx>
          <w:tblCellMar>
            <w:top w:w="0" w:type="dxa"/>
            <w:bottom w:w="0" w:type="dxa"/>
          </w:tblCellMar>
        </w:tblPrEx>
        <w:tc>
          <w:tcPr>
            <w:tcW w:w="1247" w:type="dxa"/>
          </w:tcPr>
          <w:p w14:paraId="1B3C86BD"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7 </w:t>
            </w:r>
          </w:p>
        </w:tc>
        <w:tc>
          <w:tcPr>
            <w:tcW w:w="5669" w:type="dxa"/>
          </w:tcPr>
          <w:p w14:paraId="7C09C13F" w14:textId="77777777" w:rsidR="006F1B1D" w:rsidRPr="006F1B1D" w:rsidRDefault="006F1B1D" w:rsidP="006F1B1D">
            <w:pPr>
              <w:spacing w:line="240" w:lineRule="auto"/>
              <w:jc w:val="left"/>
              <w:rPr>
                <w:rFonts w:cs="Frankruhel" w:hint="cs"/>
                <w:sz w:val="24"/>
                <w:rtl/>
              </w:rPr>
            </w:pPr>
            <w:r>
              <w:rPr>
                <w:rFonts w:cs="Times New Roman"/>
                <w:sz w:val="24"/>
                <w:rtl/>
              </w:rPr>
              <w:t>אישור המצאת השגה</w:t>
            </w:r>
          </w:p>
        </w:tc>
        <w:tc>
          <w:tcPr>
            <w:tcW w:w="567" w:type="dxa"/>
          </w:tcPr>
          <w:p w14:paraId="1D477DC2" w14:textId="77777777" w:rsidR="006F1B1D" w:rsidRPr="006F1B1D" w:rsidRDefault="006F1B1D" w:rsidP="006F1B1D">
            <w:pPr>
              <w:spacing w:line="240" w:lineRule="auto"/>
              <w:jc w:val="left"/>
              <w:rPr>
                <w:rStyle w:val="Hyperlink"/>
                <w:rFonts w:hint="cs"/>
                <w:rtl/>
              </w:rPr>
            </w:pPr>
            <w:hyperlink w:anchor="Seif7" w:tooltip="אישור המצאת השגה" w:history="1">
              <w:r w:rsidRPr="006F1B1D">
                <w:rPr>
                  <w:rStyle w:val="Hyperlink"/>
                </w:rPr>
                <w:t>Go</w:t>
              </w:r>
            </w:hyperlink>
          </w:p>
        </w:tc>
        <w:tc>
          <w:tcPr>
            <w:tcW w:w="850" w:type="dxa"/>
          </w:tcPr>
          <w:p w14:paraId="5AB0364B"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1FE36D36" w14:textId="77777777">
        <w:tblPrEx>
          <w:tblCellMar>
            <w:top w:w="0" w:type="dxa"/>
            <w:bottom w:w="0" w:type="dxa"/>
          </w:tblCellMar>
        </w:tblPrEx>
        <w:tc>
          <w:tcPr>
            <w:tcW w:w="1247" w:type="dxa"/>
          </w:tcPr>
          <w:p w14:paraId="1FD417BD"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8 </w:t>
            </w:r>
          </w:p>
        </w:tc>
        <w:tc>
          <w:tcPr>
            <w:tcW w:w="5669" w:type="dxa"/>
          </w:tcPr>
          <w:p w14:paraId="269F7A3D" w14:textId="77777777" w:rsidR="006F1B1D" w:rsidRPr="006F1B1D" w:rsidRDefault="006F1B1D" w:rsidP="006F1B1D">
            <w:pPr>
              <w:spacing w:line="240" w:lineRule="auto"/>
              <w:jc w:val="left"/>
              <w:rPr>
                <w:rFonts w:cs="Frankruhel" w:hint="cs"/>
                <w:sz w:val="24"/>
                <w:rtl/>
              </w:rPr>
            </w:pPr>
            <w:r>
              <w:rPr>
                <w:rFonts w:cs="Times New Roman"/>
                <w:sz w:val="24"/>
                <w:rtl/>
              </w:rPr>
              <w:t>הטיפול בהשגה</w:t>
            </w:r>
          </w:p>
        </w:tc>
        <w:tc>
          <w:tcPr>
            <w:tcW w:w="567" w:type="dxa"/>
          </w:tcPr>
          <w:p w14:paraId="4F214210" w14:textId="77777777" w:rsidR="006F1B1D" w:rsidRPr="006F1B1D" w:rsidRDefault="006F1B1D" w:rsidP="006F1B1D">
            <w:pPr>
              <w:spacing w:line="240" w:lineRule="auto"/>
              <w:jc w:val="left"/>
              <w:rPr>
                <w:rStyle w:val="Hyperlink"/>
                <w:rFonts w:hint="cs"/>
                <w:rtl/>
              </w:rPr>
            </w:pPr>
            <w:hyperlink w:anchor="Seif8" w:tooltip="הטיפול בהשגה" w:history="1">
              <w:r w:rsidRPr="006F1B1D">
                <w:rPr>
                  <w:rStyle w:val="Hyperlink"/>
                </w:rPr>
                <w:t>Go</w:t>
              </w:r>
            </w:hyperlink>
          </w:p>
        </w:tc>
        <w:tc>
          <w:tcPr>
            <w:tcW w:w="850" w:type="dxa"/>
          </w:tcPr>
          <w:p w14:paraId="49F039BA"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043E839A" w14:textId="77777777">
        <w:tblPrEx>
          <w:tblCellMar>
            <w:top w:w="0" w:type="dxa"/>
            <w:bottom w:w="0" w:type="dxa"/>
          </w:tblCellMar>
        </w:tblPrEx>
        <w:tc>
          <w:tcPr>
            <w:tcW w:w="1247" w:type="dxa"/>
          </w:tcPr>
          <w:p w14:paraId="72E185E2"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9 </w:t>
            </w:r>
          </w:p>
        </w:tc>
        <w:tc>
          <w:tcPr>
            <w:tcW w:w="5669" w:type="dxa"/>
          </w:tcPr>
          <w:p w14:paraId="50DA2410" w14:textId="77777777" w:rsidR="006F1B1D" w:rsidRPr="006F1B1D" w:rsidRDefault="006F1B1D" w:rsidP="006F1B1D">
            <w:pPr>
              <w:spacing w:line="240" w:lineRule="auto"/>
              <w:jc w:val="left"/>
              <w:rPr>
                <w:rFonts w:cs="Frankruhel" w:hint="cs"/>
                <w:sz w:val="24"/>
                <w:rtl/>
              </w:rPr>
            </w:pPr>
            <w:r>
              <w:rPr>
                <w:rFonts w:cs="Times New Roman"/>
                <w:sz w:val="24"/>
                <w:rtl/>
              </w:rPr>
              <w:t>דיון בהשגה חסרה</w:t>
            </w:r>
          </w:p>
        </w:tc>
        <w:tc>
          <w:tcPr>
            <w:tcW w:w="567" w:type="dxa"/>
          </w:tcPr>
          <w:p w14:paraId="5BA6687B" w14:textId="77777777" w:rsidR="006F1B1D" w:rsidRPr="006F1B1D" w:rsidRDefault="006F1B1D" w:rsidP="006F1B1D">
            <w:pPr>
              <w:spacing w:line="240" w:lineRule="auto"/>
              <w:jc w:val="left"/>
              <w:rPr>
                <w:rStyle w:val="Hyperlink"/>
                <w:rFonts w:hint="cs"/>
                <w:rtl/>
              </w:rPr>
            </w:pPr>
            <w:hyperlink w:anchor="Seif9" w:tooltip="דיון בהשגה חסרה" w:history="1">
              <w:r w:rsidRPr="006F1B1D">
                <w:rPr>
                  <w:rStyle w:val="Hyperlink"/>
                </w:rPr>
                <w:t>Go</w:t>
              </w:r>
            </w:hyperlink>
          </w:p>
        </w:tc>
        <w:tc>
          <w:tcPr>
            <w:tcW w:w="850" w:type="dxa"/>
          </w:tcPr>
          <w:p w14:paraId="1A031B64"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3631DC9F" w14:textId="77777777">
        <w:tblPrEx>
          <w:tblCellMar>
            <w:top w:w="0" w:type="dxa"/>
            <w:bottom w:w="0" w:type="dxa"/>
          </w:tblCellMar>
        </w:tblPrEx>
        <w:tc>
          <w:tcPr>
            <w:tcW w:w="1247" w:type="dxa"/>
          </w:tcPr>
          <w:p w14:paraId="6D4B6E3A"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10 </w:t>
            </w:r>
          </w:p>
        </w:tc>
        <w:tc>
          <w:tcPr>
            <w:tcW w:w="5669" w:type="dxa"/>
          </w:tcPr>
          <w:p w14:paraId="01D0AB9F" w14:textId="77777777" w:rsidR="006F1B1D" w:rsidRPr="006F1B1D" w:rsidRDefault="006F1B1D" w:rsidP="006F1B1D">
            <w:pPr>
              <w:spacing w:line="240" w:lineRule="auto"/>
              <w:jc w:val="left"/>
              <w:rPr>
                <w:rFonts w:cs="Frankruhel" w:hint="cs"/>
                <w:sz w:val="24"/>
                <w:rtl/>
              </w:rPr>
            </w:pPr>
            <w:r>
              <w:rPr>
                <w:rFonts w:cs="Times New Roman"/>
                <w:sz w:val="24"/>
                <w:rtl/>
              </w:rPr>
              <w:t>הדיון וה</w:t>
            </w:r>
          </w:p>
        </w:tc>
        <w:tc>
          <w:tcPr>
            <w:tcW w:w="567" w:type="dxa"/>
          </w:tcPr>
          <w:p w14:paraId="3D54B2AD" w14:textId="77777777" w:rsidR="006F1B1D" w:rsidRPr="006F1B1D" w:rsidRDefault="006F1B1D" w:rsidP="006F1B1D">
            <w:pPr>
              <w:spacing w:line="240" w:lineRule="auto"/>
              <w:jc w:val="left"/>
              <w:rPr>
                <w:rStyle w:val="Hyperlink"/>
                <w:rFonts w:hint="cs"/>
                <w:rtl/>
              </w:rPr>
            </w:pPr>
            <w:hyperlink w:anchor="Seif10" w:tooltip="הדיון וה" w:history="1">
              <w:r w:rsidRPr="006F1B1D">
                <w:rPr>
                  <w:rStyle w:val="Hyperlink"/>
                </w:rPr>
                <w:t>Go</w:t>
              </w:r>
            </w:hyperlink>
          </w:p>
        </w:tc>
        <w:tc>
          <w:tcPr>
            <w:tcW w:w="850" w:type="dxa"/>
          </w:tcPr>
          <w:p w14:paraId="75576E5D"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70BCAFA8" w14:textId="77777777">
        <w:tblPrEx>
          <w:tblCellMar>
            <w:top w:w="0" w:type="dxa"/>
            <w:bottom w:w="0" w:type="dxa"/>
          </w:tblCellMar>
        </w:tblPrEx>
        <w:tc>
          <w:tcPr>
            <w:tcW w:w="1247" w:type="dxa"/>
          </w:tcPr>
          <w:p w14:paraId="31E99CE6"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11 </w:t>
            </w:r>
          </w:p>
        </w:tc>
        <w:tc>
          <w:tcPr>
            <w:tcW w:w="5669" w:type="dxa"/>
          </w:tcPr>
          <w:p w14:paraId="6A34F4ED" w14:textId="77777777" w:rsidR="006F1B1D" w:rsidRPr="006F1B1D" w:rsidRDefault="006F1B1D" w:rsidP="006F1B1D">
            <w:pPr>
              <w:spacing w:line="240" w:lineRule="auto"/>
              <w:jc w:val="left"/>
              <w:rPr>
                <w:rFonts w:cs="Frankruhel" w:hint="cs"/>
                <w:sz w:val="24"/>
                <w:rtl/>
              </w:rPr>
            </w:pPr>
            <w:r>
              <w:rPr>
                <w:rFonts w:cs="Times New Roman"/>
                <w:sz w:val="24"/>
                <w:rtl/>
              </w:rPr>
              <w:t>המועד למתן</w:t>
            </w:r>
          </w:p>
        </w:tc>
        <w:tc>
          <w:tcPr>
            <w:tcW w:w="567" w:type="dxa"/>
          </w:tcPr>
          <w:p w14:paraId="0CA50BFB" w14:textId="77777777" w:rsidR="006F1B1D" w:rsidRPr="006F1B1D" w:rsidRDefault="006F1B1D" w:rsidP="006F1B1D">
            <w:pPr>
              <w:spacing w:line="240" w:lineRule="auto"/>
              <w:jc w:val="left"/>
              <w:rPr>
                <w:rStyle w:val="Hyperlink"/>
                <w:rFonts w:hint="cs"/>
                <w:rtl/>
              </w:rPr>
            </w:pPr>
            <w:hyperlink w:anchor="Seif11" w:tooltip="המועד למתן" w:history="1">
              <w:r w:rsidRPr="006F1B1D">
                <w:rPr>
                  <w:rStyle w:val="Hyperlink"/>
                </w:rPr>
                <w:t>Go</w:t>
              </w:r>
            </w:hyperlink>
          </w:p>
        </w:tc>
        <w:tc>
          <w:tcPr>
            <w:tcW w:w="850" w:type="dxa"/>
          </w:tcPr>
          <w:p w14:paraId="32C95488"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07DF8A33" w14:textId="77777777">
        <w:tblPrEx>
          <w:tblCellMar>
            <w:top w:w="0" w:type="dxa"/>
            <w:bottom w:w="0" w:type="dxa"/>
          </w:tblCellMar>
        </w:tblPrEx>
        <w:tc>
          <w:tcPr>
            <w:tcW w:w="1247" w:type="dxa"/>
          </w:tcPr>
          <w:p w14:paraId="11ABC076"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12 </w:t>
            </w:r>
          </w:p>
        </w:tc>
        <w:tc>
          <w:tcPr>
            <w:tcW w:w="5669" w:type="dxa"/>
          </w:tcPr>
          <w:p w14:paraId="05032F3C" w14:textId="77777777" w:rsidR="006F1B1D" w:rsidRPr="006F1B1D" w:rsidRDefault="006F1B1D" w:rsidP="006F1B1D">
            <w:pPr>
              <w:spacing w:line="240" w:lineRule="auto"/>
              <w:jc w:val="left"/>
              <w:rPr>
                <w:rFonts w:cs="Frankruhel" w:hint="cs"/>
                <w:sz w:val="24"/>
                <w:rtl/>
              </w:rPr>
            </w:pPr>
            <w:r>
              <w:rPr>
                <w:rFonts w:cs="Times New Roman"/>
                <w:sz w:val="24"/>
                <w:rtl/>
              </w:rPr>
              <w:t>הוועדה המייעצת</w:t>
            </w:r>
          </w:p>
        </w:tc>
        <w:tc>
          <w:tcPr>
            <w:tcW w:w="567" w:type="dxa"/>
          </w:tcPr>
          <w:p w14:paraId="6637C565" w14:textId="77777777" w:rsidR="006F1B1D" w:rsidRPr="006F1B1D" w:rsidRDefault="006F1B1D" w:rsidP="006F1B1D">
            <w:pPr>
              <w:spacing w:line="240" w:lineRule="auto"/>
              <w:jc w:val="left"/>
              <w:rPr>
                <w:rStyle w:val="Hyperlink"/>
                <w:rFonts w:hint="cs"/>
                <w:rtl/>
              </w:rPr>
            </w:pPr>
            <w:hyperlink w:anchor="Seif12" w:tooltip="הוועדה המייעצת" w:history="1">
              <w:r w:rsidRPr="006F1B1D">
                <w:rPr>
                  <w:rStyle w:val="Hyperlink"/>
                </w:rPr>
                <w:t>Go</w:t>
              </w:r>
            </w:hyperlink>
          </w:p>
        </w:tc>
        <w:tc>
          <w:tcPr>
            <w:tcW w:w="850" w:type="dxa"/>
          </w:tcPr>
          <w:p w14:paraId="049CA12A"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B1D" w:rsidRPr="006F1B1D" w14:paraId="310002FF" w14:textId="77777777">
        <w:tblPrEx>
          <w:tblCellMar>
            <w:top w:w="0" w:type="dxa"/>
            <w:bottom w:w="0" w:type="dxa"/>
          </w:tblCellMar>
        </w:tblPrEx>
        <w:tc>
          <w:tcPr>
            <w:tcW w:w="1247" w:type="dxa"/>
          </w:tcPr>
          <w:p w14:paraId="25C57403" w14:textId="77777777" w:rsidR="006F1B1D" w:rsidRPr="006F1B1D" w:rsidRDefault="006F1B1D" w:rsidP="006F1B1D">
            <w:pPr>
              <w:spacing w:line="240" w:lineRule="auto"/>
              <w:jc w:val="left"/>
              <w:rPr>
                <w:rFonts w:cs="Frankruhel" w:hint="cs"/>
                <w:sz w:val="24"/>
                <w:rtl/>
              </w:rPr>
            </w:pPr>
            <w:r>
              <w:rPr>
                <w:rFonts w:cs="Times New Roman"/>
                <w:sz w:val="24"/>
                <w:rtl/>
              </w:rPr>
              <w:t xml:space="preserve">סעיף 13 </w:t>
            </w:r>
          </w:p>
        </w:tc>
        <w:tc>
          <w:tcPr>
            <w:tcW w:w="5669" w:type="dxa"/>
          </w:tcPr>
          <w:p w14:paraId="23005462" w14:textId="77777777" w:rsidR="006F1B1D" w:rsidRPr="006F1B1D" w:rsidRDefault="006F1B1D" w:rsidP="006F1B1D">
            <w:pPr>
              <w:spacing w:line="240" w:lineRule="auto"/>
              <w:jc w:val="left"/>
              <w:rPr>
                <w:rFonts w:cs="Frankruhel" w:hint="cs"/>
                <w:sz w:val="24"/>
                <w:rtl/>
              </w:rPr>
            </w:pPr>
            <w:r>
              <w:rPr>
                <w:rFonts w:cs="Times New Roman"/>
                <w:sz w:val="24"/>
                <w:rtl/>
              </w:rPr>
              <w:t>הודעה על</w:t>
            </w:r>
          </w:p>
        </w:tc>
        <w:tc>
          <w:tcPr>
            <w:tcW w:w="567" w:type="dxa"/>
          </w:tcPr>
          <w:p w14:paraId="5EB1FD68" w14:textId="77777777" w:rsidR="006F1B1D" w:rsidRPr="006F1B1D" w:rsidRDefault="006F1B1D" w:rsidP="006F1B1D">
            <w:pPr>
              <w:spacing w:line="240" w:lineRule="auto"/>
              <w:jc w:val="left"/>
              <w:rPr>
                <w:rStyle w:val="Hyperlink"/>
                <w:rFonts w:hint="cs"/>
                <w:rtl/>
              </w:rPr>
            </w:pPr>
            <w:hyperlink w:anchor="Seif13" w:tooltip="הודעה על" w:history="1">
              <w:r w:rsidRPr="006F1B1D">
                <w:rPr>
                  <w:rStyle w:val="Hyperlink"/>
                </w:rPr>
                <w:t>Go</w:t>
              </w:r>
            </w:hyperlink>
          </w:p>
        </w:tc>
        <w:tc>
          <w:tcPr>
            <w:tcW w:w="850" w:type="dxa"/>
          </w:tcPr>
          <w:p w14:paraId="6D535565" w14:textId="77777777" w:rsidR="006F1B1D" w:rsidRPr="006F1B1D" w:rsidRDefault="006F1B1D" w:rsidP="006F1B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687FBB7D" w14:textId="77777777" w:rsidR="007E7183" w:rsidRDefault="007E7183">
      <w:pPr>
        <w:pStyle w:val="big-header"/>
        <w:ind w:left="0" w:right="1134"/>
        <w:rPr>
          <w:rFonts w:hint="cs"/>
          <w:rtl/>
        </w:rPr>
      </w:pPr>
    </w:p>
    <w:p w14:paraId="074895DC" w14:textId="77777777" w:rsidR="007E7183" w:rsidRDefault="007E7183" w:rsidP="003A1664">
      <w:pPr>
        <w:pStyle w:val="big-header"/>
        <w:ind w:left="0" w:right="1134"/>
        <w:rPr>
          <w:rFonts w:hint="cs"/>
          <w:rtl/>
        </w:rPr>
      </w:pPr>
      <w:r>
        <w:rPr>
          <w:rtl/>
        </w:rPr>
        <w:br w:type="page"/>
      </w:r>
      <w:r>
        <w:rPr>
          <w:rFonts w:hint="cs"/>
          <w:rtl/>
        </w:rPr>
        <w:lastRenderedPageBreak/>
        <w:t>תקנות הפיקוח על יצוא ביטחוני (השגה על החלטת הרשות המוסמכת)</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06A9DE89" w14:textId="77777777" w:rsidR="007E7183" w:rsidRDefault="007E718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5, 10(ב) ו-45 לחוק הפיקוח על יצוא ביטחוני, התשס"ז-2007 (להלן </w:t>
      </w:r>
      <w:r>
        <w:rPr>
          <w:rStyle w:val="default"/>
          <w:rFonts w:cs="FrankRuehl"/>
          <w:rtl/>
        </w:rPr>
        <w:t>–</w:t>
      </w:r>
      <w:r>
        <w:rPr>
          <w:rStyle w:val="default"/>
          <w:rFonts w:cs="FrankRuehl" w:hint="cs"/>
          <w:rtl/>
        </w:rPr>
        <w:t xml:space="preserve"> החוק), ובאישור ועדת החוץ והביטחון של הכנסת, אני מתקין תקנות אלה:</w:t>
      </w:r>
    </w:p>
    <w:p w14:paraId="3DCAD76E" w14:textId="77777777" w:rsidR="007E7183" w:rsidRDefault="007E7183">
      <w:pPr>
        <w:pStyle w:val="medium2-header"/>
        <w:keepLines w:val="0"/>
        <w:spacing w:before="72"/>
        <w:ind w:left="0" w:right="1134"/>
        <w:outlineLvl w:val="0"/>
        <w:rPr>
          <w:rFonts w:cs="FrankRuehl" w:hint="cs"/>
          <w:noProof/>
          <w:rtl/>
        </w:rPr>
      </w:pPr>
      <w:bookmarkStart w:id="0" w:name="med0"/>
      <w:bookmarkEnd w:id="0"/>
      <w:r>
        <w:rPr>
          <w:rFonts w:cs="FrankRuehl" w:hint="cs"/>
          <w:noProof/>
          <w:rtl/>
        </w:rPr>
        <w:t>פרק א': פרשנות</w:t>
      </w:r>
    </w:p>
    <w:p w14:paraId="29B77080" w14:textId="77777777" w:rsidR="007E7183" w:rsidRDefault="007E7183">
      <w:pPr>
        <w:pStyle w:val="P00"/>
        <w:spacing w:before="72"/>
        <w:ind w:left="0" w:right="1134"/>
        <w:rPr>
          <w:rStyle w:val="default"/>
          <w:rFonts w:cs="FrankRuehl" w:hint="cs"/>
          <w:rtl/>
        </w:rPr>
      </w:pPr>
      <w:bookmarkStart w:id="1" w:name="Seif1"/>
      <w:bookmarkEnd w:id="1"/>
      <w:r>
        <w:rPr>
          <w:lang w:val="he-IL"/>
        </w:rPr>
        <w:pict w14:anchorId="7912EC5F">
          <v:rect id="_x0000_s1026" style="position:absolute;left:0;text-align:left;margin-left:464.5pt;margin-top:8.05pt;width:75.05pt;height:16.8pt;z-index:251651584" o:allowincell="f" filled="f" stroked="f" strokecolor="lime" strokeweight=".25pt">
            <v:textbox style="mso-next-textbox:#_x0000_s1026" inset="0,0,0,0">
              <w:txbxContent>
                <w:p w14:paraId="257094E1" w14:textId="77777777" w:rsidR="007E7183" w:rsidRDefault="007E7183">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7D63BAA9"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האגף;</w:t>
      </w:r>
    </w:p>
    <w:p w14:paraId="75FCCF44"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להירשם במרשם היצוא הביטחוני או בקשה לרישיון;</w:t>
      </w:r>
    </w:p>
    <w:p w14:paraId="7EA856DD"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"האגף" </w:t>
      </w:r>
      <w:r>
        <w:rPr>
          <w:rStyle w:val="default"/>
          <w:rFonts w:cs="FrankRuehl"/>
          <w:rtl/>
        </w:rPr>
        <w:t>–</w:t>
      </w:r>
      <w:r>
        <w:rPr>
          <w:rStyle w:val="default"/>
          <w:rFonts w:cs="FrankRuehl" w:hint="cs"/>
          <w:rtl/>
        </w:rPr>
        <w:t xml:space="preserve"> אגף הפיקוח על היצוא הביטחוני במשרד הביטחון;</w:t>
      </w:r>
    </w:p>
    <w:p w14:paraId="1B196389"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"הגורם המוסמך" </w:t>
      </w:r>
      <w:r>
        <w:rPr>
          <w:rStyle w:val="default"/>
          <w:rFonts w:cs="FrankRuehl"/>
          <w:rtl/>
        </w:rPr>
        <w:t>–</w:t>
      </w:r>
      <w:r>
        <w:rPr>
          <w:rStyle w:val="default"/>
          <w:rFonts w:cs="FrankRuehl" w:hint="cs"/>
          <w:rtl/>
        </w:rPr>
        <w:t xml:space="preserve"> מי שהוסמך, לפי סעיף 10(ב)(3) לחוק, להחליט בעניין רישיון יצוא ציוד ביטחוני במעבר או רישיון העברה לשטחי האחריות האזרחית הפלסטינית;</w:t>
      </w:r>
    </w:p>
    <w:p w14:paraId="380C2D00"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"החלטה" </w:t>
      </w:r>
      <w:r>
        <w:rPr>
          <w:rStyle w:val="default"/>
          <w:rFonts w:cs="FrankRuehl"/>
          <w:rtl/>
        </w:rPr>
        <w:t>–</w:t>
      </w:r>
      <w:r>
        <w:rPr>
          <w:rStyle w:val="default"/>
          <w:rFonts w:cs="FrankRuehl" w:hint="cs"/>
          <w:rtl/>
        </w:rPr>
        <w:t xml:space="preserve"> החלטת הרשות המוסמכת לפי סעיפים 4, 8 או 9 לחוק;</w:t>
      </w:r>
    </w:p>
    <w:p w14:paraId="4627359C"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"המנכ"ל" </w:t>
      </w:r>
      <w:r>
        <w:rPr>
          <w:rStyle w:val="default"/>
          <w:rFonts w:cs="FrankRuehl"/>
          <w:rtl/>
        </w:rPr>
        <w:t>–</w:t>
      </w:r>
      <w:r>
        <w:rPr>
          <w:rStyle w:val="default"/>
          <w:rFonts w:cs="FrankRuehl" w:hint="cs"/>
          <w:rtl/>
        </w:rPr>
        <w:t xml:space="preserve"> המנהל הכללי של משרד הביטחון;</w:t>
      </w:r>
    </w:p>
    <w:p w14:paraId="69408EFD"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משרד הביטחון;</w:t>
      </w:r>
    </w:p>
    <w:p w14:paraId="6CBA80A2"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"השגה" </w:t>
      </w:r>
      <w:r>
        <w:rPr>
          <w:rStyle w:val="default"/>
          <w:rFonts w:cs="FrankRuehl"/>
          <w:rtl/>
        </w:rPr>
        <w:t>–</w:t>
      </w:r>
      <w:r>
        <w:rPr>
          <w:rStyle w:val="default"/>
          <w:rFonts w:cs="FrankRuehl" w:hint="cs"/>
          <w:rtl/>
        </w:rPr>
        <w:t xml:space="preserve"> לרבות בדרך של עיון מחדש;</w:t>
      </w:r>
    </w:p>
    <w:p w14:paraId="49E5C94D"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שהגיש לרשות המוסמכת בקשה להירשם במרשם היצוא הביטחוני או בקשה לרישיון;</w:t>
      </w:r>
    </w:p>
    <w:p w14:paraId="0F6871F5"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"מגיש ההשגה" </w:t>
      </w:r>
      <w:r>
        <w:rPr>
          <w:rStyle w:val="default"/>
          <w:rFonts w:cs="FrankRuehl"/>
          <w:rtl/>
        </w:rPr>
        <w:t>–</w:t>
      </w:r>
      <w:r>
        <w:rPr>
          <w:rStyle w:val="default"/>
          <w:rFonts w:cs="FrankRuehl" w:hint="cs"/>
          <w:rtl/>
        </w:rPr>
        <w:t xml:space="preserve"> כמפורט בסעיפים 5 ו-10(א) לחוק, לפי העניין;</w:t>
      </w:r>
    </w:p>
    <w:p w14:paraId="34E87575"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"ראש האגף" </w:t>
      </w:r>
      <w:r>
        <w:rPr>
          <w:rStyle w:val="default"/>
          <w:rFonts w:cs="FrankRuehl"/>
          <w:rtl/>
        </w:rPr>
        <w:t>–</w:t>
      </w:r>
      <w:r>
        <w:rPr>
          <w:rStyle w:val="default"/>
          <w:rFonts w:cs="FrankRuehl" w:hint="cs"/>
          <w:rtl/>
        </w:rPr>
        <w:t xml:space="preserve"> ראש אגף הפיקוח על היצוא הביטחוני במשרד הביטחון;</w:t>
      </w:r>
    </w:p>
    <w:p w14:paraId="54EEDED9" w14:textId="77777777" w:rsidR="007E7183" w:rsidRDefault="007E7183">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לפי סימן ב' לפרק ד' לחוק.</w:t>
      </w:r>
    </w:p>
    <w:p w14:paraId="6AE80066" w14:textId="77777777" w:rsidR="007E7183" w:rsidRDefault="007E7183">
      <w:pPr>
        <w:pStyle w:val="medium2-header"/>
        <w:keepLines w:val="0"/>
        <w:spacing w:before="72"/>
        <w:ind w:left="0" w:right="1134"/>
        <w:outlineLvl w:val="0"/>
        <w:rPr>
          <w:rFonts w:cs="FrankRuehl" w:hint="cs"/>
          <w:noProof/>
          <w:rtl/>
        </w:rPr>
      </w:pPr>
      <w:bookmarkStart w:id="2" w:name="med1"/>
      <w:bookmarkEnd w:id="2"/>
      <w:r>
        <w:rPr>
          <w:rFonts w:cs="FrankRuehl" w:hint="cs"/>
          <w:noProof/>
          <w:rtl/>
        </w:rPr>
        <w:t>פרק ב': הגשת השגה</w:t>
      </w:r>
    </w:p>
    <w:p w14:paraId="61643387" w14:textId="77777777" w:rsidR="007E7183" w:rsidRDefault="007E7183">
      <w:pPr>
        <w:pStyle w:val="P00"/>
        <w:spacing w:before="72"/>
        <w:ind w:left="0" w:right="1134"/>
        <w:rPr>
          <w:rStyle w:val="default"/>
          <w:rFonts w:cs="FrankRuehl" w:hint="cs"/>
          <w:rtl/>
        </w:rPr>
      </w:pPr>
      <w:bookmarkStart w:id="3" w:name="Seif2"/>
      <w:bookmarkEnd w:id="3"/>
      <w:r>
        <w:rPr>
          <w:lang w:val="he-IL"/>
        </w:rPr>
        <w:pict w14:anchorId="6603015E">
          <v:rect id="_x0000_s1049" style="position:absolute;left:0;text-align:left;margin-left:464.5pt;margin-top:8.05pt;width:75.05pt;height:16.8pt;z-index:251652608" o:allowincell="f" filled="f" stroked="f" strokecolor="lime" strokeweight=".25pt">
            <v:textbox style="mso-next-textbox:#_x0000_s1049" inset="0,0,0,0">
              <w:txbxContent>
                <w:p w14:paraId="51B21228" w14:textId="77777777" w:rsidR="007E7183" w:rsidRDefault="007E7183">
                  <w:pPr>
                    <w:spacing w:line="160" w:lineRule="exact"/>
                    <w:jc w:val="left"/>
                    <w:rPr>
                      <w:rFonts w:cs="Miriam" w:hint="cs"/>
                      <w:noProof/>
                      <w:szCs w:val="18"/>
                      <w:rtl/>
                    </w:rPr>
                  </w:pPr>
                  <w:r>
                    <w:rPr>
                      <w:rFonts w:cs="Miriam" w:hint="cs"/>
                      <w:szCs w:val="18"/>
                      <w:rtl/>
                    </w:rPr>
                    <w:t>פרטי ההשגה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על החלטת הרשות המוסמכת ניתן להגיש השגה.</w:t>
      </w:r>
    </w:p>
    <w:p w14:paraId="5C19A03A" w14:textId="77777777" w:rsidR="007E7183" w:rsidRDefault="007E71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השגה תוגש לרשות המוסמכת, כשהיא מודפסת, בתוך 30 ימים מהיום שבו נמסרה למגיש ההשגה ההודעה על ההחלטה נשוא ההשגה.</w:t>
      </w:r>
    </w:p>
    <w:p w14:paraId="5E24B745" w14:textId="77777777" w:rsidR="007E7183" w:rsidRDefault="007E71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מגיש ההשגה יצרף להשגתו את המסמכים הנדרשים לדעתו לתמיכה בהשגה; המסמכים שיצורפו להשגה יהיו מקוריים בלבד או יאושרו על ידי עורך דין ישראלי או על ידי קונסול ישראלי כמתאימים למקור.</w:t>
      </w:r>
    </w:p>
    <w:p w14:paraId="4197C8FA" w14:textId="77777777" w:rsidR="007E7183" w:rsidRDefault="007E71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מגיש ההשגה יגיש לאגף, בכל עת שיידרש לכך, כל פרט, ידיעה או מסמך הנוגעים לעניין והדרושים לצורך החלטה ביחס להשגה, וישיב נכונה על כל שאלה שיישאל בקשר להשגה.</w:t>
      </w:r>
    </w:p>
    <w:p w14:paraId="770602C6" w14:textId="77777777" w:rsidR="007E7183" w:rsidRDefault="007E7183">
      <w:pPr>
        <w:pStyle w:val="P00"/>
        <w:spacing w:before="72"/>
        <w:ind w:left="0" w:right="1134"/>
        <w:rPr>
          <w:rStyle w:val="default"/>
          <w:rFonts w:cs="FrankRuehl" w:hint="cs"/>
          <w:rtl/>
        </w:rPr>
      </w:pPr>
      <w:bookmarkStart w:id="4" w:name="Seif3"/>
      <w:bookmarkEnd w:id="4"/>
      <w:r>
        <w:rPr>
          <w:lang w:val="he-IL"/>
        </w:rPr>
        <w:pict w14:anchorId="1C585754">
          <v:rect id="_x0000_s1050" style="position:absolute;left:0;text-align:left;margin-left:464.5pt;margin-top:8.05pt;width:75.05pt;height:11.35pt;z-index:251653632" o:allowincell="f" filled="f" stroked="f" strokecolor="lime" strokeweight=".25pt">
            <v:textbox style="mso-next-textbox:#_x0000_s1050" inset="0,0,0,0">
              <w:txbxContent>
                <w:p w14:paraId="7FBDED31" w14:textId="77777777" w:rsidR="007E7183" w:rsidRDefault="007E7183">
                  <w:pPr>
                    <w:spacing w:line="160" w:lineRule="exact"/>
                    <w:jc w:val="left"/>
                    <w:rPr>
                      <w:rFonts w:cs="Miriam" w:hint="cs"/>
                      <w:noProof/>
                      <w:szCs w:val="18"/>
                      <w:rtl/>
                    </w:rPr>
                  </w:pPr>
                  <w:r>
                    <w:rPr>
                      <w:rFonts w:cs="Miriam" w:hint="cs"/>
                      <w:szCs w:val="18"/>
                      <w:rtl/>
                    </w:rPr>
                    <w:t>חתימה והצהרות</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ההשגה תיחתם ביד מגיש ההשגה; היה מגיש ההשגה תאגיד, תיחתם הבקשה בידי מי שהתאגיד הסמיכו לחתום עליה בשמו, ויצורף לה אישור מאת עורך דין בדבר סמכות החותם לחתום בשם התאגיד.</w:t>
      </w:r>
    </w:p>
    <w:p w14:paraId="3CA54B9C" w14:textId="77777777" w:rsidR="007E7183" w:rsidRDefault="007E71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ההשגה יצהיר כי מכלול הפרטים שפורטו בהשגה והמסמכים אשר צורפו אליה הם נכונים ומלאים.</w:t>
      </w:r>
    </w:p>
    <w:p w14:paraId="2C5265E2" w14:textId="77777777" w:rsidR="007E7183" w:rsidRDefault="007E7183">
      <w:pPr>
        <w:pStyle w:val="P00"/>
        <w:spacing w:before="72"/>
        <w:ind w:left="0" w:right="1134"/>
        <w:rPr>
          <w:rStyle w:val="default"/>
          <w:rFonts w:cs="FrankRuehl" w:hint="cs"/>
          <w:rtl/>
        </w:rPr>
      </w:pPr>
      <w:bookmarkStart w:id="5" w:name="Seif4"/>
      <w:bookmarkEnd w:id="5"/>
      <w:r>
        <w:rPr>
          <w:lang w:val="he-IL"/>
        </w:rPr>
        <w:pict w14:anchorId="041B05BD">
          <v:rect id="_x0000_s1051" style="position:absolute;left:0;text-align:left;margin-left:464.5pt;margin-top:8.05pt;width:75.05pt;height:16.8pt;z-index:251654656" o:allowincell="f" filled="f" stroked="f" strokecolor="lime" strokeweight=".25pt">
            <v:textbox style="mso-next-textbox:#_x0000_s1051" inset="0,0,0,0">
              <w:txbxContent>
                <w:p w14:paraId="5E262FB1" w14:textId="77777777" w:rsidR="007E7183" w:rsidRDefault="007E7183">
                  <w:pPr>
                    <w:spacing w:line="160" w:lineRule="exact"/>
                    <w:jc w:val="left"/>
                    <w:rPr>
                      <w:rFonts w:cs="Miriam" w:hint="cs"/>
                      <w:noProof/>
                      <w:szCs w:val="18"/>
                      <w:rtl/>
                    </w:rPr>
                  </w:pPr>
                  <w:r>
                    <w:rPr>
                      <w:rFonts w:cs="Miriam" w:hint="cs"/>
                      <w:szCs w:val="18"/>
                      <w:rtl/>
                    </w:rPr>
                    <w:t>הגשת ההשגה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השגה תישלח לאגף בדואר או במסירה ידנית; לעניין תקנות אלה, מועד הגשת ההשגה יהיה המועד שבו נתקבלה ההשגה באגף.</w:t>
      </w:r>
    </w:p>
    <w:p w14:paraId="701B4A24" w14:textId="77777777" w:rsidR="007E7183" w:rsidRDefault="007E7183">
      <w:pPr>
        <w:pStyle w:val="P00"/>
        <w:spacing w:before="72"/>
        <w:ind w:left="0" w:right="1134"/>
        <w:rPr>
          <w:rStyle w:val="default"/>
          <w:rFonts w:cs="FrankRuehl" w:hint="cs"/>
          <w:rtl/>
        </w:rPr>
      </w:pPr>
      <w:bookmarkStart w:id="6" w:name="Seif5"/>
      <w:bookmarkEnd w:id="6"/>
      <w:r>
        <w:rPr>
          <w:lang w:val="he-IL"/>
        </w:rPr>
        <w:pict w14:anchorId="1BB7DD6F">
          <v:rect id="_x0000_s1052" style="position:absolute;left:0;text-align:left;margin-left:464.5pt;margin-top:8.05pt;width:75.05pt;height:16.8pt;z-index:251655680" o:allowincell="f" filled="f" stroked="f" strokecolor="lime" strokeweight=".25pt">
            <v:textbox style="mso-next-textbox:#_x0000_s1052" inset="0,0,0,0">
              <w:txbxContent>
                <w:p w14:paraId="26F6027E" w14:textId="77777777" w:rsidR="007E7183" w:rsidRDefault="007E7183">
                  <w:pPr>
                    <w:spacing w:line="160" w:lineRule="exact"/>
                    <w:jc w:val="left"/>
                    <w:rPr>
                      <w:rFonts w:cs="Miriam" w:hint="cs"/>
                      <w:noProof/>
                      <w:szCs w:val="18"/>
                      <w:rtl/>
                    </w:rPr>
                  </w:pPr>
                  <w:r>
                    <w:rPr>
                      <w:rFonts w:cs="Miriam" w:hint="cs"/>
                      <w:szCs w:val="18"/>
                      <w:rtl/>
                    </w:rPr>
                    <w:t>הארכת מועד הגשת השגה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 xml:space="preserve">לפי בקשת מגיש השגה, רשאי ראש האגף להאריך את המועד להגשת השגה, אם ראה הצדקה לכך מטעמים מיוחדים שיירשמו; דחה ראש האגף את בקשה מגיש השגה להארכת מועד כאמור, רשאי המנכ"ל או הגורם המוסמך, לפי העניין, לפי בקשת מגיש ההשגה, להאריך את המועד, מטעמים כאמור, ויודיע על החלטתו המנומקת בתוך חמישה ימים מיום קבלת הבקשה </w:t>
      </w:r>
      <w:r>
        <w:rPr>
          <w:rStyle w:val="default"/>
          <w:rFonts w:cs="FrankRuehl" w:hint="cs"/>
          <w:rtl/>
        </w:rPr>
        <w:lastRenderedPageBreak/>
        <w:t>להארכת המועד.</w:t>
      </w:r>
    </w:p>
    <w:p w14:paraId="61F84C60" w14:textId="77777777" w:rsidR="007E7183" w:rsidRDefault="007E7183">
      <w:pPr>
        <w:pStyle w:val="P00"/>
        <w:spacing w:before="72"/>
        <w:ind w:left="0" w:right="1134"/>
        <w:rPr>
          <w:rStyle w:val="default"/>
          <w:rFonts w:cs="FrankRuehl" w:hint="cs"/>
          <w:rtl/>
        </w:rPr>
      </w:pPr>
      <w:bookmarkStart w:id="7" w:name="Seif6"/>
      <w:bookmarkEnd w:id="7"/>
      <w:r>
        <w:rPr>
          <w:lang w:val="he-IL"/>
        </w:rPr>
        <w:pict w14:anchorId="77B6A085">
          <v:rect id="_x0000_s1053" style="position:absolute;left:0;text-align:left;margin-left:464.5pt;margin-top:8.05pt;width:75.05pt;height:16.8pt;z-index:251656704" o:allowincell="f" filled="f" stroked="f" strokecolor="lime" strokeweight=".25pt">
            <v:textbox style="mso-next-textbox:#_x0000_s1053" inset="0,0,0,0">
              <w:txbxContent>
                <w:p w14:paraId="0774F5C1" w14:textId="77777777" w:rsidR="007E7183" w:rsidRDefault="007E7183">
                  <w:pPr>
                    <w:spacing w:line="160" w:lineRule="exact"/>
                    <w:jc w:val="left"/>
                    <w:rPr>
                      <w:rFonts w:cs="Miriam" w:hint="cs"/>
                      <w:noProof/>
                      <w:szCs w:val="18"/>
                      <w:rtl/>
                    </w:rPr>
                  </w:pPr>
                  <w:r>
                    <w:rPr>
                      <w:rFonts w:cs="Miriam" w:hint="cs"/>
                      <w:szCs w:val="18"/>
                      <w:rtl/>
                    </w:rPr>
                    <w:t>תקפות ההחלטה</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אין בהגשת השגה כדי לעכב את ביצועה של ההחלטה נשוא ההשגה.</w:t>
      </w:r>
    </w:p>
    <w:p w14:paraId="0D96DE1D" w14:textId="77777777" w:rsidR="007E7183" w:rsidRDefault="007E7183">
      <w:pPr>
        <w:pStyle w:val="P00"/>
        <w:spacing w:before="72"/>
        <w:ind w:left="0" w:right="1134"/>
        <w:rPr>
          <w:rStyle w:val="default"/>
          <w:rFonts w:cs="FrankRuehl" w:hint="cs"/>
          <w:rtl/>
        </w:rPr>
      </w:pPr>
      <w:bookmarkStart w:id="8" w:name="Seif7"/>
      <w:bookmarkEnd w:id="8"/>
      <w:r>
        <w:rPr>
          <w:lang w:val="he-IL"/>
        </w:rPr>
        <w:pict w14:anchorId="34390D2C">
          <v:rect id="_x0000_s1054" style="position:absolute;left:0;text-align:left;margin-left:464.5pt;margin-top:8.05pt;width:75.05pt;height:16.8pt;z-index:251657728" o:allowincell="f" filled="f" stroked="f" strokecolor="lime" strokeweight=".25pt">
            <v:textbox style="mso-next-textbox:#_x0000_s1054" inset="0,0,0,0">
              <w:txbxContent>
                <w:p w14:paraId="30BF3DBC" w14:textId="77777777" w:rsidR="007E7183" w:rsidRDefault="007E7183">
                  <w:pPr>
                    <w:spacing w:line="160" w:lineRule="exact"/>
                    <w:jc w:val="left"/>
                    <w:rPr>
                      <w:rFonts w:cs="Miriam" w:hint="cs"/>
                      <w:noProof/>
                      <w:szCs w:val="18"/>
                      <w:rtl/>
                    </w:rPr>
                  </w:pPr>
                  <w:r>
                    <w:rPr>
                      <w:rFonts w:cs="Miriam" w:hint="cs"/>
                      <w:szCs w:val="18"/>
                      <w:rtl/>
                    </w:rPr>
                    <w:t>אישור המצאת השגה</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בתוך חמישה ימים מהמועד שבו נתקבלה ההשגה באגף, ימסור האגף הודעה למגיש ההשגה כי הוא מאשר את עצם קבלתה באגף; ההודעה תימסר בדואר רשום למען להמצאת מכתבים שצוין בהשגה.</w:t>
      </w:r>
    </w:p>
    <w:p w14:paraId="6FD3ACD7" w14:textId="77777777" w:rsidR="007E7183" w:rsidRDefault="007E7183">
      <w:pPr>
        <w:pStyle w:val="P00"/>
        <w:spacing w:before="72"/>
        <w:ind w:left="0" w:right="1134"/>
        <w:rPr>
          <w:rStyle w:val="default"/>
          <w:rFonts w:cs="FrankRuehl" w:hint="cs"/>
          <w:rtl/>
        </w:rPr>
      </w:pPr>
      <w:bookmarkStart w:id="9" w:name="Seif8"/>
      <w:bookmarkEnd w:id="9"/>
      <w:r>
        <w:rPr>
          <w:lang w:val="he-IL"/>
        </w:rPr>
        <w:pict w14:anchorId="0BBB1865">
          <v:rect id="_x0000_s1055" style="position:absolute;left:0;text-align:left;margin-left:464.5pt;margin-top:8.05pt;width:75.05pt;height:16.85pt;z-index:251658752" o:allowincell="f" filled="f" stroked="f" strokecolor="lime" strokeweight=".25pt">
            <v:textbox style="mso-next-textbox:#_x0000_s1055" inset="0,0,0,0">
              <w:txbxContent>
                <w:p w14:paraId="0B5E96FE" w14:textId="77777777" w:rsidR="007E7183" w:rsidRDefault="007E7183">
                  <w:pPr>
                    <w:spacing w:line="160" w:lineRule="exact"/>
                    <w:jc w:val="left"/>
                    <w:rPr>
                      <w:rFonts w:cs="Miriam" w:hint="cs"/>
                      <w:noProof/>
                      <w:szCs w:val="18"/>
                      <w:rtl/>
                    </w:rPr>
                  </w:pPr>
                  <w:r>
                    <w:rPr>
                      <w:rFonts w:cs="Miriam" w:hint="cs"/>
                      <w:szCs w:val="18"/>
                      <w:rtl/>
                    </w:rPr>
                    <w:t>הטיפול בהשגה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סברו הוועדה המייעצת, הגורם המוסמך או המנכ"ל כי הדבר דרוש לשם הכרעה בהשגה, יוזמן מגיש ההשגה להשלים את טיעוניו בעל פה לפני הוועדה המייעצת, הגורם המוסמך או המנכ"ל, לפי העניין.</w:t>
      </w:r>
    </w:p>
    <w:p w14:paraId="269A97B0" w14:textId="77777777" w:rsidR="007E7183" w:rsidRDefault="007E7183">
      <w:pPr>
        <w:pStyle w:val="P00"/>
        <w:spacing w:before="72"/>
        <w:ind w:left="0" w:right="1134"/>
        <w:rPr>
          <w:rStyle w:val="default"/>
          <w:rFonts w:cs="FrankRuehl" w:hint="cs"/>
          <w:rtl/>
        </w:rPr>
      </w:pPr>
      <w:bookmarkStart w:id="10" w:name="Seif9"/>
      <w:bookmarkEnd w:id="10"/>
      <w:r>
        <w:rPr>
          <w:lang w:val="he-IL"/>
        </w:rPr>
        <w:pict w14:anchorId="23A39224">
          <v:rect id="_x0000_s1056" style="position:absolute;left:0;text-align:left;margin-left:464.5pt;margin-top:8.05pt;width:75.05pt;height:16.8pt;z-index:251659776" o:allowincell="f" filled="f" stroked="f" strokecolor="lime" strokeweight=".25pt">
            <v:textbox style="mso-next-textbox:#_x0000_s1056" inset="0,0,0,0">
              <w:txbxContent>
                <w:p w14:paraId="09CA610B" w14:textId="77777777" w:rsidR="007E7183" w:rsidRDefault="007E7183">
                  <w:pPr>
                    <w:spacing w:line="160" w:lineRule="exact"/>
                    <w:jc w:val="left"/>
                    <w:rPr>
                      <w:rFonts w:cs="Miriam" w:hint="cs"/>
                      <w:noProof/>
                      <w:szCs w:val="18"/>
                      <w:rtl/>
                    </w:rPr>
                  </w:pPr>
                  <w:r>
                    <w:rPr>
                      <w:rFonts w:cs="Miriam" w:hint="cs"/>
                      <w:szCs w:val="18"/>
                      <w:rtl/>
                    </w:rPr>
                    <w:t>דיון בהשגה חסרה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לא הוגשה השגה כמפורט בסעיפים 2 ו-3, או אם מגיש ההשגה לא השיב לפנייה אליו לפי תקנה 2(ד), 10(א) או 10(ג) בתוך 30 ימים מיום שנמסרה לו פנייה כאמור, או אם זומן מגיש ההשגה לטעון בעל פה ולא התייצב, רשאי המנכ"ל או הגורם המוסמך, לפי העניין, לדון ולהחליט בהשגה לגופה בהסתמך על המידע אשר לפניו.</w:t>
      </w:r>
    </w:p>
    <w:p w14:paraId="13B9FDDA" w14:textId="77777777" w:rsidR="007E7183" w:rsidRDefault="007E7183">
      <w:pPr>
        <w:pStyle w:val="P00"/>
        <w:spacing w:before="72"/>
        <w:ind w:left="0" w:right="1134"/>
        <w:rPr>
          <w:rStyle w:val="default"/>
          <w:rFonts w:cs="FrankRuehl" w:hint="cs"/>
          <w:rtl/>
        </w:rPr>
      </w:pPr>
      <w:bookmarkStart w:id="11" w:name="Seif10"/>
      <w:bookmarkEnd w:id="11"/>
      <w:r>
        <w:rPr>
          <w:lang w:val="he-IL"/>
        </w:rPr>
        <w:pict w14:anchorId="552A3270">
          <v:rect id="_x0000_s1057" style="position:absolute;left:0;text-align:left;margin-left:464.5pt;margin-top:8.05pt;width:75.05pt;height:26pt;z-index:251660800" o:allowincell="f" filled="f" stroked="f" strokecolor="lime" strokeweight=".25pt">
            <v:textbox style="mso-next-textbox:#_x0000_s1057" inset="0,0,0,0">
              <w:txbxContent>
                <w:p w14:paraId="456E7B95" w14:textId="77777777" w:rsidR="007E7183" w:rsidRDefault="007E7183">
                  <w:pPr>
                    <w:spacing w:line="160" w:lineRule="exact"/>
                    <w:jc w:val="left"/>
                    <w:rPr>
                      <w:rFonts w:cs="Miriam" w:hint="cs"/>
                      <w:noProof/>
                      <w:szCs w:val="18"/>
                      <w:rtl/>
                    </w:rPr>
                  </w:pPr>
                  <w:r>
                    <w:rPr>
                      <w:rFonts w:cs="Miriam" w:hint="cs"/>
                      <w:szCs w:val="18"/>
                      <w:rtl/>
                    </w:rPr>
                    <w:t>הדיון וההחלטה בהשגה</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סברו הוועדה המייעצת, הגורם המוסמך או המנכ"ל, כי נדרשת השלמה להשגה לצורך הדיון בה, יבקשו ממגיש ההשגה השלמות בכתב, בהתאם לתקנה 2(ג).</w:t>
      </w:r>
    </w:p>
    <w:p w14:paraId="614C4F89" w14:textId="77777777" w:rsidR="007E7183" w:rsidRDefault="007E71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המייעצת תיתן למנכ"ל את המלצתה המנומקת בכתב ביחס להשגה.</w:t>
      </w:r>
    </w:p>
    <w:p w14:paraId="47943594" w14:textId="77777777" w:rsidR="007E7183" w:rsidRDefault="007E71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המנכ"ל או הגורם המוסמך ידון בהשגה, המלצת הוועדה המייעצת ומידע נוסף שיבקש מגורמי מערכת הביטחון או ממגיש ההשגה.</w:t>
      </w:r>
    </w:p>
    <w:p w14:paraId="1BD83D71" w14:textId="77777777" w:rsidR="007E7183" w:rsidRDefault="007E718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המנכ"ל או הגורם המוסמך, לפי העניין, רשאי לדחות את ההשגה או לקבלה, כולה, מקצתה או בשינויים, או להחזיר את העניין עם הוראות לראש האגף.</w:t>
      </w:r>
    </w:p>
    <w:p w14:paraId="51B9E740" w14:textId="77777777" w:rsidR="007E7183" w:rsidRDefault="007E7183">
      <w:pPr>
        <w:pStyle w:val="P00"/>
        <w:spacing w:before="72"/>
        <w:ind w:left="0" w:right="1134"/>
        <w:rPr>
          <w:rStyle w:val="default"/>
          <w:rFonts w:cs="FrankRuehl" w:hint="cs"/>
          <w:rtl/>
        </w:rPr>
      </w:pPr>
      <w:bookmarkStart w:id="12" w:name="Seif11"/>
      <w:bookmarkEnd w:id="12"/>
      <w:r>
        <w:rPr>
          <w:lang w:val="he-IL"/>
        </w:rPr>
        <w:pict w14:anchorId="4EDDD7D7">
          <v:rect id="_x0000_s1058" style="position:absolute;left:0;text-align:left;margin-left:464.5pt;margin-top:8.05pt;width:75.05pt;height:16.8pt;z-index:251661824" o:allowincell="f" filled="f" stroked="f" strokecolor="lime" strokeweight=".25pt">
            <v:textbox style="mso-next-textbox:#_x0000_s1058" inset="0,0,0,0">
              <w:txbxContent>
                <w:p w14:paraId="4EFD7513" w14:textId="77777777" w:rsidR="007E7183" w:rsidRDefault="007E7183">
                  <w:pPr>
                    <w:spacing w:line="160" w:lineRule="exact"/>
                    <w:jc w:val="left"/>
                    <w:rPr>
                      <w:rFonts w:cs="Miriam" w:hint="cs"/>
                      <w:noProof/>
                      <w:szCs w:val="18"/>
                      <w:rtl/>
                    </w:rPr>
                  </w:pPr>
                  <w:r>
                    <w:rPr>
                      <w:rFonts w:cs="Miriam" w:hint="cs"/>
                      <w:szCs w:val="18"/>
                      <w:rtl/>
                    </w:rPr>
                    <w:t>המועד למתן החלטה בהשגה</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החלטה בהשגה תינתן בתוך ארבעים וחמישה ימים ממועד הגשתה, או, ממועד קבלת ההשלמות, לפי המאוחר.</w:t>
      </w:r>
    </w:p>
    <w:p w14:paraId="63E95BDD" w14:textId="77777777" w:rsidR="007E7183" w:rsidRDefault="007E7183">
      <w:pPr>
        <w:pStyle w:val="P00"/>
        <w:spacing w:before="72"/>
        <w:ind w:left="0" w:right="1134"/>
        <w:rPr>
          <w:rStyle w:val="default"/>
          <w:rFonts w:cs="FrankRuehl" w:hint="cs"/>
          <w:rtl/>
        </w:rPr>
      </w:pPr>
      <w:bookmarkStart w:id="13" w:name="Seif12"/>
      <w:bookmarkEnd w:id="13"/>
      <w:r>
        <w:rPr>
          <w:lang w:val="he-IL"/>
        </w:rPr>
        <w:pict w14:anchorId="2FAE3530">
          <v:rect id="_x0000_s1059" style="position:absolute;left:0;text-align:left;margin-left:464.5pt;margin-top:8.05pt;width:75.05pt;height:16.8pt;z-index:251662848" o:allowincell="f" filled="f" stroked="f" strokecolor="lime" strokeweight=".25pt">
            <v:textbox style="mso-next-textbox:#_x0000_s1059" inset="0,0,0,0">
              <w:txbxContent>
                <w:p w14:paraId="32CD7BA8" w14:textId="77777777" w:rsidR="007E7183" w:rsidRDefault="007E7183">
                  <w:pPr>
                    <w:spacing w:line="160" w:lineRule="exact"/>
                    <w:jc w:val="left"/>
                    <w:rPr>
                      <w:rFonts w:cs="Miriam" w:hint="cs"/>
                      <w:noProof/>
                      <w:szCs w:val="18"/>
                      <w:rtl/>
                    </w:rPr>
                  </w:pPr>
                  <w:r>
                    <w:rPr>
                      <w:rFonts w:cs="Miriam" w:hint="cs"/>
                      <w:szCs w:val="18"/>
                      <w:rtl/>
                    </w:rPr>
                    <w:t>הוועדה המייעצת</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כל מקום שנזכרת בתקנות אלה הוועדה המייעצת, תחול ההוראה ביחס לוועדה המייעצת לעניין השגה לפי סעיפים 8 או 9 לחוק בלבד.</w:t>
      </w:r>
    </w:p>
    <w:p w14:paraId="0A76106B" w14:textId="77777777" w:rsidR="007E7183" w:rsidRDefault="007E7183">
      <w:pPr>
        <w:pStyle w:val="P00"/>
        <w:spacing w:before="72"/>
        <w:ind w:left="0" w:right="1134"/>
        <w:rPr>
          <w:rStyle w:val="default"/>
          <w:rFonts w:cs="FrankRuehl" w:hint="cs"/>
          <w:rtl/>
        </w:rPr>
      </w:pPr>
      <w:bookmarkStart w:id="14" w:name="Seif13"/>
      <w:bookmarkEnd w:id="14"/>
      <w:r>
        <w:rPr>
          <w:lang w:val="he-IL"/>
        </w:rPr>
        <w:pict w14:anchorId="493B435C">
          <v:rect id="_x0000_s1063" style="position:absolute;left:0;text-align:left;margin-left:464.5pt;margin-top:8.05pt;width:75.05pt;height:16.8pt;z-index:251663872" o:allowincell="f" filled="f" stroked="f" strokecolor="lime" strokeweight=".25pt">
            <v:textbox style="mso-next-textbox:#_x0000_s1063" inset="0,0,0,0">
              <w:txbxContent>
                <w:p w14:paraId="58A69462" w14:textId="77777777" w:rsidR="007E7183" w:rsidRDefault="007E7183">
                  <w:pPr>
                    <w:spacing w:line="160" w:lineRule="exact"/>
                    <w:jc w:val="left"/>
                    <w:rPr>
                      <w:rFonts w:cs="Miriam" w:hint="cs"/>
                      <w:noProof/>
                      <w:szCs w:val="18"/>
                      <w:rtl/>
                    </w:rPr>
                  </w:pPr>
                  <w:r>
                    <w:rPr>
                      <w:rFonts w:cs="Miriam" w:hint="cs"/>
                      <w:szCs w:val="18"/>
                      <w:rtl/>
                    </w:rPr>
                    <w:t>הודעה על החלטה בהשגה</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t>ניתנה החלטה בהשגה, ימסור המנכ"ל או הגורם המוסמך הודעה מנומקת על כך למגיש ההשגה.</w:t>
      </w:r>
    </w:p>
    <w:p w14:paraId="6E609842" w14:textId="77777777" w:rsidR="007E7183" w:rsidRDefault="007E71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ההודעה תימסר למגיש ההשגה בדואר רשום למען להמצאת מסמכים שצוין בהשגה, וזאת בתוך שבעה ימים ממועד מתן ההחלטה בהשגה.</w:t>
      </w:r>
    </w:p>
    <w:p w14:paraId="0ABE0F72" w14:textId="77777777" w:rsidR="007E7183" w:rsidRDefault="007E7183">
      <w:pPr>
        <w:pStyle w:val="P00"/>
        <w:spacing w:before="72"/>
        <w:ind w:left="0" w:right="1134"/>
        <w:rPr>
          <w:rStyle w:val="default"/>
          <w:rFonts w:cs="FrankRuehl" w:hint="cs"/>
          <w:rtl/>
        </w:rPr>
      </w:pPr>
    </w:p>
    <w:p w14:paraId="38633872" w14:textId="77777777" w:rsidR="007E7183" w:rsidRDefault="007E7183">
      <w:pPr>
        <w:pStyle w:val="P00"/>
        <w:spacing w:before="72"/>
        <w:ind w:left="0" w:right="1134"/>
        <w:rPr>
          <w:rStyle w:val="default"/>
          <w:rFonts w:cs="FrankRuehl" w:hint="cs"/>
          <w:rtl/>
        </w:rPr>
      </w:pPr>
    </w:p>
    <w:p w14:paraId="51793173" w14:textId="77777777" w:rsidR="007E7183" w:rsidRDefault="007E7183">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14:paraId="316ADFEC" w14:textId="77777777" w:rsidR="007E7183" w:rsidRDefault="007E7183">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14:paraId="6C1D1DB9" w14:textId="77777777" w:rsidR="007E7183" w:rsidRDefault="007E7183">
      <w:pPr>
        <w:pStyle w:val="P00"/>
        <w:spacing w:before="72"/>
        <w:ind w:left="0" w:right="1134"/>
        <w:rPr>
          <w:rStyle w:val="default"/>
          <w:rFonts w:cs="FrankRuehl" w:hint="cs"/>
          <w:rtl/>
        </w:rPr>
      </w:pPr>
    </w:p>
    <w:p w14:paraId="340A3CDE" w14:textId="77777777" w:rsidR="007E7183" w:rsidRDefault="007E7183">
      <w:pPr>
        <w:pStyle w:val="P00"/>
        <w:spacing w:before="72"/>
        <w:ind w:left="0" w:right="1134"/>
        <w:rPr>
          <w:rStyle w:val="default"/>
          <w:rFonts w:cs="FrankRuehl" w:hint="cs"/>
          <w:rtl/>
        </w:rPr>
      </w:pPr>
    </w:p>
    <w:p w14:paraId="07CDD177" w14:textId="77777777" w:rsidR="006F1B1D" w:rsidRDefault="006F1B1D">
      <w:pPr>
        <w:pStyle w:val="P00"/>
        <w:spacing w:before="72"/>
        <w:ind w:left="0" w:right="1134"/>
        <w:rPr>
          <w:rStyle w:val="default"/>
          <w:rFonts w:cs="FrankRuehl"/>
          <w:rtl/>
        </w:rPr>
      </w:pPr>
      <w:bookmarkStart w:id="15" w:name="LawPartEnd"/>
      <w:bookmarkEnd w:id="15"/>
    </w:p>
    <w:p w14:paraId="7DE97A46" w14:textId="77777777" w:rsidR="006F1B1D" w:rsidRDefault="006F1B1D">
      <w:pPr>
        <w:pStyle w:val="P00"/>
        <w:spacing w:before="72"/>
        <w:ind w:left="0" w:right="1134"/>
        <w:rPr>
          <w:rStyle w:val="default"/>
          <w:rFonts w:cs="FrankRuehl"/>
          <w:rtl/>
        </w:rPr>
      </w:pPr>
    </w:p>
    <w:p w14:paraId="0104CA8B" w14:textId="77777777" w:rsidR="006F1B1D" w:rsidRDefault="006F1B1D" w:rsidP="006F1B1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FDAD465" w14:textId="77777777" w:rsidR="007E7183" w:rsidRPr="006F1B1D" w:rsidRDefault="007E7183" w:rsidP="006F1B1D">
      <w:pPr>
        <w:pStyle w:val="P00"/>
        <w:spacing w:before="72"/>
        <w:ind w:left="0" w:right="1134"/>
        <w:jc w:val="center"/>
        <w:rPr>
          <w:rStyle w:val="default"/>
          <w:rFonts w:cs="David"/>
          <w:color w:val="0000FF"/>
          <w:szCs w:val="24"/>
          <w:u w:val="single"/>
          <w:rtl/>
        </w:rPr>
      </w:pPr>
    </w:p>
    <w:sectPr w:rsidR="007E7183" w:rsidRPr="006F1B1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D8FA" w14:textId="77777777" w:rsidR="00382D63" w:rsidRDefault="00382D63">
      <w:r>
        <w:separator/>
      </w:r>
    </w:p>
  </w:endnote>
  <w:endnote w:type="continuationSeparator" w:id="0">
    <w:p w14:paraId="49ACD8A2" w14:textId="77777777" w:rsidR="00382D63" w:rsidRDefault="00382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7E77" w14:textId="77777777" w:rsidR="007E7183" w:rsidRDefault="007E71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F16F14" w14:textId="77777777" w:rsidR="007E7183" w:rsidRDefault="007E718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3F0F8F" w14:textId="77777777" w:rsidR="007E7183" w:rsidRDefault="007E71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1B1D">
      <w:rPr>
        <w:rFonts w:cs="TopType Jerushalmi"/>
        <w:noProof/>
        <w:color w:val="000000"/>
        <w:sz w:val="14"/>
        <w:szCs w:val="14"/>
      </w:rPr>
      <w:t>Z:\00000000000000000000000=2014------------------------\05-May\2014-05-28\LawsForHofit\01\999_914.doc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84BB" w14:textId="77777777" w:rsidR="007E7183" w:rsidRDefault="007E71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1B1D">
      <w:rPr>
        <w:rFonts w:hAnsi="FrankRuehl" w:cs="FrankRuehl"/>
        <w:noProof/>
        <w:sz w:val="24"/>
        <w:szCs w:val="24"/>
        <w:rtl/>
      </w:rPr>
      <w:t>3</w:t>
    </w:r>
    <w:r>
      <w:rPr>
        <w:rFonts w:hAnsi="FrankRuehl" w:cs="FrankRuehl"/>
        <w:sz w:val="24"/>
        <w:szCs w:val="24"/>
        <w:rtl/>
      </w:rPr>
      <w:fldChar w:fldCharType="end"/>
    </w:r>
  </w:p>
  <w:p w14:paraId="5F8BD2DF" w14:textId="77777777" w:rsidR="007E7183" w:rsidRDefault="007E718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25A628" w14:textId="77777777" w:rsidR="007E7183" w:rsidRDefault="007E71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1B1D">
      <w:rPr>
        <w:rFonts w:cs="TopType Jerushalmi"/>
        <w:noProof/>
        <w:color w:val="000000"/>
        <w:sz w:val="14"/>
        <w:szCs w:val="14"/>
      </w:rPr>
      <w:t>Z:\00000000000000000000000=2014------------------------\05-May\2014-05-28\LawsForHofit\01\999_914.doc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00DC" w14:textId="77777777" w:rsidR="00382D63" w:rsidRDefault="00382D63">
      <w:pPr>
        <w:spacing w:before="60" w:line="240" w:lineRule="auto"/>
        <w:ind w:right="1134"/>
      </w:pPr>
      <w:r>
        <w:separator/>
      </w:r>
    </w:p>
  </w:footnote>
  <w:footnote w:type="continuationSeparator" w:id="0">
    <w:p w14:paraId="41F8E8DC" w14:textId="77777777" w:rsidR="00382D63" w:rsidRDefault="00382D63">
      <w:r>
        <w:continuationSeparator/>
      </w:r>
    </w:p>
  </w:footnote>
  <w:footnote w:id="1">
    <w:p w14:paraId="7FE6C4EA" w14:textId="77777777" w:rsidR="007E7183" w:rsidRDefault="007E71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CB1E" w14:textId="77777777" w:rsidR="007E7183" w:rsidRDefault="007E71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DB0FFB0" w14:textId="77777777" w:rsidR="007E7183" w:rsidRDefault="007E71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4DC8D8" w14:textId="77777777" w:rsidR="007E7183" w:rsidRDefault="007E718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C934" w14:textId="77777777" w:rsidR="007E7183" w:rsidRDefault="007E718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(השגה על החלטת הרשות המוסמכת)</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6CE7AD8C" w14:textId="77777777" w:rsidR="007E7183" w:rsidRDefault="007E71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F9D603" w14:textId="77777777" w:rsidR="007E7183" w:rsidRDefault="007E718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664"/>
    <w:rsid w:val="00311945"/>
    <w:rsid w:val="00382D63"/>
    <w:rsid w:val="003A1664"/>
    <w:rsid w:val="006F1B1D"/>
    <w:rsid w:val="007E7183"/>
    <w:rsid w:val="00980DA8"/>
    <w:rsid w:val="00C366BF"/>
    <w:rsid w:val="00C67CBB"/>
    <w:rsid w:val="00C954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2B6C23"/>
  <w15:chartTrackingRefBased/>
  <w15:docId w15:val="{B22DC08A-6F68-4F7E-B2B2-142C3F7D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eb1.nevo.co.il/Law_word/law06/tak-6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5444</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3014669</vt:i4>
      </vt:variant>
      <vt:variant>
        <vt:i4>0</vt:i4>
      </vt:variant>
      <vt:variant>
        <vt:i4>0</vt:i4>
      </vt:variant>
      <vt:variant>
        <vt:i4>5</vt:i4>
      </vt:variant>
      <vt:variant>
        <vt:lpwstr>http://web1.nevo.co.il/Law_word/law06/tak-6646.pdf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(השגה על החלטת הרשות המוסמכת), תשס"ח-2008</vt:lpwstr>
  </property>
  <property fmtid="{D5CDD505-2E9C-101B-9397-08002B2CF9AE}" pid="5" name="LAWNUMBER">
    <vt:lpwstr>0914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http://web1.nevo.co.il/Law_word/law06/tak-6646.pdf;רשומות - תקנות כלליות#פורסמו ק"ת תשס"ח מס' 6646 #מיום 12.2.2008 עמ' 469</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5X;10XבX;45X</vt:lpwstr>
  </property>
</Properties>
</file>