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E552" w14:textId="77777777" w:rsidR="00F070D5" w:rsidRDefault="00F070D5">
      <w:pPr>
        <w:pStyle w:val="big-header"/>
        <w:ind w:left="0" w:right="1134"/>
        <w:rPr>
          <w:rFonts w:hint="cs"/>
          <w:rtl/>
        </w:rPr>
      </w:pPr>
      <w:r>
        <w:rPr>
          <w:rFonts w:hint="cs"/>
          <w:rtl/>
        </w:rPr>
        <w:t>תקנות הפיקוח על יצוא ביטחוני (התייעצות עם משרד החוץ בנוגע למתן רישיון יצוא ביטחוני)</w:t>
      </w:r>
      <w:r>
        <w:rPr>
          <w:rtl/>
        </w:rPr>
        <w:t>, תשס"</w:t>
      </w:r>
      <w:r>
        <w:rPr>
          <w:rFonts w:hint="cs"/>
          <w:rtl/>
        </w:rPr>
        <w:t>ח</w:t>
      </w:r>
      <w:r>
        <w:rPr>
          <w:rtl/>
        </w:rPr>
        <w:t>-200</w:t>
      </w:r>
      <w:r>
        <w:rPr>
          <w:rFonts w:hint="cs"/>
          <w:rtl/>
        </w:rPr>
        <w:t>8</w:t>
      </w:r>
    </w:p>
    <w:p w14:paraId="1B644DE3" w14:textId="77777777" w:rsidR="000C21B9" w:rsidRPr="000C21B9" w:rsidRDefault="000C21B9" w:rsidP="000C21B9">
      <w:pPr>
        <w:spacing w:line="320" w:lineRule="auto"/>
        <w:jc w:val="left"/>
        <w:rPr>
          <w:rFonts w:cs="FrankRuehl"/>
          <w:szCs w:val="26"/>
          <w:rtl/>
        </w:rPr>
      </w:pPr>
    </w:p>
    <w:p w14:paraId="720CC1CC" w14:textId="77777777" w:rsidR="000C21B9" w:rsidRDefault="000C21B9" w:rsidP="000C21B9">
      <w:pPr>
        <w:spacing w:line="320" w:lineRule="auto"/>
        <w:jc w:val="left"/>
        <w:rPr>
          <w:rFonts w:cs="Miriam"/>
          <w:szCs w:val="22"/>
          <w:rtl/>
        </w:rPr>
      </w:pPr>
      <w:r w:rsidRPr="000C21B9">
        <w:rPr>
          <w:rFonts w:cs="Miriam"/>
          <w:szCs w:val="22"/>
          <w:rtl/>
        </w:rPr>
        <w:t>בטחון</w:t>
      </w:r>
      <w:r w:rsidRPr="000C21B9">
        <w:rPr>
          <w:rFonts w:cs="FrankRuehl"/>
          <w:szCs w:val="26"/>
          <w:rtl/>
        </w:rPr>
        <w:t xml:space="preserve"> – יצוא ביטחוני – רישיון ורישום</w:t>
      </w:r>
    </w:p>
    <w:p w14:paraId="6E73A21F" w14:textId="77777777" w:rsidR="000C21B9" w:rsidRDefault="000C21B9" w:rsidP="000C21B9">
      <w:pPr>
        <w:spacing w:line="320" w:lineRule="auto"/>
        <w:jc w:val="left"/>
        <w:rPr>
          <w:rFonts w:cs="Miriam"/>
          <w:szCs w:val="22"/>
          <w:rtl/>
        </w:rPr>
      </w:pPr>
      <w:r w:rsidRPr="000C21B9">
        <w:rPr>
          <w:rFonts w:cs="Miriam"/>
          <w:szCs w:val="22"/>
          <w:rtl/>
        </w:rPr>
        <w:t>משפט פרטי וכלכלה</w:t>
      </w:r>
      <w:r w:rsidRPr="000C21B9">
        <w:rPr>
          <w:rFonts w:cs="FrankRuehl"/>
          <w:szCs w:val="26"/>
          <w:rtl/>
        </w:rPr>
        <w:t xml:space="preserve"> – מסחר  – יצוא – יצוא בטחוני</w:t>
      </w:r>
    </w:p>
    <w:p w14:paraId="651F7892" w14:textId="77777777" w:rsidR="00EA0FCF" w:rsidRPr="000C21B9" w:rsidRDefault="000C21B9" w:rsidP="000C21B9">
      <w:pPr>
        <w:spacing w:line="320" w:lineRule="auto"/>
        <w:jc w:val="left"/>
        <w:rPr>
          <w:rFonts w:cs="Miriam"/>
          <w:szCs w:val="22"/>
          <w:rtl/>
        </w:rPr>
      </w:pPr>
      <w:r w:rsidRPr="000C21B9">
        <w:rPr>
          <w:rFonts w:cs="Miriam"/>
          <w:szCs w:val="22"/>
          <w:rtl/>
        </w:rPr>
        <w:t xml:space="preserve">דיני חוקה </w:t>
      </w:r>
      <w:r w:rsidRPr="000C21B9">
        <w:rPr>
          <w:rFonts w:cs="FrankRuehl"/>
          <w:szCs w:val="26"/>
          <w:rtl/>
        </w:rPr>
        <w:t xml:space="preserve"> – ממשלה – משרדי ממשלה</w:t>
      </w:r>
    </w:p>
    <w:p w14:paraId="036155E1" w14:textId="77777777" w:rsidR="00F070D5" w:rsidRDefault="00F070D5">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070D5" w14:paraId="3D3B5F90" w14:textId="77777777">
        <w:tblPrEx>
          <w:tblCellMar>
            <w:top w:w="0" w:type="dxa"/>
            <w:bottom w:w="0" w:type="dxa"/>
          </w:tblCellMar>
        </w:tblPrEx>
        <w:trPr>
          <w:jc w:val="right"/>
        </w:trPr>
        <w:tc>
          <w:tcPr>
            <w:tcW w:w="850" w:type="dxa"/>
          </w:tcPr>
          <w:p w14:paraId="48284E3D" w14:textId="77777777" w:rsidR="00F070D5" w:rsidRDefault="00F070D5">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D4E4829" w14:textId="77777777" w:rsidR="00F070D5" w:rsidRDefault="00F070D5">
            <w:pPr>
              <w:spacing w:line="240" w:lineRule="auto"/>
              <w:jc w:val="left"/>
              <w:rPr>
                <w:rFonts w:cs="Frankruhel" w:hint="cs"/>
                <w:sz w:val="24"/>
              </w:rPr>
            </w:pPr>
            <w:hyperlink w:anchor="Seif0" w:tooltip="התייעצות עם משרד החוץ בנוגע למתן רישיון ליצוא ביטחוני" w:history="1">
              <w:r>
                <w:rPr>
                  <w:rStyle w:val="Hyperlink"/>
                </w:rPr>
                <w:t>Go</w:t>
              </w:r>
            </w:hyperlink>
          </w:p>
        </w:tc>
        <w:tc>
          <w:tcPr>
            <w:tcW w:w="5669" w:type="dxa"/>
          </w:tcPr>
          <w:p w14:paraId="4F332A1B" w14:textId="77777777" w:rsidR="00F070D5" w:rsidRDefault="00F070D5">
            <w:pPr>
              <w:spacing w:line="240" w:lineRule="auto"/>
              <w:jc w:val="left"/>
              <w:rPr>
                <w:rFonts w:cs="Frankruhel"/>
                <w:sz w:val="24"/>
                <w:rtl/>
              </w:rPr>
            </w:pPr>
            <w:r>
              <w:rPr>
                <w:rFonts w:cs="Frankruhel"/>
                <w:sz w:val="24"/>
                <w:rtl/>
              </w:rPr>
              <w:t>התייעצות עם משרד החוץ בנוגע למתן רישיון ליצוא ביטחוני</w:t>
            </w:r>
          </w:p>
        </w:tc>
        <w:tc>
          <w:tcPr>
            <w:tcW w:w="1247" w:type="dxa"/>
          </w:tcPr>
          <w:p w14:paraId="78E32625" w14:textId="77777777" w:rsidR="00F070D5" w:rsidRDefault="00F070D5">
            <w:pPr>
              <w:spacing w:line="240" w:lineRule="auto"/>
              <w:jc w:val="left"/>
              <w:rPr>
                <w:rFonts w:cs="Frankruhel" w:hint="cs"/>
                <w:sz w:val="24"/>
              </w:rPr>
            </w:pPr>
            <w:r>
              <w:rPr>
                <w:rFonts w:cs="Frankruhel"/>
                <w:sz w:val="24"/>
                <w:rtl/>
              </w:rPr>
              <w:t xml:space="preserve">סעיף 1 </w:t>
            </w:r>
          </w:p>
        </w:tc>
      </w:tr>
      <w:tr w:rsidR="00F070D5" w14:paraId="5B19731B" w14:textId="77777777">
        <w:tblPrEx>
          <w:tblCellMar>
            <w:top w:w="0" w:type="dxa"/>
            <w:bottom w:w="0" w:type="dxa"/>
          </w:tblCellMar>
        </w:tblPrEx>
        <w:trPr>
          <w:jc w:val="right"/>
        </w:trPr>
        <w:tc>
          <w:tcPr>
            <w:tcW w:w="850" w:type="dxa"/>
          </w:tcPr>
          <w:p w14:paraId="29CDF68C" w14:textId="77777777" w:rsidR="00F070D5" w:rsidRDefault="00F070D5">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D782D87" w14:textId="77777777" w:rsidR="00F070D5" w:rsidRDefault="00F070D5">
            <w:pPr>
              <w:spacing w:line="240" w:lineRule="auto"/>
              <w:jc w:val="left"/>
              <w:rPr>
                <w:rFonts w:cs="Frankruhel" w:hint="cs"/>
                <w:sz w:val="24"/>
              </w:rPr>
            </w:pPr>
            <w:hyperlink w:anchor="Seif1" w:tooltip="מנגנון הכרעה במחלוקות" w:history="1">
              <w:r>
                <w:rPr>
                  <w:rStyle w:val="Hyperlink"/>
                </w:rPr>
                <w:t>Go</w:t>
              </w:r>
            </w:hyperlink>
          </w:p>
        </w:tc>
        <w:tc>
          <w:tcPr>
            <w:tcW w:w="5669" w:type="dxa"/>
          </w:tcPr>
          <w:p w14:paraId="6677779F" w14:textId="77777777" w:rsidR="00F070D5" w:rsidRDefault="00F070D5">
            <w:pPr>
              <w:spacing w:line="240" w:lineRule="auto"/>
              <w:jc w:val="left"/>
              <w:rPr>
                <w:rFonts w:cs="Frankruhel"/>
                <w:sz w:val="24"/>
                <w:rtl/>
              </w:rPr>
            </w:pPr>
            <w:r>
              <w:rPr>
                <w:rFonts w:cs="Frankruhel"/>
                <w:sz w:val="24"/>
                <w:rtl/>
              </w:rPr>
              <w:t>מנגנון הכרעה במחלוקות</w:t>
            </w:r>
          </w:p>
        </w:tc>
        <w:tc>
          <w:tcPr>
            <w:tcW w:w="1247" w:type="dxa"/>
          </w:tcPr>
          <w:p w14:paraId="1034F7F7" w14:textId="77777777" w:rsidR="00F070D5" w:rsidRDefault="00F070D5">
            <w:pPr>
              <w:spacing w:line="240" w:lineRule="auto"/>
              <w:jc w:val="left"/>
              <w:rPr>
                <w:rFonts w:cs="Frankruhel" w:hint="cs"/>
                <w:sz w:val="24"/>
              </w:rPr>
            </w:pPr>
            <w:r>
              <w:rPr>
                <w:rFonts w:cs="Frankruhel"/>
                <w:sz w:val="24"/>
                <w:rtl/>
              </w:rPr>
              <w:t xml:space="preserve">סעיף 2 </w:t>
            </w:r>
          </w:p>
        </w:tc>
      </w:tr>
      <w:tr w:rsidR="00F070D5" w14:paraId="4BE128D7" w14:textId="77777777">
        <w:tblPrEx>
          <w:tblCellMar>
            <w:top w:w="0" w:type="dxa"/>
            <w:bottom w:w="0" w:type="dxa"/>
          </w:tblCellMar>
        </w:tblPrEx>
        <w:trPr>
          <w:jc w:val="right"/>
        </w:trPr>
        <w:tc>
          <w:tcPr>
            <w:tcW w:w="850" w:type="dxa"/>
          </w:tcPr>
          <w:p w14:paraId="7A61AB5F" w14:textId="77777777" w:rsidR="00F070D5" w:rsidRDefault="00F070D5">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FF8502E" w14:textId="77777777" w:rsidR="00F070D5" w:rsidRDefault="00F070D5">
            <w:pPr>
              <w:spacing w:line="240" w:lineRule="auto"/>
              <w:jc w:val="left"/>
              <w:rPr>
                <w:rFonts w:cs="Frankruhel" w:hint="cs"/>
                <w:sz w:val="24"/>
              </w:rPr>
            </w:pPr>
            <w:hyperlink w:anchor="Seif2" w:tooltip="העברת מידע" w:history="1">
              <w:r>
                <w:rPr>
                  <w:rStyle w:val="Hyperlink"/>
                </w:rPr>
                <w:t>Go</w:t>
              </w:r>
            </w:hyperlink>
          </w:p>
        </w:tc>
        <w:tc>
          <w:tcPr>
            <w:tcW w:w="5669" w:type="dxa"/>
          </w:tcPr>
          <w:p w14:paraId="4428A125" w14:textId="77777777" w:rsidR="00F070D5" w:rsidRDefault="00F070D5">
            <w:pPr>
              <w:spacing w:line="240" w:lineRule="auto"/>
              <w:jc w:val="left"/>
              <w:rPr>
                <w:rFonts w:cs="Frankruhel"/>
                <w:sz w:val="24"/>
                <w:rtl/>
              </w:rPr>
            </w:pPr>
            <w:r>
              <w:rPr>
                <w:rFonts w:cs="Frankruhel"/>
                <w:sz w:val="24"/>
                <w:rtl/>
              </w:rPr>
              <w:t>העברת מידע</w:t>
            </w:r>
          </w:p>
        </w:tc>
        <w:tc>
          <w:tcPr>
            <w:tcW w:w="1247" w:type="dxa"/>
          </w:tcPr>
          <w:p w14:paraId="65BAD744" w14:textId="77777777" w:rsidR="00F070D5" w:rsidRDefault="00F070D5">
            <w:pPr>
              <w:spacing w:line="240" w:lineRule="auto"/>
              <w:jc w:val="left"/>
              <w:rPr>
                <w:rFonts w:cs="Frankruhel" w:hint="cs"/>
                <w:sz w:val="24"/>
              </w:rPr>
            </w:pPr>
            <w:r>
              <w:rPr>
                <w:rFonts w:cs="Frankruhel"/>
                <w:sz w:val="24"/>
                <w:rtl/>
              </w:rPr>
              <w:t xml:space="preserve">סעיף 3 </w:t>
            </w:r>
          </w:p>
        </w:tc>
      </w:tr>
    </w:tbl>
    <w:p w14:paraId="17E8917B" w14:textId="77777777" w:rsidR="00F070D5" w:rsidRDefault="00F070D5">
      <w:pPr>
        <w:pStyle w:val="big-header"/>
        <w:ind w:left="0" w:right="1134"/>
        <w:rPr>
          <w:rFonts w:hint="cs"/>
          <w:rtl/>
        </w:rPr>
      </w:pPr>
    </w:p>
    <w:p w14:paraId="5021D933" w14:textId="77777777" w:rsidR="00F070D5" w:rsidRDefault="00F070D5" w:rsidP="00621FB0">
      <w:pPr>
        <w:pStyle w:val="big-header"/>
        <w:ind w:left="0" w:right="1134"/>
        <w:rPr>
          <w:rFonts w:hint="cs"/>
          <w:rtl/>
        </w:rPr>
      </w:pPr>
      <w:r>
        <w:rPr>
          <w:rtl/>
        </w:rPr>
        <w:br w:type="page"/>
      </w:r>
      <w:r>
        <w:rPr>
          <w:rFonts w:hint="cs"/>
          <w:rtl/>
        </w:rPr>
        <w:lastRenderedPageBreak/>
        <w:t>תקנות הפיקוח על יצוא ביטחוני (התייעצות עם משרד החוץ בנוגע למתן רישיון יצוא ביטחוני)</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3D96583D" w14:textId="77777777" w:rsidR="00F070D5" w:rsidRDefault="00F070D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27 ו-45 לחוק הפיקוח על יצוא ביטחוני, התשס"ז-2007 (להלן </w:t>
      </w:r>
      <w:r>
        <w:rPr>
          <w:rStyle w:val="default"/>
          <w:rFonts w:cs="FrankRuehl"/>
          <w:rtl/>
        </w:rPr>
        <w:t>–</w:t>
      </w:r>
      <w:r>
        <w:rPr>
          <w:rStyle w:val="default"/>
          <w:rFonts w:cs="FrankRuehl" w:hint="cs"/>
          <w:rtl/>
        </w:rPr>
        <w:t xml:space="preserve"> החוק), בהסכמת שר החוץ ובאישור ועדת החוץ והביטחון של הכנסת, אני מתקין תקנות אלה:</w:t>
      </w:r>
    </w:p>
    <w:p w14:paraId="4BC3E66A" w14:textId="77777777" w:rsidR="00F070D5" w:rsidRDefault="00F070D5">
      <w:pPr>
        <w:pStyle w:val="P00"/>
        <w:spacing w:before="72"/>
        <w:ind w:left="0" w:right="1134"/>
        <w:rPr>
          <w:rStyle w:val="default"/>
          <w:rFonts w:cs="FrankRuehl" w:hint="cs"/>
          <w:rtl/>
        </w:rPr>
      </w:pPr>
      <w:bookmarkStart w:id="0" w:name="Seif0"/>
      <w:bookmarkEnd w:id="0"/>
      <w:r>
        <w:rPr>
          <w:lang w:val="he-IL"/>
        </w:rPr>
        <w:pict w14:anchorId="3EF769CE">
          <v:rect id="_x0000_s1026" style="position:absolute;left:0;text-align:left;margin-left:464.5pt;margin-top:8.05pt;width:75.05pt;height:28.8pt;z-index:251656704" o:allowincell="f" filled="f" stroked="f" strokecolor="lime" strokeweight=".25pt">
            <v:textbox style="mso-next-textbox:#_x0000_s1026" inset="0,0,0,0">
              <w:txbxContent>
                <w:p w14:paraId="6A005204" w14:textId="77777777" w:rsidR="00F070D5" w:rsidRDefault="00F070D5">
                  <w:pPr>
                    <w:spacing w:line="160" w:lineRule="exact"/>
                    <w:jc w:val="left"/>
                    <w:rPr>
                      <w:rFonts w:cs="Miriam" w:hint="cs"/>
                      <w:noProof/>
                      <w:szCs w:val="18"/>
                      <w:rtl/>
                    </w:rPr>
                  </w:pPr>
                  <w:r>
                    <w:rPr>
                      <w:rFonts w:cs="Miriam" w:hint="cs"/>
                      <w:szCs w:val="18"/>
                      <w:rtl/>
                    </w:rPr>
                    <w:t>התייעצות עם משרד החוץ בנוגע למתן רישיון ליצוא ביטחוני</w:t>
                  </w:r>
                </w:p>
              </w:txbxContent>
            </v:textbox>
            <w10:anchorlock/>
          </v:rect>
        </w:pict>
      </w:r>
      <w:r>
        <w:rPr>
          <w:rStyle w:val="big-number"/>
          <w:rtl/>
        </w:rPr>
        <w:t>1.</w:t>
      </w:r>
      <w:r>
        <w:rPr>
          <w:rStyle w:val="big-number"/>
          <w:rtl/>
        </w:rPr>
        <w:tab/>
      </w:r>
      <w:r>
        <w:rPr>
          <w:rStyle w:val="default"/>
          <w:rFonts w:cs="FrankRuehl" w:hint="cs"/>
          <w:rtl/>
        </w:rPr>
        <w:t>(א)</w:t>
      </w:r>
      <w:r>
        <w:rPr>
          <w:rStyle w:val="default"/>
          <w:rFonts w:cs="FrankRuehl" w:hint="cs"/>
          <w:rtl/>
        </w:rPr>
        <w:tab/>
        <w:t xml:space="preserve">האגף לפיקוח על היצוא הביטחוני (להלן </w:t>
      </w:r>
      <w:r>
        <w:rPr>
          <w:rStyle w:val="default"/>
          <w:rFonts w:cs="FrankRuehl"/>
          <w:rtl/>
        </w:rPr>
        <w:t>–</w:t>
      </w:r>
      <w:r>
        <w:rPr>
          <w:rStyle w:val="default"/>
          <w:rFonts w:cs="FrankRuehl" w:hint="cs"/>
          <w:rtl/>
        </w:rPr>
        <w:t xml:space="preserve"> האגף), יעביר לעובד משרד החוץ שהוסמך לכך בידי שר החוץ (להלן </w:t>
      </w:r>
      <w:r>
        <w:rPr>
          <w:rStyle w:val="default"/>
          <w:rFonts w:cs="FrankRuehl"/>
          <w:rtl/>
        </w:rPr>
        <w:t>–</w:t>
      </w:r>
      <w:r>
        <w:rPr>
          <w:rStyle w:val="default"/>
          <w:rFonts w:cs="FrankRuehl" w:hint="cs"/>
          <w:rtl/>
        </w:rPr>
        <w:t xml:space="preserve"> נציג משרד החוץ), בקשה לרישיון יצוא ביטחוני שנתקבלה על ידי האגף במקביל להעברתה לעובדי משרד הביטחון הנוגעי לעניין.</w:t>
      </w:r>
    </w:p>
    <w:p w14:paraId="356B4A93" w14:textId="77777777" w:rsidR="00F070D5" w:rsidRDefault="00F070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נציג משרד החוץ כי יש מקום להתנגד לאישור בקשה מסוימת לרישיון יצוא ביטחוני מטעמי יחסי חוץ, יודיע על כך לאגף בתוך המועד שציין האגף עם העברת הבקשה ולא יאוחר מחמישה ימי עבודה מיום קבלת הבקשה על ידי נציג משרד החוץ, בליווי נימוקים.</w:t>
      </w:r>
    </w:p>
    <w:p w14:paraId="7018A99D" w14:textId="77777777" w:rsidR="00F070D5" w:rsidRDefault="00F070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הודיע נציג משרד החוץ על התנגדות כאמור בתקנת משנה (ב), יראו זאת כהסכמת משרד החוץ למתן רישיון היצוא הביטחוני.</w:t>
      </w:r>
    </w:p>
    <w:p w14:paraId="7D2FDF6C" w14:textId="77777777" w:rsidR="00F070D5" w:rsidRDefault="00F070D5">
      <w:pPr>
        <w:pStyle w:val="P00"/>
        <w:spacing w:before="72"/>
        <w:ind w:left="0" w:right="1134"/>
        <w:rPr>
          <w:rStyle w:val="default"/>
          <w:rFonts w:cs="FrankRuehl" w:hint="cs"/>
          <w:rtl/>
        </w:rPr>
      </w:pPr>
      <w:bookmarkStart w:id="1" w:name="Seif1"/>
      <w:bookmarkEnd w:id="1"/>
      <w:r>
        <w:rPr>
          <w:lang w:val="he-IL"/>
        </w:rPr>
        <w:pict w14:anchorId="34A2DB94">
          <v:rect id="_x0000_s1049" style="position:absolute;left:0;text-align:left;margin-left:464.5pt;margin-top:8.05pt;width:75.05pt;height:16.8pt;z-index:251657728" o:allowincell="f" filled="f" stroked="f" strokecolor="lime" strokeweight=".25pt">
            <v:textbox style="mso-next-textbox:#_x0000_s1049" inset="0,0,0,0">
              <w:txbxContent>
                <w:p w14:paraId="17972137" w14:textId="77777777" w:rsidR="00F070D5" w:rsidRDefault="00F070D5">
                  <w:pPr>
                    <w:spacing w:line="160" w:lineRule="exact"/>
                    <w:jc w:val="left"/>
                    <w:rPr>
                      <w:rFonts w:cs="Miriam" w:hint="cs"/>
                      <w:noProof/>
                      <w:szCs w:val="18"/>
                      <w:rtl/>
                    </w:rPr>
                  </w:pPr>
                  <w:r>
                    <w:rPr>
                      <w:rFonts w:cs="Miriam" w:hint="cs"/>
                      <w:szCs w:val="18"/>
                      <w:rtl/>
                    </w:rPr>
                    <w:t>מנגנון הכרעה במחלוקות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נתגלעה מחלוקת בין נציג האגף לבין נציג משרד החוץ בנוגע למתן רישיון יצוא, יודיע על כך נציג האגף לנציג משרד החוץ והמחלוקת תובא בהקדם האפשרי בתוך לא יאוחר מעשרה ימים ממועד הודעה כאמור, לדיון משותף של ראש האגף יחד עם ראש האגף לעניינים אסטרטגיים במשרד החוץ.</w:t>
      </w:r>
    </w:p>
    <w:p w14:paraId="309B27F3" w14:textId="77777777" w:rsidR="00F070D5" w:rsidRDefault="00F070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התקבלה החלטה בדיון המשותף כאמור בתקנת משנה (א), תוכרע המחלוקת בידי המנהל הכללי של משרד הביטחון יחד עם המנהל הכללי של משרד החוץ.</w:t>
      </w:r>
    </w:p>
    <w:p w14:paraId="4B58568A" w14:textId="77777777" w:rsidR="00F070D5" w:rsidRDefault="00F070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התקבלה החלטה בדיון המשותף כאמור בתקנת משנה (ב), תוכרע המחלוקת בידי השר יחד עם שר החוץ.</w:t>
      </w:r>
    </w:p>
    <w:p w14:paraId="16FCCDFE" w14:textId="77777777" w:rsidR="00F070D5" w:rsidRDefault="00F070D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באין הסכמה בין השר לשר החוץ, תכריע בעניין ועדת המשנה של ועדת השרים לביטחון לאומי כמשמעותה בסעיף 47(ג) לחוק.</w:t>
      </w:r>
    </w:p>
    <w:p w14:paraId="7B77454A" w14:textId="77777777" w:rsidR="00F070D5" w:rsidRDefault="00F070D5">
      <w:pPr>
        <w:pStyle w:val="P00"/>
        <w:spacing w:before="72"/>
        <w:ind w:left="0" w:right="1134"/>
        <w:rPr>
          <w:rStyle w:val="default"/>
          <w:rFonts w:cs="FrankRuehl" w:hint="cs"/>
          <w:rtl/>
        </w:rPr>
      </w:pPr>
      <w:bookmarkStart w:id="2" w:name="Seif2"/>
      <w:bookmarkEnd w:id="2"/>
      <w:r>
        <w:rPr>
          <w:lang w:val="he-IL"/>
        </w:rPr>
        <w:pict w14:anchorId="66CE8B23">
          <v:rect id="_x0000_s1050" style="position:absolute;left:0;text-align:left;margin-left:464.5pt;margin-top:8.05pt;width:75.05pt;height:14.95pt;z-index:251658752" o:allowincell="f" filled="f" stroked="f" strokecolor="lime" strokeweight=".25pt">
            <v:textbox style="mso-next-textbox:#_x0000_s1050" inset="0,0,0,0">
              <w:txbxContent>
                <w:p w14:paraId="67F9B132" w14:textId="77777777" w:rsidR="00F070D5" w:rsidRDefault="00F070D5">
                  <w:pPr>
                    <w:spacing w:line="160" w:lineRule="exact"/>
                    <w:jc w:val="left"/>
                    <w:rPr>
                      <w:rFonts w:cs="Miriam" w:hint="cs"/>
                      <w:noProof/>
                      <w:szCs w:val="18"/>
                      <w:rtl/>
                    </w:rPr>
                  </w:pPr>
                  <w:r>
                    <w:rPr>
                      <w:rFonts w:cs="Miriam" w:hint="cs"/>
                      <w:szCs w:val="18"/>
                      <w:rtl/>
                    </w:rPr>
                    <w:t>העברת מידע</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האגף יעביר לנציג משרד החוץ פירוט של רישיונות יצוא שניתנו, בוטלו, הותלו או הוגבלו ופירוט בנוגע לבקשות לרישיון יצוא שסורבו.</w:t>
      </w:r>
    </w:p>
    <w:p w14:paraId="29AA14AE" w14:textId="77777777" w:rsidR="00F070D5" w:rsidRDefault="00F070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נוהל להעברת המידע כאמור בתקנת משנה (א) יגובש בהסכמה בין שני המשרדים.</w:t>
      </w:r>
    </w:p>
    <w:p w14:paraId="7CE82728" w14:textId="77777777" w:rsidR="00F070D5" w:rsidRDefault="00F070D5">
      <w:pPr>
        <w:pStyle w:val="P00"/>
        <w:spacing w:before="72"/>
        <w:ind w:left="0" w:right="1134"/>
        <w:rPr>
          <w:rStyle w:val="default"/>
          <w:rFonts w:cs="FrankRuehl" w:hint="cs"/>
          <w:rtl/>
        </w:rPr>
      </w:pPr>
    </w:p>
    <w:p w14:paraId="71332276" w14:textId="77777777" w:rsidR="00F070D5" w:rsidRDefault="00F070D5">
      <w:pPr>
        <w:pStyle w:val="P00"/>
        <w:spacing w:before="72"/>
        <w:ind w:left="0" w:right="1134"/>
        <w:rPr>
          <w:rStyle w:val="default"/>
          <w:rFonts w:cs="FrankRuehl"/>
          <w:rtl/>
        </w:rPr>
      </w:pPr>
    </w:p>
    <w:p w14:paraId="51BE0FAA" w14:textId="77777777" w:rsidR="00F070D5" w:rsidRDefault="00F070D5">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036BBDE9" w14:textId="77777777" w:rsidR="00F070D5" w:rsidRDefault="00F070D5">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57613C41" w14:textId="77777777" w:rsidR="00F070D5" w:rsidRDefault="00F070D5">
      <w:pPr>
        <w:pStyle w:val="P00"/>
        <w:spacing w:before="72"/>
        <w:ind w:left="0" w:right="1134"/>
        <w:rPr>
          <w:rStyle w:val="default"/>
          <w:rFonts w:cs="FrankRuehl" w:hint="cs"/>
          <w:rtl/>
        </w:rPr>
      </w:pPr>
    </w:p>
    <w:p w14:paraId="485174B0" w14:textId="77777777" w:rsidR="00F070D5" w:rsidRDefault="00F070D5">
      <w:pPr>
        <w:pStyle w:val="P00"/>
        <w:spacing w:before="72"/>
        <w:ind w:left="0" w:right="1134"/>
        <w:rPr>
          <w:rStyle w:val="default"/>
          <w:rFonts w:cs="FrankRuehl" w:hint="cs"/>
          <w:rtl/>
        </w:rPr>
      </w:pPr>
    </w:p>
    <w:p w14:paraId="77F64D10" w14:textId="77777777" w:rsidR="00F070D5" w:rsidRDefault="00F070D5">
      <w:pPr>
        <w:pStyle w:val="P00"/>
        <w:spacing w:before="72"/>
        <w:ind w:left="0" w:right="1134"/>
        <w:rPr>
          <w:rStyle w:val="default"/>
          <w:rFonts w:cs="FrankRuehl"/>
          <w:rtl/>
        </w:rPr>
      </w:pPr>
      <w:bookmarkStart w:id="3" w:name="LawPartEnd"/>
      <w:bookmarkEnd w:id="3"/>
    </w:p>
    <w:sectPr w:rsidR="00F070D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39D1" w14:textId="77777777" w:rsidR="003F4468" w:rsidRDefault="003F4468">
      <w:r>
        <w:separator/>
      </w:r>
    </w:p>
  </w:endnote>
  <w:endnote w:type="continuationSeparator" w:id="0">
    <w:p w14:paraId="4D7E03E3" w14:textId="77777777" w:rsidR="003F4468" w:rsidRDefault="003F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20CE" w14:textId="77777777" w:rsidR="00F070D5" w:rsidRDefault="00F070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B827E6" w14:textId="77777777" w:rsidR="00F070D5" w:rsidRDefault="00F070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DF6AB7" w14:textId="77777777" w:rsidR="00F070D5" w:rsidRDefault="00F070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CF730" w14:textId="77777777" w:rsidR="00F070D5" w:rsidRDefault="00F070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1C68">
      <w:rPr>
        <w:rFonts w:hAnsi="FrankRuehl" w:cs="FrankRuehl"/>
        <w:noProof/>
        <w:sz w:val="24"/>
        <w:szCs w:val="24"/>
        <w:rtl/>
      </w:rPr>
      <w:t>2</w:t>
    </w:r>
    <w:r>
      <w:rPr>
        <w:rFonts w:hAnsi="FrankRuehl" w:cs="FrankRuehl"/>
        <w:sz w:val="24"/>
        <w:szCs w:val="24"/>
        <w:rtl/>
      </w:rPr>
      <w:fldChar w:fldCharType="end"/>
    </w:r>
  </w:p>
  <w:p w14:paraId="02B3EAFF" w14:textId="77777777" w:rsidR="00F070D5" w:rsidRDefault="00F070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4AE42B" w14:textId="77777777" w:rsidR="00F070D5" w:rsidRDefault="00F070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BDC5" w14:textId="77777777" w:rsidR="003F4468" w:rsidRDefault="003F4468">
      <w:pPr>
        <w:spacing w:before="60" w:line="240" w:lineRule="auto"/>
        <w:ind w:right="1134"/>
      </w:pPr>
      <w:r>
        <w:separator/>
      </w:r>
    </w:p>
  </w:footnote>
  <w:footnote w:type="continuationSeparator" w:id="0">
    <w:p w14:paraId="2B04559B" w14:textId="77777777" w:rsidR="003F4468" w:rsidRDefault="003F4468">
      <w:r>
        <w:continuationSeparator/>
      </w:r>
    </w:p>
  </w:footnote>
  <w:footnote w:id="1">
    <w:p w14:paraId="74DAC2F8" w14:textId="77777777" w:rsidR="00F070D5" w:rsidRDefault="00F070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B1A0" w14:textId="77777777" w:rsidR="00F070D5" w:rsidRDefault="00F070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6BABFF8B" w14:textId="77777777" w:rsidR="00F070D5" w:rsidRDefault="00F070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776F15" w14:textId="77777777" w:rsidR="00F070D5" w:rsidRDefault="00F070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1DFD" w14:textId="77777777" w:rsidR="00F070D5" w:rsidRDefault="00F070D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(התייעצות עם משרד החוץ בנוגע למתן רישיון יצוא ביטחוני)</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7F4762C6" w14:textId="77777777" w:rsidR="00F070D5" w:rsidRDefault="00F070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A54D79" w14:textId="77777777" w:rsidR="00F070D5" w:rsidRDefault="00F070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1FB0"/>
    <w:rsid w:val="000C21B9"/>
    <w:rsid w:val="001538AD"/>
    <w:rsid w:val="003F4468"/>
    <w:rsid w:val="004E307E"/>
    <w:rsid w:val="00621FB0"/>
    <w:rsid w:val="008B42D9"/>
    <w:rsid w:val="00A30765"/>
    <w:rsid w:val="00A41C68"/>
    <w:rsid w:val="00EA0FCF"/>
    <w:rsid w:val="00F070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58B71D"/>
  <w15:chartTrackingRefBased/>
  <w15:docId w15:val="{E77FC9DC-B07A-4254-B64B-0CFAA33A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2285</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3014669</vt:i4>
      </vt:variant>
      <vt:variant>
        <vt:i4>0</vt:i4>
      </vt:variant>
      <vt:variant>
        <vt:i4>0</vt:i4>
      </vt:variant>
      <vt:variant>
        <vt:i4>5</vt:i4>
      </vt:variant>
      <vt:variant>
        <vt:lpwstr>http://web1.nevo.co.il/Law_word/law06/tak-6646.pdf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(התייעצות עם משרד החוץ בנוגע למתן רישיון יצוא ביטחוני), תשס"ח-2008</vt:lpwstr>
  </property>
  <property fmtid="{D5CDD505-2E9C-101B-9397-08002B2CF9AE}" pid="5" name="LAWNUMBER">
    <vt:lpwstr>0910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http://web1.nevo.co.il/Law_word/law06/tak-6646.pdf;רשומות - תקנות כלליות#פורסמו ק"ת תשס"ח מס' 6646 #מיום 12.2.2008 עמ' 463</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רישיון ורישום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דיני חוקה </vt:lpwstr>
  </property>
  <property fmtid="{D5CDD505-2E9C-101B-9397-08002B2CF9AE}" pid="31" name="NOSE23">
    <vt:lpwstr>ממשלה</vt:lpwstr>
  </property>
  <property fmtid="{D5CDD505-2E9C-101B-9397-08002B2CF9AE}" pid="32" name="NOSE33">
    <vt:lpwstr>משרדי ממשלה</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27X;45X</vt:lpwstr>
  </property>
</Properties>
</file>