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539C8" w14:textId="77777777" w:rsidR="001A14FF" w:rsidRDefault="00E4576D" w:rsidP="00E4576D">
      <w:pPr>
        <w:pStyle w:val="big-header"/>
        <w:tabs>
          <w:tab w:val="left" w:pos="7257"/>
        </w:tabs>
        <w:ind w:left="0" w:right="1134"/>
        <w:rPr>
          <w:rFonts w:cs="FrankRuehl" w:hint="cs"/>
          <w:sz w:val="32"/>
          <w:rtl/>
        </w:rPr>
      </w:pPr>
      <w:r>
        <w:rPr>
          <w:rFonts w:cs="FrankRuehl" w:hint="cs"/>
          <w:sz w:val="32"/>
          <w:rtl/>
        </w:rPr>
        <w:t>תקנות</w:t>
      </w:r>
      <w:r w:rsidR="0083019D">
        <w:rPr>
          <w:rFonts w:cs="FrankRuehl" w:hint="cs"/>
          <w:sz w:val="32"/>
          <w:rtl/>
        </w:rPr>
        <w:t xml:space="preserve"> הפיקוח על מזון לבעלי חיים</w:t>
      </w:r>
      <w:r>
        <w:rPr>
          <w:rFonts w:cs="FrankRuehl" w:hint="cs"/>
          <w:sz w:val="32"/>
          <w:rtl/>
        </w:rPr>
        <w:t xml:space="preserve"> (ועדה מקצועית מייעצת)</w:t>
      </w:r>
      <w:r w:rsidR="008F1EA7">
        <w:rPr>
          <w:rFonts w:cs="FrankRuehl" w:hint="cs"/>
          <w:sz w:val="32"/>
          <w:rtl/>
        </w:rPr>
        <w:t>, תשע"</w:t>
      </w:r>
      <w:r>
        <w:rPr>
          <w:rFonts w:cs="FrankRuehl" w:hint="cs"/>
          <w:sz w:val="32"/>
          <w:rtl/>
        </w:rPr>
        <w:t>ז-2017</w:t>
      </w:r>
    </w:p>
    <w:p w14:paraId="66A66E78" w14:textId="77777777" w:rsidR="0083019D" w:rsidRPr="0083019D" w:rsidRDefault="0083019D" w:rsidP="0083019D">
      <w:pPr>
        <w:spacing w:line="320" w:lineRule="auto"/>
        <w:jc w:val="left"/>
        <w:rPr>
          <w:rFonts w:cs="FrankRuehl"/>
          <w:szCs w:val="26"/>
          <w:rtl/>
        </w:rPr>
      </w:pPr>
    </w:p>
    <w:p w14:paraId="19E8D002" w14:textId="77777777" w:rsidR="0083019D" w:rsidRDefault="0083019D" w:rsidP="0083019D">
      <w:pPr>
        <w:spacing w:line="320" w:lineRule="auto"/>
        <w:jc w:val="left"/>
        <w:rPr>
          <w:rtl/>
        </w:rPr>
      </w:pPr>
    </w:p>
    <w:p w14:paraId="13808B1C" w14:textId="77777777" w:rsidR="0083019D" w:rsidRPr="0083019D" w:rsidRDefault="0083019D" w:rsidP="0083019D">
      <w:pPr>
        <w:spacing w:line="320" w:lineRule="auto"/>
        <w:jc w:val="left"/>
        <w:rPr>
          <w:rFonts w:cs="Miriam" w:hint="cs"/>
          <w:szCs w:val="22"/>
          <w:rtl/>
        </w:rPr>
      </w:pPr>
      <w:r w:rsidRPr="0083019D">
        <w:rPr>
          <w:rFonts w:cs="Miriam"/>
          <w:szCs w:val="22"/>
          <w:rtl/>
        </w:rPr>
        <w:t>חקלאות טבע וסביבה</w:t>
      </w:r>
      <w:r w:rsidRPr="0083019D">
        <w:rPr>
          <w:rFonts w:cs="FrankRuehl"/>
          <w:szCs w:val="26"/>
          <w:rtl/>
        </w:rPr>
        <w:t xml:space="preserve"> – בע"ח</w:t>
      </w:r>
    </w:p>
    <w:p w14:paraId="4565755B" w14:textId="77777777" w:rsidR="001A14FF" w:rsidRDefault="001A14FF">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60BB7" w:rsidRPr="00760BB7" w14:paraId="320C52D2" w14:textId="77777777" w:rsidTr="00760BB7">
        <w:tblPrEx>
          <w:tblCellMar>
            <w:top w:w="0" w:type="dxa"/>
            <w:bottom w:w="0" w:type="dxa"/>
          </w:tblCellMar>
        </w:tblPrEx>
        <w:tc>
          <w:tcPr>
            <w:tcW w:w="1247" w:type="dxa"/>
          </w:tcPr>
          <w:p w14:paraId="60540923" w14:textId="77777777" w:rsidR="00760BB7" w:rsidRPr="00760BB7" w:rsidRDefault="00760BB7" w:rsidP="00760BB7">
            <w:pPr>
              <w:spacing w:line="240" w:lineRule="auto"/>
              <w:jc w:val="left"/>
              <w:rPr>
                <w:rFonts w:cs="Frankruhel"/>
                <w:sz w:val="24"/>
                <w:rtl/>
              </w:rPr>
            </w:pPr>
            <w:r>
              <w:rPr>
                <w:sz w:val="24"/>
                <w:rtl/>
              </w:rPr>
              <w:t xml:space="preserve">סעיף 1 </w:t>
            </w:r>
          </w:p>
        </w:tc>
        <w:tc>
          <w:tcPr>
            <w:tcW w:w="5669" w:type="dxa"/>
          </w:tcPr>
          <w:p w14:paraId="12EF5ED5" w14:textId="77777777" w:rsidR="00760BB7" w:rsidRPr="00760BB7" w:rsidRDefault="00760BB7" w:rsidP="00760BB7">
            <w:pPr>
              <w:spacing w:line="240" w:lineRule="auto"/>
              <w:jc w:val="left"/>
              <w:rPr>
                <w:rFonts w:cs="Frankruhel"/>
                <w:sz w:val="24"/>
                <w:rtl/>
              </w:rPr>
            </w:pPr>
            <w:r>
              <w:rPr>
                <w:sz w:val="24"/>
                <w:rtl/>
              </w:rPr>
              <w:t>הגדרות</w:t>
            </w:r>
          </w:p>
        </w:tc>
        <w:tc>
          <w:tcPr>
            <w:tcW w:w="567" w:type="dxa"/>
          </w:tcPr>
          <w:p w14:paraId="0415C010" w14:textId="77777777" w:rsidR="00760BB7" w:rsidRPr="00760BB7" w:rsidRDefault="00760BB7" w:rsidP="00760BB7">
            <w:pPr>
              <w:spacing w:line="240" w:lineRule="auto"/>
              <w:jc w:val="left"/>
              <w:rPr>
                <w:rStyle w:val="Hyperlink"/>
                <w:rtl/>
              </w:rPr>
            </w:pPr>
            <w:hyperlink w:anchor="Seif1" w:tooltip="הגדרות" w:history="1">
              <w:r w:rsidRPr="00760BB7">
                <w:rPr>
                  <w:rStyle w:val="Hyperlink"/>
                </w:rPr>
                <w:t>Go</w:t>
              </w:r>
            </w:hyperlink>
          </w:p>
        </w:tc>
        <w:tc>
          <w:tcPr>
            <w:tcW w:w="850" w:type="dxa"/>
          </w:tcPr>
          <w:p w14:paraId="5175DF82"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60BB7" w:rsidRPr="00760BB7" w14:paraId="240DAD5E" w14:textId="77777777" w:rsidTr="00760BB7">
        <w:tblPrEx>
          <w:tblCellMar>
            <w:top w:w="0" w:type="dxa"/>
            <w:bottom w:w="0" w:type="dxa"/>
          </w:tblCellMar>
        </w:tblPrEx>
        <w:tc>
          <w:tcPr>
            <w:tcW w:w="1247" w:type="dxa"/>
          </w:tcPr>
          <w:p w14:paraId="1DD21EE7" w14:textId="77777777" w:rsidR="00760BB7" w:rsidRPr="00760BB7" w:rsidRDefault="00760BB7" w:rsidP="00760BB7">
            <w:pPr>
              <w:spacing w:line="240" w:lineRule="auto"/>
              <w:jc w:val="left"/>
              <w:rPr>
                <w:rFonts w:cs="Frankruhel"/>
                <w:sz w:val="24"/>
                <w:rtl/>
              </w:rPr>
            </w:pPr>
            <w:r>
              <w:rPr>
                <w:sz w:val="24"/>
                <w:rtl/>
              </w:rPr>
              <w:t xml:space="preserve">סעיף 2 </w:t>
            </w:r>
          </w:p>
        </w:tc>
        <w:tc>
          <w:tcPr>
            <w:tcW w:w="5669" w:type="dxa"/>
          </w:tcPr>
          <w:p w14:paraId="20F84AE1" w14:textId="77777777" w:rsidR="00760BB7" w:rsidRPr="00760BB7" w:rsidRDefault="00760BB7" w:rsidP="00760BB7">
            <w:pPr>
              <w:spacing w:line="240" w:lineRule="auto"/>
              <w:jc w:val="left"/>
              <w:rPr>
                <w:rFonts w:cs="Frankruhel"/>
                <w:sz w:val="24"/>
                <w:rtl/>
              </w:rPr>
            </w:pPr>
            <w:r>
              <w:rPr>
                <w:sz w:val="24"/>
                <w:rtl/>
              </w:rPr>
              <w:t>ישיבות הוועדה</w:t>
            </w:r>
          </w:p>
        </w:tc>
        <w:tc>
          <w:tcPr>
            <w:tcW w:w="567" w:type="dxa"/>
          </w:tcPr>
          <w:p w14:paraId="705D4DBC" w14:textId="77777777" w:rsidR="00760BB7" w:rsidRPr="00760BB7" w:rsidRDefault="00760BB7" w:rsidP="00760BB7">
            <w:pPr>
              <w:spacing w:line="240" w:lineRule="auto"/>
              <w:jc w:val="left"/>
              <w:rPr>
                <w:rStyle w:val="Hyperlink"/>
                <w:rtl/>
              </w:rPr>
            </w:pPr>
            <w:hyperlink w:anchor="Seif2" w:tooltip="ישיבות הוועדה" w:history="1">
              <w:r w:rsidRPr="00760BB7">
                <w:rPr>
                  <w:rStyle w:val="Hyperlink"/>
                </w:rPr>
                <w:t>Go</w:t>
              </w:r>
            </w:hyperlink>
          </w:p>
        </w:tc>
        <w:tc>
          <w:tcPr>
            <w:tcW w:w="850" w:type="dxa"/>
          </w:tcPr>
          <w:p w14:paraId="467C27BF"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60BB7" w:rsidRPr="00760BB7" w14:paraId="1CC53908" w14:textId="77777777" w:rsidTr="00760BB7">
        <w:tblPrEx>
          <w:tblCellMar>
            <w:top w:w="0" w:type="dxa"/>
            <w:bottom w:w="0" w:type="dxa"/>
          </w:tblCellMar>
        </w:tblPrEx>
        <w:tc>
          <w:tcPr>
            <w:tcW w:w="1247" w:type="dxa"/>
          </w:tcPr>
          <w:p w14:paraId="3BC0C6F7" w14:textId="77777777" w:rsidR="00760BB7" w:rsidRPr="00760BB7" w:rsidRDefault="00760BB7" w:rsidP="00760BB7">
            <w:pPr>
              <w:spacing w:line="240" w:lineRule="auto"/>
              <w:jc w:val="left"/>
              <w:rPr>
                <w:rFonts w:cs="Frankruhel"/>
                <w:sz w:val="24"/>
                <w:rtl/>
              </w:rPr>
            </w:pPr>
            <w:r>
              <w:rPr>
                <w:sz w:val="24"/>
                <w:rtl/>
              </w:rPr>
              <w:t xml:space="preserve">סעיף 3 </w:t>
            </w:r>
          </w:p>
        </w:tc>
        <w:tc>
          <w:tcPr>
            <w:tcW w:w="5669" w:type="dxa"/>
          </w:tcPr>
          <w:p w14:paraId="6D9DC712" w14:textId="77777777" w:rsidR="00760BB7" w:rsidRPr="00760BB7" w:rsidRDefault="00760BB7" w:rsidP="00760BB7">
            <w:pPr>
              <w:spacing w:line="240" w:lineRule="auto"/>
              <w:jc w:val="left"/>
              <w:rPr>
                <w:rFonts w:cs="Frankruhel"/>
                <w:sz w:val="24"/>
                <w:rtl/>
              </w:rPr>
            </w:pPr>
            <w:r>
              <w:rPr>
                <w:sz w:val="24"/>
                <w:rtl/>
              </w:rPr>
              <w:t>פרוטוקול וסיכום דיון</w:t>
            </w:r>
          </w:p>
        </w:tc>
        <w:tc>
          <w:tcPr>
            <w:tcW w:w="567" w:type="dxa"/>
          </w:tcPr>
          <w:p w14:paraId="58EAF978" w14:textId="77777777" w:rsidR="00760BB7" w:rsidRPr="00760BB7" w:rsidRDefault="00760BB7" w:rsidP="00760BB7">
            <w:pPr>
              <w:spacing w:line="240" w:lineRule="auto"/>
              <w:jc w:val="left"/>
              <w:rPr>
                <w:rStyle w:val="Hyperlink"/>
                <w:rtl/>
              </w:rPr>
            </w:pPr>
            <w:hyperlink w:anchor="Seif3" w:tooltip="פרוטוקול וסיכום דיון" w:history="1">
              <w:r w:rsidRPr="00760BB7">
                <w:rPr>
                  <w:rStyle w:val="Hyperlink"/>
                </w:rPr>
                <w:t>Go</w:t>
              </w:r>
            </w:hyperlink>
          </w:p>
        </w:tc>
        <w:tc>
          <w:tcPr>
            <w:tcW w:w="850" w:type="dxa"/>
          </w:tcPr>
          <w:p w14:paraId="49715B37"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60BB7" w:rsidRPr="00760BB7" w14:paraId="36309FAF" w14:textId="77777777" w:rsidTr="00760BB7">
        <w:tblPrEx>
          <w:tblCellMar>
            <w:top w:w="0" w:type="dxa"/>
            <w:bottom w:w="0" w:type="dxa"/>
          </w:tblCellMar>
        </w:tblPrEx>
        <w:tc>
          <w:tcPr>
            <w:tcW w:w="1247" w:type="dxa"/>
          </w:tcPr>
          <w:p w14:paraId="55299889" w14:textId="77777777" w:rsidR="00760BB7" w:rsidRPr="00760BB7" w:rsidRDefault="00760BB7" w:rsidP="00760BB7">
            <w:pPr>
              <w:spacing w:line="240" w:lineRule="auto"/>
              <w:jc w:val="left"/>
              <w:rPr>
                <w:rFonts w:cs="Frankruhel"/>
                <w:sz w:val="24"/>
                <w:rtl/>
              </w:rPr>
            </w:pPr>
            <w:r>
              <w:rPr>
                <w:sz w:val="24"/>
                <w:rtl/>
              </w:rPr>
              <w:t xml:space="preserve">סעיף 4 </w:t>
            </w:r>
          </w:p>
        </w:tc>
        <w:tc>
          <w:tcPr>
            <w:tcW w:w="5669" w:type="dxa"/>
          </w:tcPr>
          <w:p w14:paraId="37CD9530" w14:textId="77777777" w:rsidR="00760BB7" w:rsidRPr="00760BB7" w:rsidRDefault="00760BB7" w:rsidP="00760BB7">
            <w:pPr>
              <w:spacing w:line="240" w:lineRule="auto"/>
              <w:jc w:val="left"/>
              <w:rPr>
                <w:rFonts w:cs="Frankruhel"/>
                <w:sz w:val="24"/>
                <w:rtl/>
              </w:rPr>
            </w:pPr>
            <w:r>
              <w:rPr>
                <w:sz w:val="24"/>
                <w:rtl/>
              </w:rPr>
              <w:t>מניעת ניגוד עניינים</w:t>
            </w:r>
          </w:p>
        </w:tc>
        <w:tc>
          <w:tcPr>
            <w:tcW w:w="567" w:type="dxa"/>
          </w:tcPr>
          <w:p w14:paraId="64E12EF9" w14:textId="77777777" w:rsidR="00760BB7" w:rsidRPr="00760BB7" w:rsidRDefault="00760BB7" w:rsidP="00760BB7">
            <w:pPr>
              <w:spacing w:line="240" w:lineRule="auto"/>
              <w:jc w:val="left"/>
              <w:rPr>
                <w:rStyle w:val="Hyperlink"/>
                <w:rtl/>
              </w:rPr>
            </w:pPr>
            <w:hyperlink w:anchor="Seif4" w:tooltip="מניעת ניגוד עניינים" w:history="1">
              <w:r w:rsidRPr="00760BB7">
                <w:rPr>
                  <w:rStyle w:val="Hyperlink"/>
                </w:rPr>
                <w:t>Go</w:t>
              </w:r>
            </w:hyperlink>
          </w:p>
        </w:tc>
        <w:tc>
          <w:tcPr>
            <w:tcW w:w="850" w:type="dxa"/>
          </w:tcPr>
          <w:p w14:paraId="2DD3ECCF"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60BB7" w:rsidRPr="00760BB7" w14:paraId="313981C3" w14:textId="77777777" w:rsidTr="00760BB7">
        <w:tblPrEx>
          <w:tblCellMar>
            <w:top w:w="0" w:type="dxa"/>
            <w:bottom w:w="0" w:type="dxa"/>
          </w:tblCellMar>
        </w:tblPrEx>
        <w:tc>
          <w:tcPr>
            <w:tcW w:w="1247" w:type="dxa"/>
          </w:tcPr>
          <w:p w14:paraId="026AD84A" w14:textId="77777777" w:rsidR="00760BB7" w:rsidRPr="00760BB7" w:rsidRDefault="00760BB7" w:rsidP="00760BB7">
            <w:pPr>
              <w:spacing w:line="240" w:lineRule="auto"/>
              <w:jc w:val="left"/>
              <w:rPr>
                <w:rFonts w:cs="Frankruhel"/>
                <w:sz w:val="24"/>
                <w:rtl/>
              </w:rPr>
            </w:pPr>
            <w:r>
              <w:rPr>
                <w:sz w:val="24"/>
                <w:rtl/>
              </w:rPr>
              <w:t xml:space="preserve">סעיף 5 </w:t>
            </w:r>
          </w:p>
        </w:tc>
        <w:tc>
          <w:tcPr>
            <w:tcW w:w="5669" w:type="dxa"/>
          </w:tcPr>
          <w:p w14:paraId="57F84EF2" w14:textId="77777777" w:rsidR="00760BB7" w:rsidRPr="00760BB7" w:rsidRDefault="00760BB7" w:rsidP="00760BB7">
            <w:pPr>
              <w:spacing w:line="240" w:lineRule="auto"/>
              <w:jc w:val="left"/>
              <w:rPr>
                <w:rFonts w:cs="Frankruhel"/>
                <w:sz w:val="24"/>
                <w:rtl/>
              </w:rPr>
            </w:pPr>
            <w:r>
              <w:rPr>
                <w:sz w:val="24"/>
                <w:rtl/>
              </w:rPr>
              <w:t>שמירת סודיות</w:t>
            </w:r>
          </w:p>
        </w:tc>
        <w:tc>
          <w:tcPr>
            <w:tcW w:w="567" w:type="dxa"/>
          </w:tcPr>
          <w:p w14:paraId="6BF97F5E" w14:textId="77777777" w:rsidR="00760BB7" w:rsidRPr="00760BB7" w:rsidRDefault="00760BB7" w:rsidP="00760BB7">
            <w:pPr>
              <w:spacing w:line="240" w:lineRule="auto"/>
              <w:jc w:val="left"/>
              <w:rPr>
                <w:rStyle w:val="Hyperlink"/>
                <w:rtl/>
              </w:rPr>
            </w:pPr>
            <w:hyperlink w:anchor="Seif5" w:tooltip="שמירת סודיות" w:history="1">
              <w:r w:rsidRPr="00760BB7">
                <w:rPr>
                  <w:rStyle w:val="Hyperlink"/>
                </w:rPr>
                <w:t>Go</w:t>
              </w:r>
            </w:hyperlink>
          </w:p>
        </w:tc>
        <w:tc>
          <w:tcPr>
            <w:tcW w:w="850" w:type="dxa"/>
          </w:tcPr>
          <w:p w14:paraId="5D9827BE"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760BB7" w:rsidRPr="00760BB7" w14:paraId="05FF5DD1" w14:textId="77777777" w:rsidTr="00760BB7">
        <w:tblPrEx>
          <w:tblCellMar>
            <w:top w:w="0" w:type="dxa"/>
            <w:bottom w:w="0" w:type="dxa"/>
          </w:tblCellMar>
        </w:tblPrEx>
        <w:tc>
          <w:tcPr>
            <w:tcW w:w="1247" w:type="dxa"/>
          </w:tcPr>
          <w:p w14:paraId="0633D23C" w14:textId="77777777" w:rsidR="00760BB7" w:rsidRPr="00760BB7" w:rsidRDefault="00760BB7" w:rsidP="00760BB7">
            <w:pPr>
              <w:spacing w:line="240" w:lineRule="auto"/>
              <w:jc w:val="left"/>
              <w:rPr>
                <w:rFonts w:cs="Frankruhel"/>
                <w:sz w:val="24"/>
                <w:rtl/>
              </w:rPr>
            </w:pPr>
            <w:r>
              <w:rPr>
                <w:sz w:val="24"/>
                <w:rtl/>
              </w:rPr>
              <w:t xml:space="preserve">סעיף 6 </w:t>
            </w:r>
          </w:p>
        </w:tc>
        <w:tc>
          <w:tcPr>
            <w:tcW w:w="5669" w:type="dxa"/>
          </w:tcPr>
          <w:p w14:paraId="0D150AB6" w14:textId="77777777" w:rsidR="00760BB7" w:rsidRPr="00760BB7" w:rsidRDefault="00760BB7" w:rsidP="00760BB7">
            <w:pPr>
              <w:spacing w:line="240" w:lineRule="auto"/>
              <w:jc w:val="left"/>
              <w:rPr>
                <w:rFonts w:cs="Frankruhel"/>
                <w:sz w:val="24"/>
                <w:rtl/>
              </w:rPr>
            </w:pPr>
            <w:r>
              <w:rPr>
                <w:sz w:val="24"/>
                <w:rtl/>
              </w:rPr>
              <w:t>תקופת כהונה של חבר ועדה</w:t>
            </w:r>
          </w:p>
        </w:tc>
        <w:tc>
          <w:tcPr>
            <w:tcW w:w="567" w:type="dxa"/>
          </w:tcPr>
          <w:p w14:paraId="7B48A375" w14:textId="77777777" w:rsidR="00760BB7" w:rsidRPr="00760BB7" w:rsidRDefault="00760BB7" w:rsidP="00760BB7">
            <w:pPr>
              <w:spacing w:line="240" w:lineRule="auto"/>
              <w:jc w:val="left"/>
              <w:rPr>
                <w:rStyle w:val="Hyperlink"/>
                <w:rtl/>
              </w:rPr>
            </w:pPr>
            <w:hyperlink w:anchor="Seif6" w:tooltip="תקופת כהונה של חבר ועדה" w:history="1">
              <w:r w:rsidRPr="00760BB7">
                <w:rPr>
                  <w:rStyle w:val="Hyperlink"/>
                </w:rPr>
                <w:t>Go</w:t>
              </w:r>
            </w:hyperlink>
          </w:p>
        </w:tc>
        <w:tc>
          <w:tcPr>
            <w:tcW w:w="850" w:type="dxa"/>
          </w:tcPr>
          <w:p w14:paraId="2CB3BA50"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60BB7" w:rsidRPr="00760BB7" w14:paraId="14BD08B6" w14:textId="77777777" w:rsidTr="00760BB7">
        <w:tblPrEx>
          <w:tblCellMar>
            <w:top w:w="0" w:type="dxa"/>
            <w:bottom w:w="0" w:type="dxa"/>
          </w:tblCellMar>
        </w:tblPrEx>
        <w:tc>
          <w:tcPr>
            <w:tcW w:w="1247" w:type="dxa"/>
          </w:tcPr>
          <w:p w14:paraId="30BECABB" w14:textId="77777777" w:rsidR="00760BB7" w:rsidRPr="00760BB7" w:rsidRDefault="00760BB7" w:rsidP="00760BB7">
            <w:pPr>
              <w:spacing w:line="240" w:lineRule="auto"/>
              <w:jc w:val="left"/>
              <w:rPr>
                <w:rFonts w:cs="Frankruhel"/>
                <w:sz w:val="24"/>
                <w:rtl/>
              </w:rPr>
            </w:pPr>
            <w:r>
              <w:rPr>
                <w:sz w:val="24"/>
                <w:rtl/>
              </w:rPr>
              <w:t xml:space="preserve">סעיף 7 </w:t>
            </w:r>
          </w:p>
        </w:tc>
        <w:tc>
          <w:tcPr>
            <w:tcW w:w="5669" w:type="dxa"/>
          </w:tcPr>
          <w:p w14:paraId="22743D6E" w14:textId="77777777" w:rsidR="00760BB7" w:rsidRPr="00760BB7" w:rsidRDefault="00760BB7" w:rsidP="00760BB7">
            <w:pPr>
              <w:spacing w:line="240" w:lineRule="auto"/>
              <w:jc w:val="left"/>
              <w:rPr>
                <w:rFonts w:cs="Frankruhel"/>
                <w:sz w:val="24"/>
                <w:rtl/>
              </w:rPr>
            </w:pPr>
            <w:r>
              <w:rPr>
                <w:sz w:val="24"/>
                <w:rtl/>
              </w:rPr>
              <w:t>פקיעת כהונה והשעיה של חבר ועדה, והפסקת פעילותו של משקיף</w:t>
            </w:r>
          </w:p>
        </w:tc>
        <w:tc>
          <w:tcPr>
            <w:tcW w:w="567" w:type="dxa"/>
          </w:tcPr>
          <w:p w14:paraId="6065621A" w14:textId="77777777" w:rsidR="00760BB7" w:rsidRPr="00760BB7" w:rsidRDefault="00760BB7" w:rsidP="00760BB7">
            <w:pPr>
              <w:spacing w:line="240" w:lineRule="auto"/>
              <w:jc w:val="left"/>
              <w:rPr>
                <w:rStyle w:val="Hyperlink"/>
                <w:rtl/>
              </w:rPr>
            </w:pPr>
            <w:hyperlink w:anchor="Seif7" w:tooltip="פקיעת כהונה והשעיה של חבר ועדה, והפסקת פעילותו של משקיף" w:history="1">
              <w:r w:rsidRPr="00760BB7">
                <w:rPr>
                  <w:rStyle w:val="Hyperlink"/>
                </w:rPr>
                <w:t>Go</w:t>
              </w:r>
            </w:hyperlink>
          </w:p>
        </w:tc>
        <w:tc>
          <w:tcPr>
            <w:tcW w:w="850" w:type="dxa"/>
          </w:tcPr>
          <w:p w14:paraId="2C7161AE"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60BB7" w:rsidRPr="00760BB7" w14:paraId="037121AD" w14:textId="77777777" w:rsidTr="00760BB7">
        <w:tblPrEx>
          <w:tblCellMar>
            <w:top w:w="0" w:type="dxa"/>
            <w:bottom w:w="0" w:type="dxa"/>
          </w:tblCellMar>
        </w:tblPrEx>
        <w:tc>
          <w:tcPr>
            <w:tcW w:w="1247" w:type="dxa"/>
          </w:tcPr>
          <w:p w14:paraId="3303DFF2" w14:textId="77777777" w:rsidR="00760BB7" w:rsidRPr="00760BB7" w:rsidRDefault="00760BB7" w:rsidP="00760BB7">
            <w:pPr>
              <w:spacing w:line="240" w:lineRule="auto"/>
              <w:jc w:val="left"/>
              <w:rPr>
                <w:rFonts w:cs="Frankruhel"/>
                <w:sz w:val="24"/>
                <w:rtl/>
              </w:rPr>
            </w:pPr>
            <w:r>
              <w:rPr>
                <w:sz w:val="24"/>
                <w:rtl/>
              </w:rPr>
              <w:t xml:space="preserve">סעיף 8 </w:t>
            </w:r>
          </w:p>
        </w:tc>
        <w:tc>
          <w:tcPr>
            <w:tcW w:w="5669" w:type="dxa"/>
          </w:tcPr>
          <w:p w14:paraId="36B318BD" w14:textId="77777777" w:rsidR="00760BB7" w:rsidRPr="00760BB7" w:rsidRDefault="00760BB7" w:rsidP="00760BB7">
            <w:pPr>
              <w:spacing w:line="240" w:lineRule="auto"/>
              <w:jc w:val="left"/>
              <w:rPr>
                <w:rFonts w:cs="Frankruhel"/>
                <w:sz w:val="24"/>
                <w:rtl/>
              </w:rPr>
            </w:pPr>
            <w:r>
              <w:rPr>
                <w:sz w:val="24"/>
                <w:rtl/>
              </w:rPr>
              <w:t>העברה מכהונה של חבר הוועדה</w:t>
            </w:r>
          </w:p>
        </w:tc>
        <w:tc>
          <w:tcPr>
            <w:tcW w:w="567" w:type="dxa"/>
          </w:tcPr>
          <w:p w14:paraId="0FC8CBA0" w14:textId="77777777" w:rsidR="00760BB7" w:rsidRPr="00760BB7" w:rsidRDefault="00760BB7" w:rsidP="00760BB7">
            <w:pPr>
              <w:spacing w:line="240" w:lineRule="auto"/>
              <w:jc w:val="left"/>
              <w:rPr>
                <w:rStyle w:val="Hyperlink"/>
                <w:rtl/>
              </w:rPr>
            </w:pPr>
            <w:hyperlink w:anchor="Seif8" w:tooltip="העברה מכהונה של חבר הוועדה" w:history="1">
              <w:r w:rsidRPr="00760BB7">
                <w:rPr>
                  <w:rStyle w:val="Hyperlink"/>
                </w:rPr>
                <w:t>Go</w:t>
              </w:r>
            </w:hyperlink>
          </w:p>
        </w:tc>
        <w:tc>
          <w:tcPr>
            <w:tcW w:w="850" w:type="dxa"/>
          </w:tcPr>
          <w:p w14:paraId="25387F1C"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60BB7" w:rsidRPr="00760BB7" w14:paraId="0B9A2984" w14:textId="77777777" w:rsidTr="00760BB7">
        <w:tblPrEx>
          <w:tblCellMar>
            <w:top w:w="0" w:type="dxa"/>
            <w:bottom w:w="0" w:type="dxa"/>
          </w:tblCellMar>
        </w:tblPrEx>
        <w:tc>
          <w:tcPr>
            <w:tcW w:w="1247" w:type="dxa"/>
          </w:tcPr>
          <w:p w14:paraId="2625AEC9" w14:textId="77777777" w:rsidR="00760BB7" w:rsidRPr="00760BB7" w:rsidRDefault="00760BB7" w:rsidP="00760BB7">
            <w:pPr>
              <w:spacing w:line="240" w:lineRule="auto"/>
              <w:jc w:val="left"/>
              <w:rPr>
                <w:rFonts w:cs="Frankruhel"/>
                <w:sz w:val="24"/>
                <w:rtl/>
              </w:rPr>
            </w:pPr>
            <w:r>
              <w:rPr>
                <w:sz w:val="24"/>
                <w:rtl/>
              </w:rPr>
              <w:t xml:space="preserve">סעיף 9 </w:t>
            </w:r>
          </w:p>
        </w:tc>
        <w:tc>
          <w:tcPr>
            <w:tcW w:w="5669" w:type="dxa"/>
          </w:tcPr>
          <w:p w14:paraId="0EAF0CB2" w14:textId="77777777" w:rsidR="00760BB7" w:rsidRPr="00760BB7" w:rsidRDefault="00760BB7" w:rsidP="00760BB7">
            <w:pPr>
              <w:spacing w:line="240" w:lineRule="auto"/>
              <w:jc w:val="left"/>
              <w:rPr>
                <w:rFonts w:cs="Frankruhel"/>
                <w:sz w:val="24"/>
                <w:rtl/>
              </w:rPr>
            </w:pPr>
            <w:r>
              <w:rPr>
                <w:sz w:val="24"/>
                <w:rtl/>
              </w:rPr>
              <w:t>מינוי חבר ועדה במקום חבר ועדה שחדל לכהן</w:t>
            </w:r>
          </w:p>
        </w:tc>
        <w:tc>
          <w:tcPr>
            <w:tcW w:w="567" w:type="dxa"/>
          </w:tcPr>
          <w:p w14:paraId="6C86BA90" w14:textId="77777777" w:rsidR="00760BB7" w:rsidRPr="00760BB7" w:rsidRDefault="00760BB7" w:rsidP="00760BB7">
            <w:pPr>
              <w:spacing w:line="240" w:lineRule="auto"/>
              <w:jc w:val="left"/>
              <w:rPr>
                <w:rStyle w:val="Hyperlink"/>
                <w:rtl/>
              </w:rPr>
            </w:pPr>
            <w:hyperlink w:anchor="Seif9" w:tooltip="מינוי חבר ועדה במקום חבר ועדה שחדל לכהן" w:history="1">
              <w:r w:rsidRPr="00760BB7">
                <w:rPr>
                  <w:rStyle w:val="Hyperlink"/>
                </w:rPr>
                <w:t>Go</w:t>
              </w:r>
            </w:hyperlink>
          </w:p>
        </w:tc>
        <w:tc>
          <w:tcPr>
            <w:tcW w:w="850" w:type="dxa"/>
          </w:tcPr>
          <w:p w14:paraId="07B02578"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60BB7" w:rsidRPr="00760BB7" w14:paraId="4B29CBE1" w14:textId="77777777" w:rsidTr="00760BB7">
        <w:tblPrEx>
          <w:tblCellMar>
            <w:top w:w="0" w:type="dxa"/>
            <w:bottom w:w="0" w:type="dxa"/>
          </w:tblCellMar>
        </w:tblPrEx>
        <w:tc>
          <w:tcPr>
            <w:tcW w:w="1247" w:type="dxa"/>
          </w:tcPr>
          <w:p w14:paraId="343753EB" w14:textId="77777777" w:rsidR="00760BB7" w:rsidRPr="00760BB7" w:rsidRDefault="00760BB7" w:rsidP="00760BB7">
            <w:pPr>
              <w:spacing w:line="240" w:lineRule="auto"/>
              <w:jc w:val="left"/>
              <w:rPr>
                <w:rFonts w:cs="Frankruhel"/>
                <w:sz w:val="24"/>
                <w:rtl/>
              </w:rPr>
            </w:pPr>
            <w:r>
              <w:rPr>
                <w:sz w:val="24"/>
                <w:rtl/>
              </w:rPr>
              <w:t xml:space="preserve">סעיף 10 </w:t>
            </w:r>
          </w:p>
        </w:tc>
        <w:tc>
          <w:tcPr>
            <w:tcW w:w="5669" w:type="dxa"/>
          </w:tcPr>
          <w:p w14:paraId="499B233B" w14:textId="77777777" w:rsidR="00760BB7" w:rsidRPr="00760BB7" w:rsidRDefault="00760BB7" w:rsidP="00760BB7">
            <w:pPr>
              <w:spacing w:line="240" w:lineRule="auto"/>
              <w:jc w:val="left"/>
              <w:rPr>
                <w:rFonts w:cs="Frankruhel"/>
                <w:sz w:val="24"/>
                <w:rtl/>
              </w:rPr>
            </w:pPr>
            <w:r>
              <w:rPr>
                <w:sz w:val="24"/>
                <w:rtl/>
              </w:rPr>
              <w:t>מילוי מקומו של  יושב ראש הוועדה ופקיעת כהונתו</w:t>
            </w:r>
          </w:p>
        </w:tc>
        <w:tc>
          <w:tcPr>
            <w:tcW w:w="567" w:type="dxa"/>
          </w:tcPr>
          <w:p w14:paraId="5FA36580" w14:textId="77777777" w:rsidR="00760BB7" w:rsidRPr="00760BB7" w:rsidRDefault="00760BB7" w:rsidP="00760BB7">
            <w:pPr>
              <w:spacing w:line="240" w:lineRule="auto"/>
              <w:jc w:val="left"/>
              <w:rPr>
                <w:rStyle w:val="Hyperlink"/>
                <w:rtl/>
              </w:rPr>
            </w:pPr>
            <w:hyperlink w:anchor="Seif10" w:tooltip="מילוי מקומו של  יושב ראש הוועדה ופקיעת כהונתו" w:history="1">
              <w:r w:rsidRPr="00760BB7">
                <w:rPr>
                  <w:rStyle w:val="Hyperlink"/>
                </w:rPr>
                <w:t>Go</w:t>
              </w:r>
            </w:hyperlink>
          </w:p>
        </w:tc>
        <w:tc>
          <w:tcPr>
            <w:tcW w:w="850" w:type="dxa"/>
          </w:tcPr>
          <w:p w14:paraId="1A79BBE4"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760BB7" w:rsidRPr="00760BB7" w14:paraId="1F4156FF" w14:textId="77777777" w:rsidTr="00760BB7">
        <w:tblPrEx>
          <w:tblCellMar>
            <w:top w:w="0" w:type="dxa"/>
            <w:bottom w:w="0" w:type="dxa"/>
          </w:tblCellMar>
        </w:tblPrEx>
        <w:tc>
          <w:tcPr>
            <w:tcW w:w="1247" w:type="dxa"/>
          </w:tcPr>
          <w:p w14:paraId="1D7F5D78" w14:textId="77777777" w:rsidR="00760BB7" w:rsidRPr="00760BB7" w:rsidRDefault="00760BB7" w:rsidP="00760BB7">
            <w:pPr>
              <w:spacing w:line="240" w:lineRule="auto"/>
              <w:jc w:val="left"/>
              <w:rPr>
                <w:rFonts w:cs="Frankruhel"/>
                <w:sz w:val="24"/>
                <w:rtl/>
              </w:rPr>
            </w:pPr>
            <w:r>
              <w:rPr>
                <w:sz w:val="24"/>
                <w:rtl/>
              </w:rPr>
              <w:t xml:space="preserve">סעיף 11 </w:t>
            </w:r>
          </w:p>
        </w:tc>
        <w:tc>
          <w:tcPr>
            <w:tcW w:w="5669" w:type="dxa"/>
          </w:tcPr>
          <w:p w14:paraId="3A317932" w14:textId="77777777" w:rsidR="00760BB7" w:rsidRPr="00760BB7" w:rsidRDefault="00760BB7" w:rsidP="00760BB7">
            <w:pPr>
              <w:spacing w:line="240" w:lineRule="auto"/>
              <w:jc w:val="left"/>
              <w:rPr>
                <w:rFonts w:cs="Frankruhel"/>
                <w:sz w:val="24"/>
                <w:rtl/>
              </w:rPr>
            </w:pPr>
            <w:r>
              <w:rPr>
                <w:sz w:val="24"/>
                <w:rtl/>
              </w:rPr>
              <w:t>תוקף פעולות</w:t>
            </w:r>
          </w:p>
        </w:tc>
        <w:tc>
          <w:tcPr>
            <w:tcW w:w="567" w:type="dxa"/>
          </w:tcPr>
          <w:p w14:paraId="17033A46" w14:textId="77777777" w:rsidR="00760BB7" w:rsidRPr="00760BB7" w:rsidRDefault="00760BB7" w:rsidP="00760BB7">
            <w:pPr>
              <w:spacing w:line="240" w:lineRule="auto"/>
              <w:jc w:val="left"/>
              <w:rPr>
                <w:rStyle w:val="Hyperlink"/>
                <w:rtl/>
              </w:rPr>
            </w:pPr>
            <w:hyperlink w:anchor="Seif11" w:tooltip="תוקף פעולות" w:history="1">
              <w:r w:rsidRPr="00760BB7">
                <w:rPr>
                  <w:rStyle w:val="Hyperlink"/>
                </w:rPr>
                <w:t>Go</w:t>
              </w:r>
            </w:hyperlink>
          </w:p>
        </w:tc>
        <w:tc>
          <w:tcPr>
            <w:tcW w:w="850" w:type="dxa"/>
          </w:tcPr>
          <w:p w14:paraId="71DF515D" w14:textId="77777777" w:rsidR="00760BB7" w:rsidRPr="00760BB7" w:rsidRDefault="00760BB7" w:rsidP="00760BB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28B33201" w14:textId="77777777" w:rsidR="001A14FF" w:rsidRDefault="001A14FF">
      <w:pPr>
        <w:pStyle w:val="big-header"/>
        <w:ind w:left="0" w:right="1134"/>
        <w:rPr>
          <w:rFonts w:cs="FrankRuehl"/>
          <w:sz w:val="32"/>
          <w:rtl/>
        </w:rPr>
      </w:pPr>
    </w:p>
    <w:p w14:paraId="7D922122" w14:textId="77777777" w:rsidR="001A14FF" w:rsidRDefault="001A14FF" w:rsidP="00E4576D">
      <w:pPr>
        <w:pStyle w:val="big-header"/>
        <w:ind w:left="0" w:right="1134"/>
        <w:rPr>
          <w:rFonts w:cs="FrankRuehl" w:hint="cs"/>
          <w:sz w:val="32"/>
          <w:rtl/>
        </w:rPr>
      </w:pPr>
      <w:r>
        <w:rPr>
          <w:rFonts w:cs="FrankRuehl"/>
          <w:sz w:val="32"/>
          <w:rtl/>
        </w:rPr>
        <w:br w:type="page"/>
      </w:r>
      <w:r w:rsidR="00E4576D">
        <w:rPr>
          <w:rFonts w:cs="FrankRuehl" w:hint="cs"/>
          <w:sz w:val="32"/>
          <w:rtl/>
        </w:rPr>
        <w:lastRenderedPageBreak/>
        <w:t>תקנות הפיקוח על מזון לבעלי חיים (ועדה מקצועית מייעצת), תשע"ז-2017</w:t>
      </w:r>
      <w:r w:rsidR="009A1E2C">
        <w:rPr>
          <w:rStyle w:val="a6"/>
          <w:rFonts w:cs="FrankRuehl"/>
          <w:sz w:val="32"/>
          <w:rtl/>
        </w:rPr>
        <w:footnoteReference w:customMarkFollows="1" w:id="1"/>
        <w:t>*</w:t>
      </w:r>
    </w:p>
    <w:p w14:paraId="6A0E0E35" w14:textId="77777777" w:rsidR="0083019D" w:rsidRDefault="00E4576D" w:rsidP="00E4576D">
      <w:pPr>
        <w:pStyle w:val="P00"/>
        <w:spacing w:before="72"/>
        <w:ind w:left="0" w:right="1134"/>
        <w:rPr>
          <w:rStyle w:val="default"/>
          <w:rFonts w:cs="FrankRuehl" w:hint="cs"/>
          <w:rtl/>
        </w:rPr>
      </w:pPr>
      <w:r>
        <w:rPr>
          <w:rStyle w:val="default"/>
          <w:rFonts w:cs="FrankRuehl" w:hint="cs"/>
          <w:rtl/>
        </w:rPr>
        <w:tab/>
        <w:t xml:space="preserve">בתוקף סמכותי לפי סעיף 36(א) ו-36(ב)(7) לחוק הפיקוח על מזון לבעלי חיים, התשע"ד-2014 (להלן </w:t>
      </w:r>
      <w:r>
        <w:rPr>
          <w:rStyle w:val="default"/>
          <w:rFonts w:cs="FrankRuehl"/>
          <w:rtl/>
        </w:rPr>
        <w:t>–</w:t>
      </w:r>
      <w:r>
        <w:rPr>
          <w:rStyle w:val="default"/>
          <w:rFonts w:cs="FrankRuehl" w:hint="cs"/>
          <w:rtl/>
        </w:rPr>
        <w:t xml:space="preserve"> החוק), ובאישור ועדת העבודה הרווחה והבריאות של הכנסת, אני מתקין תקנות אלה:</w:t>
      </w:r>
    </w:p>
    <w:p w14:paraId="38440702" w14:textId="77777777" w:rsidR="001A14FF" w:rsidRDefault="001A14FF" w:rsidP="00E4576D">
      <w:pPr>
        <w:pStyle w:val="P00"/>
        <w:spacing w:before="72"/>
        <w:ind w:left="0" w:right="1134"/>
        <w:rPr>
          <w:rStyle w:val="default"/>
          <w:rFonts w:cs="FrankRuehl" w:hint="cs"/>
          <w:rtl/>
        </w:rPr>
      </w:pPr>
      <w:bookmarkStart w:id="0" w:name="Seif1"/>
      <w:bookmarkEnd w:id="0"/>
      <w:r>
        <w:rPr>
          <w:lang w:val="he-IL"/>
        </w:rPr>
        <w:pict w14:anchorId="7A9EB101">
          <v:rect id="_x0000_s1026" style="position:absolute;left:0;text-align:left;margin-left:464.5pt;margin-top:8.05pt;width:75.05pt;height:13.95pt;z-index:251652608" o:allowincell="f" filled="f" stroked="f" strokecolor="lime" strokeweight=".25pt">
            <v:textbox inset="0,0,0,0">
              <w:txbxContent>
                <w:p w14:paraId="0504C62B" w14:textId="77777777" w:rsidR="004D1C43" w:rsidRDefault="00E4576D">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E4576D">
        <w:rPr>
          <w:rStyle w:val="default"/>
          <w:rFonts w:cs="FrankRuehl" w:hint="cs"/>
          <w:rtl/>
        </w:rPr>
        <w:t xml:space="preserve">בתקנות אלה </w:t>
      </w:r>
      <w:r w:rsidR="00E4576D">
        <w:rPr>
          <w:rStyle w:val="default"/>
          <w:rFonts w:cs="FrankRuehl"/>
          <w:rtl/>
        </w:rPr>
        <w:t>–</w:t>
      </w:r>
    </w:p>
    <w:p w14:paraId="24CDA5F4" w14:textId="77777777" w:rsidR="00E4576D" w:rsidRDefault="00E4576D" w:rsidP="00E4576D">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הוועדה המקצועית המייעצת שמונתה לפי סעיף 31 לחוק;</w:t>
      </w:r>
    </w:p>
    <w:p w14:paraId="00644D66" w14:textId="77777777" w:rsidR="00E4576D" w:rsidRDefault="00E4576D" w:rsidP="00E4576D">
      <w:pPr>
        <w:pStyle w:val="P00"/>
        <w:spacing w:before="72"/>
        <w:ind w:left="0" w:right="1134"/>
        <w:rPr>
          <w:rStyle w:val="default"/>
          <w:rFonts w:cs="FrankRuehl" w:hint="cs"/>
          <w:rtl/>
        </w:rPr>
      </w:pPr>
      <w:r>
        <w:rPr>
          <w:rStyle w:val="default"/>
          <w:rFonts w:cs="FrankRuehl" w:hint="cs"/>
          <w:rtl/>
        </w:rPr>
        <w:tab/>
        <w:t xml:space="preserve">"יושב ראש הוועדה" </w:t>
      </w:r>
      <w:r>
        <w:rPr>
          <w:rStyle w:val="default"/>
          <w:rFonts w:cs="FrankRuehl"/>
          <w:rtl/>
        </w:rPr>
        <w:t>–</w:t>
      </w:r>
      <w:r>
        <w:rPr>
          <w:rStyle w:val="default"/>
          <w:rFonts w:cs="FrankRuehl" w:hint="cs"/>
          <w:rtl/>
        </w:rPr>
        <w:t xml:space="preserve"> חבר הוועדה שנקבע כיושב ראש לפי סעיף 31(א)(1) לחוק;</w:t>
      </w:r>
    </w:p>
    <w:p w14:paraId="22F9E7AC" w14:textId="77777777" w:rsidR="00E4576D" w:rsidRDefault="00E4576D" w:rsidP="00E4576D">
      <w:pPr>
        <w:pStyle w:val="P00"/>
        <w:spacing w:before="72"/>
        <w:ind w:left="0" w:right="1134"/>
        <w:rPr>
          <w:rStyle w:val="default"/>
          <w:rFonts w:cs="FrankRuehl" w:hint="cs"/>
          <w:rtl/>
        </w:rPr>
      </w:pPr>
      <w:r>
        <w:rPr>
          <w:rStyle w:val="default"/>
          <w:rFonts w:cs="FrankRuehl" w:hint="cs"/>
          <w:rtl/>
        </w:rPr>
        <w:tab/>
        <w:t xml:space="preserve">"משקיף" </w:t>
      </w:r>
      <w:r>
        <w:rPr>
          <w:rStyle w:val="default"/>
          <w:rFonts w:cs="FrankRuehl"/>
          <w:rtl/>
        </w:rPr>
        <w:t>–</w:t>
      </w:r>
      <w:r>
        <w:rPr>
          <w:rStyle w:val="default"/>
          <w:rFonts w:cs="FrankRuehl" w:hint="cs"/>
          <w:rtl/>
        </w:rPr>
        <w:t xml:space="preserve"> מי שהמנהל מינה למשקיף לאחר שארגון שהוכר על ידי השר לפי סעיף 31(ב) לחוק מסר למנהל הודעה בכתב כי הוא נציגו לעניין אותו סעיף.</w:t>
      </w:r>
    </w:p>
    <w:p w14:paraId="68396C01" w14:textId="77777777" w:rsidR="00E4576D" w:rsidRDefault="001A14FF" w:rsidP="00046D6F">
      <w:pPr>
        <w:pStyle w:val="P00"/>
        <w:spacing w:before="72"/>
        <w:ind w:left="0" w:right="1134"/>
        <w:rPr>
          <w:rStyle w:val="default"/>
          <w:rFonts w:cs="FrankRuehl" w:hint="cs"/>
          <w:rtl/>
        </w:rPr>
      </w:pPr>
      <w:bookmarkStart w:id="1" w:name="Seif2"/>
      <w:bookmarkEnd w:id="1"/>
      <w:r>
        <w:rPr>
          <w:lang w:val="he-IL"/>
        </w:rPr>
        <w:pict w14:anchorId="34F95BD0">
          <v:rect id="_x0000_s1027" style="position:absolute;left:0;text-align:left;margin-left:464.5pt;margin-top:8.05pt;width:75.05pt;height:16.25pt;z-index:251653632" o:allowincell="f" filled="f" stroked="f" strokecolor="lime" strokeweight=".25pt">
            <v:textbox inset="0,0,0,0">
              <w:txbxContent>
                <w:p w14:paraId="770C334C" w14:textId="77777777" w:rsidR="004D1C43" w:rsidRDefault="00046D6F">
                  <w:pPr>
                    <w:spacing w:line="160" w:lineRule="exact"/>
                    <w:jc w:val="left"/>
                    <w:rPr>
                      <w:rFonts w:cs="Miriam" w:hint="cs"/>
                      <w:noProof/>
                      <w:sz w:val="18"/>
                      <w:szCs w:val="18"/>
                      <w:rtl/>
                    </w:rPr>
                  </w:pPr>
                  <w:r>
                    <w:rPr>
                      <w:rFonts w:cs="Miriam" w:hint="cs"/>
                      <w:sz w:val="18"/>
                      <w:szCs w:val="18"/>
                      <w:rtl/>
                    </w:rPr>
                    <w:t>ישיבות הוועדה</w:t>
                  </w:r>
                </w:p>
              </w:txbxContent>
            </v:textbox>
            <w10:anchorlock/>
          </v:rect>
        </w:pict>
      </w:r>
      <w:r>
        <w:rPr>
          <w:rStyle w:val="big-number"/>
          <w:rFonts w:cs="Miriam"/>
          <w:rtl/>
        </w:rPr>
        <w:t>2.</w:t>
      </w:r>
      <w:r>
        <w:rPr>
          <w:rStyle w:val="big-number"/>
          <w:rFonts w:cs="Miriam"/>
          <w:rtl/>
        </w:rPr>
        <w:tab/>
      </w:r>
      <w:r w:rsidR="00046D6F">
        <w:rPr>
          <w:rStyle w:val="default"/>
          <w:rFonts w:cs="FrankRuehl" w:hint="cs"/>
          <w:rtl/>
        </w:rPr>
        <w:t>(א)</w:t>
      </w:r>
      <w:r w:rsidR="00046D6F">
        <w:rPr>
          <w:rStyle w:val="default"/>
          <w:rFonts w:cs="FrankRuehl" w:hint="cs"/>
          <w:rtl/>
        </w:rPr>
        <w:tab/>
        <w:t>יושב ראש הוועדה יזמן את ישיבותיה, יקבע את מועדיהן, מקומן וסדר יומן וכן ינהל את ישיבותיה.</w:t>
      </w:r>
    </w:p>
    <w:p w14:paraId="7DF14544" w14:textId="77777777" w:rsidR="00046D6F" w:rsidRDefault="00046D6F" w:rsidP="00046D6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6A2233">
        <w:rPr>
          <w:rStyle w:val="default"/>
          <w:rFonts w:cs="FrankRuehl" w:hint="cs"/>
          <w:rtl/>
        </w:rPr>
        <w:t>נוסף על האמור בתקנת משנה (א), הוועדה תתכנס בתוך 21 ימי עבודה מיום שדרשו זאת השר, המנהל, או שניים לפחות מחברי הוועדה.</w:t>
      </w:r>
    </w:p>
    <w:p w14:paraId="2BFB38EA" w14:textId="77777777" w:rsidR="006A2233" w:rsidRDefault="006A2233" w:rsidP="00046D6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זימון לישיבת הוועדה, לפי תקנת משנה (א) או (ב), יפרט את סדר היום ויימסר לחברי הוועדה ולמשקיפים בה, 14 ימי עבודה לפחות לפני המועד שנקבע לישיבה.</w:t>
      </w:r>
    </w:p>
    <w:p w14:paraId="5FC3428C" w14:textId="77777777" w:rsidR="006A2233" w:rsidRDefault="006A2233" w:rsidP="00046D6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חבר ועדה רשאי להציע נושא לסדר יום של ישיבת ועדה שאליה הוזמן, לא יאוחר מעשרה ימי עבודה לפחות לפני המועד שנקבע לישיבה; נושא שהוצע יעמוד על סדר היום אם הסכימו לכך שניים לפחות מחברי הוועדה, והודעה עליו תימסר למוזמנים, בהקדם האפשרי.</w:t>
      </w:r>
    </w:p>
    <w:p w14:paraId="60DCD105" w14:textId="77777777" w:rsidR="001A14FF" w:rsidRDefault="001A14FF" w:rsidP="006A2233">
      <w:pPr>
        <w:pStyle w:val="P00"/>
        <w:spacing w:before="72"/>
        <w:ind w:left="0" w:right="1134"/>
        <w:rPr>
          <w:rStyle w:val="default"/>
          <w:rFonts w:cs="FrankRuehl" w:hint="cs"/>
          <w:rtl/>
        </w:rPr>
      </w:pPr>
      <w:bookmarkStart w:id="2" w:name="Seif3"/>
      <w:bookmarkEnd w:id="2"/>
      <w:r>
        <w:rPr>
          <w:lang w:val="he-IL"/>
        </w:rPr>
        <w:pict w14:anchorId="5D441C7E">
          <v:rect id="_x0000_s1028" style="position:absolute;left:0;text-align:left;margin-left:464.5pt;margin-top:8.05pt;width:75.05pt;height:16.5pt;z-index:251654656" o:allowincell="f" filled="f" stroked="f" strokecolor="lime" strokeweight=".25pt">
            <v:textbox inset="0,0,0,0">
              <w:txbxContent>
                <w:p w14:paraId="183467E7" w14:textId="77777777" w:rsidR="004D1C43" w:rsidRDefault="006A2233">
                  <w:pPr>
                    <w:spacing w:line="160" w:lineRule="exact"/>
                    <w:jc w:val="left"/>
                    <w:rPr>
                      <w:rFonts w:cs="Miriam" w:hint="cs"/>
                      <w:noProof/>
                      <w:sz w:val="18"/>
                      <w:szCs w:val="18"/>
                      <w:rtl/>
                    </w:rPr>
                  </w:pPr>
                  <w:r>
                    <w:rPr>
                      <w:rFonts w:cs="Miriam" w:hint="cs"/>
                      <w:sz w:val="18"/>
                      <w:szCs w:val="18"/>
                      <w:rtl/>
                    </w:rPr>
                    <w:t>פרוטוקול וסיכום דיון</w:t>
                  </w:r>
                </w:p>
              </w:txbxContent>
            </v:textbox>
            <w10:anchorlock/>
          </v:rect>
        </w:pict>
      </w:r>
      <w:r>
        <w:rPr>
          <w:rStyle w:val="big-number"/>
          <w:rFonts w:cs="Miriam"/>
          <w:rtl/>
        </w:rPr>
        <w:t>3.</w:t>
      </w:r>
      <w:r>
        <w:rPr>
          <w:rStyle w:val="big-number"/>
          <w:rFonts w:cs="Miriam"/>
          <w:rtl/>
        </w:rPr>
        <w:tab/>
      </w:r>
      <w:r w:rsidR="006A2233">
        <w:rPr>
          <w:rStyle w:val="default"/>
          <w:rFonts w:cs="FrankRuehl" w:hint="cs"/>
          <w:rtl/>
        </w:rPr>
        <w:t>יושב ראש הוועדה ינהל פרוטוקול של ישיבותיה; סיכום עיקרי הדיון וההחלטות ייחתם בידי יושב ראש הוועדה ויומצא לכל חבריה ולמשקיפים</w:t>
      </w:r>
      <w:r>
        <w:rPr>
          <w:rStyle w:val="default"/>
          <w:rFonts w:cs="FrankRuehl" w:hint="cs"/>
          <w:rtl/>
        </w:rPr>
        <w:t>.</w:t>
      </w:r>
    </w:p>
    <w:p w14:paraId="124B96B1" w14:textId="77777777" w:rsidR="001A14FF" w:rsidRDefault="001A14FF" w:rsidP="006A2233">
      <w:pPr>
        <w:pStyle w:val="P00"/>
        <w:spacing w:before="72"/>
        <w:ind w:left="0" w:right="1134"/>
        <w:rPr>
          <w:rStyle w:val="default"/>
          <w:rFonts w:cs="FrankRuehl" w:hint="cs"/>
          <w:rtl/>
        </w:rPr>
      </w:pPr>
      <w:bookmarkStart w:id="3" w:name="Seif4"/>
      <w:bookmarkEnd w:id="3"/>
      <w:r>
        <w:rPr>
          <w:lang w:val="he-IL"/>
        </w:rPr>
        <w:pict w14:anchorId="1905F720">
          <v:rect id="_x0000_s1029" style="position:absolute;left:0;text-align:left;margin-left:464.5pt;margin-top:8.05pt;width:75.05pt;height:11.6pt;z-index:251655680" o:allowincell="f" filled="f" stroked="f" strokecolor="lime" strokeweight=".25pt">
            <v:textbox inset="0,0,0,0">
              <w:txbxContent>
                <w:p w14:paraId="0C935415" w14:textId="77777777" w:rsidR="004D1C43" w:rsidRDefault="006A2233">
                  <w:pPr>
                    <w:spacing w:line="160" w:lineRule="exact"/>
                    <w:jc w:val="left"/>
                    <w:rPr>
                      <w:rFonts w:cs="Miriam" w:hint="cs"/>
                      <w:noProof/>
                      <w:sz w:val="18"/>
                      <w:szCs w:val="18"/>
                      <w:rtl/>
                    </w:rPr>
                  </w:pPr>
                  <w:r>
                    <w:rPr>
                      <w:rFonts w:cs="Miriam" w:hint="cs"/>
                      <w:sz w:val="18"/>
                      <w:szCs w:val="18"/>
                      <w:rtl/>
                    </w:rPr>
                    <w:t>מניעת ניגוד עניינים</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A2233">
        <w:rPr>
          <w:rStyle w:val="default"/>
          <w:rFonts w:cs="FrankRuehl" w:hint="cs"/>
          <w:rtl/>
        </w:rPr>
        <w:t>לא ימונה משקיף או חבר ועדה מי שעלול להימצא, במישרין או בעקיפין, באופן תדיר, במצב של ניגוד עניינים בין תפקידו בוועדה לבין עניין אישי שלו, או לבין תפקיד אחר שלו</w:t>
      </w:r>
      <w:r w:rsidR="00172E71">
        <w:rPr>
          <w:rStyle w:val="default"/>
          <w:rFonts w:cs="FrankRuehl" w:hint="cs"/>
          <w:rtl/>
        </w:rPr>
        <w:t>.</w:t>
      </w:r>
    </w:p>
    <w:p w14:paraId="78E0D106" w14:textId="77777777" w:rsidR="006A2233" w:rsidRDefault="006A2233" w:rsidP="006A22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הוועדה או משקיף לא יטפלו במסגרת תפקידם זה בנושא העלול לגרום להם להימצא, במישרין או בעקיפין, במצב של ניגוד עניינים כאמור בתקנת משנה (א).</w:t>
      </w:r>
    </w:p>
    <w:p w14:paraId="63BFD361" w14:textId="77777777" w:rsidR="006A2233" w:rsidRDefault="006A2233" w:rsidP="006A22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7C4790">
        <w:rPr>
          <w:rStyle w:val="default"/>
          <w:rFonts w:cs="FrankRuehl" w:hint="cs"/>
          <w:rtl/>
        </w:rPr>
        <w:t>נודע לחבר הוועדה או למשקיף שהוא עלול להימצא במצב של ניגוד עניינים כאמור בתקנת משנה (א), יודיע על כך בהקדם האפשרי ליושב ראש הוועדה, ימסור לו את המידע הנוגע לעניין ולא יטפל בנושא האמור; חבר ועדה כאמור שהוא יושב ראש הוועדה, יודיע על כך בהקדם האפשרי למנהל.</w:t>
      </w:r>
    </w:p>
    <w:p w14:paraId="511D2859" w14:textId="77777777" w:rsidR="007C4790" w:rsidRDefault="007C4790" w:rsidP="006A22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בתקנה זו, רשאי חבר הוועדה או המשקיף, לפי העניין, להביא בחשבון גם את ענייניו של הגוף, האוכלוסייה או הארגון שהוא נציגם, אם הם קשורים לחוק, ולא יראו אותו כמצוי במצב של ניגוד עניינים בשל כך בלבד.</w:t>
      </w:r>
    </w:p>
    <w:p w14:paraId="66A1BEB0" w14:textId="77777777" w:rsidR="007C4790" w:rsidRDefault="007C4790" w:rsidP="006A223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בתקנה זו </w:t>
      </w:r>
      <w:r>
        <w:rPr>
          <w:rStyle w:val="default"/>
          <w:rFonts w:cs="FrankRuehl"/>
          <w:rtl/>
        </w:rPr>
        <w:t>–</w:t>
      </w:r>
    </w:p>
    <w:p w14:paraId="661D5667" w14:textId="77777777" w:rsidR="007C4790" w:rsidRDefault="007C4790" w:rsidP="006A2233">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כהגדרתו בחוק ניירות ערך, התשכ"ח-1968;</w:t>
      </w:r>
    </w:p>
    <w:p w14:paraId="0E889FE9" w14:textId="77777777" w:rsidR="007C4790" w:rsidRDefault="007C4790" w:rsidP="006A2233">
      <w:pPr>
        <w:pStyle w:val="P00"/>
        <w:spacing w:before="72"/>
        <w:ind w:left="0" w:right="1134"/>
        <w:rPr>
          <w:rStyle w:val="default"/>
          <w:rFonts w:cs="FrankRuehl" w:hint="cs"/>
          <w:rtl/>
        </w:rPr>
      </w:pPr>
      <w:r>
        <w:rPr>
          <w:rStyle w:val="default"/>
          <w:rFonts w:cs="FrankRuehl" w:hint="cs"/>
          <w:rtl/>
        </w:rPr>
        <w:tab/>
        <w:t xml:space="preserve">"טיפול"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לישיבות הוועדה;</w:t>
      </w:r>
    </w:p>
    <w:p w14:paraId="2A6B761A" w14:textId="77777777" w:rsidR="007C4790" w:rsidRDefault="007C4790" w:rsidP="006A2233">
      <w:pPr>
        <w:pStyle w:val="P00"/>
        <w:spacing w:before="72"/>
        <w:ind w:left="0" w:right="1134"/>
        <w:rPr>
          <w:rStyle w:val="default"/>
          <w:rFonts w:cs="FrankRuehl" w:hint="cs"/>
          <w:rtl/>
        </w:rPr>
      </w:pPr>
      <w:r>
        <w:rPr>
          <w:rStyle w:val="default"/>
          <w:rFonts w:cs="FrankRuehl" w:hint="cs"/>
          <w:rtl/>
        </w:rPr>
        <w:tab/>
        <w:t xml:space="preserve">"עניין אישי" </w:t>
      </w:r>
      <w:r>
        <w:rPr>
          <w:rStyle w:val="default"/>
          <w:rFonts w:cs="FrankRuehl"/>
          <w:rtl/>
        </w:rPr>
        <w:t>–</w:t>
      </w:r>
      <w:r>
        <w:rPr>
          <w:rStyle w:val="default"/>
          <w:rFonts w:cs="FrankRuehl" w:hint="cs"/>
          <w:rtl/>
        </w:rPr>
        <w:t xml:space="preserve"> לרבות עניין אישי של קרובו, עניין של תאגיד שהוא או קרובו הם בעלי עניין בו, או עניין של גוף שהוא או קרובו הם מנהלים או עובדים אחראים בו;</w:t>
      </w:r>
    </w:p>
    <w:p w14:paraId="779E8FB8" w14:textId="77777777" w:rsidR="007C4790" w:rsidRDefault="007C4790" w:rsidP="006A2233">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הורה, הורה הורה, בן או בת ובני זוגם, אח או אחות וילדיהם, גיס, גיסה, דוד או דודה וילדיהם, חותן, חותנת, חם, חמות, חתן, כלה, נכד או נכדה של האדם, לרבות חורגים וכן כל אדם הסמוך על שולחנו, וכן שותף, מעסיק או עובד שלו.</w:t>
      </w:r>
    </w:p>
    <w:p w14:paraId="18FC829A" w14:textId="77777777" w:rsidR="001A14FF" w:rsidRDefault="001A14FF" w:rsidP="007C4790">
      <w:pPr>
        <w:pStyle w:val="P00"/>
        <w:spacing w:before="72"/>
        <w:ind w:left="0" w:right="1134"/>
        <w:rPr>
          <w:rStyle w:val="default"/>
          <w:rFonts w:cs="FrankRuehl" w:hint="cs"/>
          <w:rtl/>
        </w:rPr>
      </w:pPr>
      <w:bookmarkStart w:id="4" w:name="Seif5"/>
      <w:bookmarkEnd w:id="4"/>
      <w:r>
        <w:rPr>
          <w:lang w:val="he-IL"/>
        </w:rPr>
        <w:pict w14:anchorId="14E648F1">
          <v:rect id="_x0000_s1030" style="position:absolute;left:0;text-align:left;margin-left:464.5pt;margin-top:8.05pt;width:75.05pt;height:11.05pt;z-index:251656704" o:allowincell="f" filled="f" stroked="f" strokecolor="lime" strokeweight=".25pt">
            <v:textbox inset="0,0,0,0">
              <w:txbxContent>
                <w:p w14:paraId="197A94D7" w14:textId="77777777" w:rsidR="004D1C43" w:rsidRDefault="007C4790">
                  <w:pPr>
                    <w:spacing w:line="160" w:lineRule="exact"/>
                    <w:jc w:val="left"/>
                    <w:rPr>
                      <w:rFonts w:cs="Miriam" w:hint="cs"/>
                      <w:noProof/>
                      <w:sz w:val="18"/>
                      <w:szCs w:val="18"/>
                      <w:rtl/>
                    </w:rPr>
                  </w:pPr>
                  <w:r>
                    <w:rPr>
                      <w:rFonts w:cs="Miriam" w:hint="cs"/>
                      <w:sz w:val="18"/>
                      <w:szCs w:val="18"/>
                      <w:rtl/>
                    </w:rPr>
                    <w:t>שמירת סודיות</w:t>
                  </w:r>
                </w:p>
              </w:txbxContent>
            </v:textbox>
            <w10:anchorlock/>
          </v:rect>
        </w:pict>
      </w:r>
      <w:r>
        <w:rPr>
          <w:rStyle w:val="big-number"/>
          <w:rFonts w:cs="Miriam"/>
          <w:rtl/>
        </w:rPr>
        <w:t>5.</w:t>
      </w:r>
      <w:r>
        <w:rPr>
          <w:rStyle w:val="big-number"/>
          <w:rFonts w:cs="Miriam"/>
          <w:rtl/>
        </w:rPr>
        <w:tab/>
      </w:r>
      <w:r w:rsidR="007C4790">
        <w:rPr>
          <w:rStyle w:val="default"/>
          <w:rFonts w:cs="FrankRuehl" w:hint="cs"/>
          <w:rtl/>
        </w:rPr>
        <w:t xml:space="preserve">משקיף או חבר הוועדה לא יגלה ידיעה או תוכן של מסמך שהגיעו לידיו מכוח תפקידו </w:t>
      </w:r>
      <w:r w:rsidR="007C4790">
        <w:rPr>
          <w:rStyle w:val="default"/>
          <w:rFonts w:cs="FrankRuehl" w:hint="cs"/>
          <w:rtl/>
        </w:rPr>
        <w:lastRenderedPageBreak/>
        <w:t>אלא לפי דרישת בית משפט או לפי כל דין.</w:t>
      </w:r>
    </w:p>
    <w:p w14:paraId="2A2B120F" w14:textId="77777777" w:rsidR="001A14FF" w:rsidRDefault="001A14FF" w:rsidP="007C4790">
      <w:pPr>
        <w:pStyle w:val="P00"/>
        <w:spacing w:before="72"/>
        <w:ind w:left="0" w:right="1134"/>
        <w:rPr>
          <w:rStyle w:val="default"/>
          <w:rFonts w:cs="FrankRuehl" w:hint="cs"/>
          <w:rtl/>
        </w:rPr>
      </w:pPr>
      <w:bookmarkStart w:id="5" w:name="Seif6"/>
      <w:bookmarkEnd w:id="5"/>
      <w:r>
        <w:rPr>
          <w:lang w:val="he-IL"/>
        </w:rPr>
        <w:pict w14:anchorId="6188EF82">
          <v:rect id="_x0000_s1031" style="position:absolute;left:0;text-align:left;margin-left:464.5pt;margin-top:8.05pt;width:75.05pt;height:18.1pt;z-index:251657728" o:allowincell="f" filled="f" stroked="f" strokecolor="lime" strokeweight=".25pt">
            <v:textbox inset="0,0,0,0">
              <w:txbxContent>
                <w:p w14:paraId="11575EA0" w14:textId="77777777" w:rsidR="004D1C43" w:rsidRDefault="007C4790">
                  <w:pPr>
                    <w:spacing w:line="160" w:lineRule="exact"/>
                    <w:jc w:val="left"/>
                    <w:rPr>
                      <w:rFonts w:cs="Miriam" w:hint="cs"/>
                      <w:noProof/>
                      <w:sz w:val="18"/>
                      <w:szCs w:val="18"/>
                      <w:rtl/>
                    </w:rPr>
                  </w:pPr>
                  <w:r>
                    <w:rPr>
                      <w:rFonts w:cs="Miriam" w:hint="cs"/>
                      <w:sz w:val="18"/>
                      <w:szCs w:val="18"/>
                      <w:rtl/>
                    </w:rPr>
                    <w:t>תקופת כהונה של חבר ועדה</w:t>
                  </w:r>
                </w:p>
              </w:txbxContent>
            </v:textbox>
            <w10:anchorlock/>
          </v:rect>
        </w:pict>
      </w:r>
      <w:r>
        <w:rPr>
          <w:rStyle w:val="big-number"/>
          <w:rFonts w:cs="Miriam"/>
          <w:rtl/>
        </w:rPr>
        <w:t>6.</w:t>
      </w:r>
      <w:r>
        <w:rPr>
          <w:rStyle w:val="big-number"/>
          <w:rFonts w:cs="Miriam"/>
          <w:rtl/>
        </w:rPr>
        <w:tab/>
      </w:r>
      <w:r w:rsidR="00316628">
        <w:rPr>
          <w:rStyle w:val="default"/>
          <w:rFonts w:cs="FrankRuehl" w:hint="cs"/>
          <w:rtl/>
        </w:rPr>
        <w:t>(א)</w:t>
      </w:r>
      <w:r w:rsidR="00316628">
        <w:rPr>
          <w:rStyle w:val="default"/>
          <w:rFonts w:cs="FrankRuehl" w:hint="cs"/>
          <w:rtl/>
        </w:rPr>
        <w:tab/>
      </w:r>
      <w:r w:rsidR="007C4790">
        <w:rPr>
          <w:rStyle w:val="default"/>
          <w:rFonts w:cs="FrankRuehl" w:hint="cs"/>
          <w:rtl/>
        </w:rPr>
        <w:t>תקופת כהונתו של חבר הוועדה תהיה ארבע שנים מיום מינויו, וניתן לחזור ולמנותו לתקופת כהונה נוספת אחת.</w:t>
      </w:r>
    </w:p>
    <w:p w14:paraId="51608132" w14:textId="77777777" w:rsidR="007C4790" w:rsidRDefault="007C4790" w:rsidP="007C47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תמה תקופת כהונה של חבר הוועדה וטרם חודש מינויו או מונה חבר אחר במקומו, ימשיך חבר הוועדה לכהן במשך ארבעה חודשים נוספים, עד למינויו מחדש, או עד למינוי חבר חדש במקומו, לפי המוקדם.</w:t>
      </w:r>
    </w:p>
    <w:p w14:paraId="7E493A65" w14:textId="77777777" w:rsidR="001A14FF" w:rsidRDefault="001A14FF" w:rsidP="007C4790">
      <w:pPr>
        <w:pStyle w:val="P00"/>
        <w:spacing w:before="72"/>
        <w:ind w:left="0" w:right="1134"/>
        <w:rPr>
          <w:rStyle w:val="default"/>
          <w:rFonts w:cs="FrankRuehl" w:hint="cs"/>
          <w:rtl/>
        </w:rPr>
      </w:pPr>
      <w:bookmarkStart w:id="6" w:name="Seif7"/>
      <w:bookmarkEnd w:id="6"/>
      <w:r>
        <w:rPr>
          <w:lang w:val="he-IL"/>
        </w:rPr>
        <w:pict w14:anchorId="5D5943A3">
          <v:rect id="_x0000_s1032" style="position:absolute;left:0;text-align:left;margin-left:464.5pt;margin-top:8.05pt;width:75.05pt;height:38.25pt;z-index:251658752" o:allowincell="f" filled="f" stroked="f" strokecolor="lime" strokeweight=".25pt">
            <v:textbox inset="0,0,0,0">
              <w:txbxContent>
                <w:p w14:paraId="281DF863" w14:textId="77777777" w:rsidR="004D1C43" w:rsidRDefault="007C4790">
                  <w:pPr>
                    <w:spacing w:line="160" w:lineRule="exact"/>
                    <w:jc w:val="left"/>
                    <w:rPr>
                      <w:rFonts w:cs="Miriam" w:hint="cs"/>
                      <w:noProof/>
                      <w:sz w:val="18"/>
                      <w:szCs w:val="18"/>
                      <w:rtl/>
                    </w:rPr>
                  </w:pPr>
                  <w:r>
                    <w:rPr>
                      <w:rFonts w:cs="Miriam" w:hint="cs"/>
                      <w:sz w:val="18"/>
                      <w:szCs w:val="18"/>
                      <w:rtl/>
                    </w:rPr>
                    <w:t>פקיעת כהונה והשעיה של חבר ועדה, והפסקת פעילותו של משקיף</w:t>
                  </w:r>
                </w:p>
              </w:txbxContent>
            </v:textbox>
            <w10:anchorlock/>
          </v:rect>
        </w:pict>
      </w:r>
      <w:r>
        <w:rPr>
          <w:rStyle w:val="big-number"/>
          <w:rFonts w:cs="Miriam"/>
          <w:rtl/>
        </w:rPr>
        <w:t>7.</w:t>
      </w:r>
      <w:r>
        <w:rPr>
          <w:rStyle w:val="big-number"/>
          <w:rFonts w:cs="Miriam"/>
          <w:rtl/>
        </w:rPr>
        <w:tab/>
      </w:r>
      <w:r w:rsidR="00F57258">
        <w:rPr>
          <w:rStyle w:val="default"/>
          <w:rFonts w:cs="FrankRuehl" w:hint="cs"/>
          <w:rtl/>
        </w:rPr>
        <w:t>(א)</w:t>
      </w:r>
      <w:r w:rsidR="00F57258">
        <w:rPr>
          <w:rStyle w:val="default"/>
          <w:rFonts w:cs="FrankRuehl" w:hint="cs"/>
          <w:rtl/>
        </w:rPr>
        <w:tab/>
      </w:r>
      <w:r w:rsidR="007C4790">
        <w:rPr>
          <w:rStyle w:val="default"/>
          <w:rFonts w:cs="FrankRuehl" w:hint="cs"/>
          <w:rtl/>
        </w:rPr>
        <w:t>חבר הוועדה יחדל לכהן ומשקיף יחדל לשמש כמשקיף לפני תום תקופת הכהונה או המינוי באחת מאלה:</w:t>
      </w:r>
    </w:p>
    <w:p w14:paraId="5A522FB9" w14:textId="77777777" w:rsidR="007C4790" w:rsidRDefault="007C4790" w:rsidP="007C479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התפטר במסירת כתב התפטרות ליושב ראש הוועדה;</w:t>
      </w:r>
    </w:p>
    <w:p w14:paraId="1DFDAFF0" w14:textId="77777777" w:rsidR="007C4790" w:rsidRDefault="007C4790" w:rsidP="007C479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הורשע בעבירה שמפאת מהותה, חומרתה או נסיבותיה הוא אינו ראוי, לדעת המנהל, לשמש חבר הוועדה, או משקיף, לפי העניין;</w:t>
      </w:r>
    </w:p>
    <w:p w14:paraId="28535AF6" w14:textId="77777777" w:rsidR="007C4790" w:rsidRDefault="007C4790" w:rsidP="007C479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הוגש נגדו כתב אישום בעבירה כאמור בפסקה (2) ולא ניתן בעניינו פסק דין סופי עד לתום 12 חודשים מיום הגשת כתב האישום;</w:t>
      </w:r>
    </w:p>
    <w:p w14:paraId="20D561DE" w14:textId="77777777" w:rsidR="007C4790" w:rsidRDefault="007C4790" w:rsidP="007C479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חדל להיות עובד המדינה או עובד או חבר הגוף שהוא מייצג בוועדה ולעניין משקיף </w:t>
      </w:r>
      <w:r>
        <w:rPr>
          <w:rStyle w:val="default"/>
          <w:rFonts w:cs="FrankRuehl"/>
          <w:rtl/>
        </w:rPr>
        <w:t>–</w:t>
      </w:r>
      <w:r>
        <w:rPr>
          <w:rStyle w:val="default"/>
          <w:rFonts w:cs="FrankRuehl" w:hint="cs"/>
          <w:rtl/>
        </w:rPr>
        <w:t xml:space="preserve"> הארגון שהוא נציגו חדל להיות מוכר בידי השר לפי סעיף 31 לחוק, או שהוא חדל להיות נציג הארגון;</w:t>
      </w:r>
    </w:p>
    <w:p w14:paraId="3518349A" w14:textId="77777777" w:rsidR="007C4790" w:rsidRDefault="007C4790" w:rsidP="007C479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נבצר ממנו, דרך קבע, למלא את תפקידו.</w:t>
      </w:r>
    </w:p>
    <w:p w14:paraId="7CA6BF33" w14:textId="77777777" w:rsidR="007C4790" w:rsidRDefault="007C4790" w:rsidP="007C479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נגד חבר הוועדה או נגד משקיף כתב אישום בעבירה כאמור בתקנת משנה (א)(2), רשאי המנלה להשעות את הכהונה או את המינוי עד למתן פסק דין סופי בעניינו או עד לפקיעת כהונתו בנסיבות כאמור בתקנת משנה (א)(3), ולמנות לו, לפי הוראות סעיף 31 לחוק, ממלא מקום למשך תקופת ההשעיה.</w:t>
      </w:r>
    </w:p>
    <w:p w14:paraId="2401FDC4" w14:textId="77777777" w:rsidR="001A14FF" w:rsidRDefault="001A14FF" w:rsidP="00EF5C1C">
      <w:pPr>
        <w:pStyle w:val="P00"/>
        <w:spacing w:before="72"/>
        <w:ind w:left="0" w:right="1134"/>
        <w:rPr>
          <w:rStyle w:val="default"/>
          <w:rFonts w:cs="FrankRuehl" w:hint="cs"/>
          <w:rtl/>
        </w:rPr>
      </w:pPr>
      <w:bookmarkStart w:id="7" w:name="Seif8"/>
      <w:bookmarkEnd w:id="7"/>
      <w:r>
        <w:rPr>
          <w:lang w:val="he-IL"/>
        </w:rPr>
        <w:pict w14:anchorId="4484B641">
          <v:rect id="_x0000_s1033" style="position:absolute;left:0;text-align:left;margin-left:464.5pt;margin-top:8.05pt;width:75.05pt;height:17.9pt;z-index:251659776" o:allowincell="f" filled="f" stroked="f" strokecolor="lime" strokeweight=".25pt">
            <v:textbox inset="0,0,0,0">
              <w:txbxContent>
                <w:p w14:paraId="36782B28" w14:textId="77777777" w:rsidR="004D1C43" w:rsidRDefault="007C4790">
                  <w:pPr>
                    <w:spacing w:line="160" w:lineRule="exact"/>
                    <w:jc w:val="left"/>
                    <w:rPr>
                      <w:rFonts w:cs="Miriam" w:hint="cs"/>
                      <w:noProof/>
                      <w:sz w:val="18"/>
                      <w:szCs w:val="18"/>
                      <w:rtl/>
                    </w:rPr>
                  </w:pPr>
                  <w:r>
                    <w:rPr>
                      <w:rFonts w:cs="Miriam" w:hint="cs"/>
                      <w:sz w:val="18"/>
                      <w:szCs w:val="18"/>
                      <w:rtl/>
                    </w:rPr>
                    <w:t>העברה מכהונה של חבר הוועדה</w:t>
                  </w:r>
                </w:p>
              </w:txbxContent>
            </v:textbox>
            <w10:anchorlock/>
          </v:rect>
        </w:pict>
      </w:r>
      <w:r>
        <w:rPr>
          <w:rStyle w:val="big-number"/>
          <w:rFonts w:cs="Miriam"/>
          <w:rtl/>
        </w:rPr>
        <w:t>8.</w:t>
      </w:r>
      <w:r>
        <w:rPr>
          <w:rStyle w:val="big-number"/>
          <w:rFonts w:cs="Miriam"/>
          <w:rtl/>
        </w:rPr>
        <w:tab/>
      </w:r>
      <w:r w:rsidR="00EF5C1C">
        <w:rPr>
          <w:rStyle w:val="default"/>
          <w:rFonts w:cs="FrankRuehl" w:hint="cs"/>
          <w:rtl/>
        </w:rPr>
        <w:t>המנהל רשאי להעביר חבר ועדה מכהונתו לפני תום תקופת כהונתו אם אינו ממלא כראוי את תפקידו, או אם נעדר בלא סיבה מוצדקת משלוש ישיבות רצופות של הוועדה; החלטה על העברת חבר ועדה מכהונתו כאמור תתקבל לאחר התייעצות עם יושב ראש הוועדה ולאחר שנתן לחבר הוועדה הזדמנות לטעון את טענותיו לעניין זה</w:t>
      </w:r>
      <w:r w:rsidR="00C336B8">
        <w:rPr>
          <w:rStyle w:val="default"/>
          <w:rFonts w:cs="FrankRuehl" w:hint="cs"/>
          <w:rtl/>
        </w:rPr>
        <w:t>.</w:t>
      </w:r>
    </w:p>
    <w:p w14:paraId="7B7113F4" w14:textId="77777777" w:rsidR="001A14FF" w:rsidRDefault="001A14FF" w:rsidP="00EF5C1C">
      <w:pPr>
        <w:pStyle w:val="P00"/>
        <w:spacing w:before="72"/>
        <w:ind w:left="0" w:right="1134"/>
        <w:rPr>
          <w:rStyle w:val="default"/>
          <w:rFonts w:cs="FrankRuehl" w:hint="cs"/>
          <w:rtl/>
        </w:rPr>
      </w:pPr>
      <w:bookmarkStart w:id="8" w:name="Seif9"/>
      <w:bookmarkEnd w:id="8"/>
      <w:r>
        <w:rPr>
          <w:lang w:val="he-IL"/>
        </w:rPr>
        <w:pict w14:anchorId="3250C6FD">
          <v:rect id="_x0000_s1034" style="position:absolute;left:0;text-align:left;margin-left:464.5pt;margin-top:8.05pt;width:75.05pt;height:24.6pt;z-index:251660800" o:allowincell="f" filled="f" stroked="f" strokecolor="lime" strokeweight=".25pt">
            <v:textbox style="mso-next-textbox:#_x0000_s1034" inset="0,0,0,0">
              <w:txbxContent>
                <w:p w14:paraId="4E082A17" w14:textId="77777777" w:rsidR="004D1C43" w:rsidRDefault="00EF5C1C">
                  <w:pPr>
                    <w:spacing w:line="160" w:lineRule="exact"/>
                    <w:jc w:val="left"/>
                    <w:rPr>
                      <w:rFonts w:cs="Miriam" w:hint="cs"/>
                      <w:noProof/>
                      <w:sz w:val="18"/>
                      <w:szCs w:val="18"/>
                      <w:rtl/>
                    </w:rPr>
                  </w:pPr>
                  <w:r>
                    <w:rPr>
                      <w:rFonts w:cs="Miriam" w:hint="cs"/>
                      <w:sz w:val="18"/>
                      <w:szCs w:val="18"/>
                      <w:rtl/>
                    </w:rPr>
                    <w:t>מינוי חבר ועדה במקום חבר ועדה שחדל לכהן</w:t>
                  </w:r>
                </w:p>
              </w:txbxContent>
            </v:textbox>
            <w10:anchorlock/>
          </v:rect>
        </w:pict>
      </w:r>
      <w:r>
        <w:rPr>
          <w:rStyle w:val="big-number"/>
          <w:rFonts w:cs="Miriam"/>
          <w:rtl/>
        </w:rPr>
        <w:t>9</w:t>
      </w:r>
      <w:r w:rsidRPr="005115FA">
        <w:rPr>
          <w:rStyle w:val="default"/>
          <w:rFonts w:cs="FrankRuehl"/>
          <w:rtl/>
        </w:rPr>
        <w:t>.</w:t>
      </w:r>
      <w:r w:rsidRPr="005115FA">
        <w:rPr>
          <w:rStyle w:val="default"/>
          <w:rFonts w:cs="FrankRuehl"/>
          <w:rtl/>
        </w:rPr>
        <w:tab/>
      </w:r>
      <w:r w:rsidR="00EF5C1C">
        <w:rPr>
          <w:rStyle w:val="default"/>
          <w:rFonts w:cs="FrankRuehl" w:hint="cs"/>
          <w:rtl/>
        </w:rPr>
        <w:t>חדל לכהן חבר ועדה בשל נסיבות המפורטות בתקנה 7 או 8, יפעל המנהל למינוי חבר אחר במקומו לפי סעיף 31 לחוק, בהקדם האפשרי</w:t>
      </w:r>
      <w:r w:rsidR="00C336B8">
        <w:rPr>
          <w:rStyle w:val="default"/>
          <w:rFonts w:cs="FrankRuehl" w:hint="cs"/>
          <w:rtl/>
        </w:rPr>
        <w:t>.</w:t>
      </w:r>
    </w:p>
    <w:p w14:paraId="3C1769FB" w14:textId="77777777" w:rsidR="005115FA" w:rsidRDefault="005115FA" w:rsidP="005E5364">
      <w:pPr>
        <w:pStyle w:val="P00"/>
        <w:spacing w:before="72"/>
        <w:ind w:left="0" w:right="1134"/>
        <w:rPr>
          <w:rStyle w:val="default"/>
          <w:rFonts w:cs="FrankRuehl" w:hint="cs"/>
          <w:rtl/>
        </w:rPr>
      </w:pPr>
      <w:bookmarkStart w:id="9" w:name="Seif10"/>
      <w:bookmarkEnd w:id="9"/>
      <w:r>
        <w:rPr>
          <w:lang w:val="he-IL"/>
        </w:rPr>
        <w:pict w14:anchorId="5FEE968C">
          <v:rect id="_x0000_s1040" style="position:absolute;left:0;text-align:left;margin-left:465.6pt;margin-top:8.05pt;width:73.95pt;height:25.25pt;z-index:251661824" o:allowincell="f" filled="f" stroked="f" strokecolor="lime" strokeweight=".25pt">
            <v:textbox style="mso-next-textbox:#_x0000_s1040" inset="0,0,0,0">
              <w:txbxContent>
                <w:p w14:paraId="7626B6A8" w14:textId="77777777" w:rsidR="004D1C43" w:rsidRDefault="005E5364" w:rsidP="005115FA">
                  <w:pPr>
                    <w:spacing w:line="160" w:lineRule="exact"/>
                    <w:jc w:val="left"/>
                    <w:rPr>
                      <w:rFonts w:cs="Miriam" w:hint="cs"/>
                      <w:noProof/>
                      <w:sz w:val="18"/>
                      <w:szCs w:val="18"/>
                      <w:rtl/>
                    </w:rPr>
                  </w:pPr>
                  <w:r>
                    <w:rPr>
                      <w:rFonts w:cs="Miriam" w:hint="cs"/>
                      <w:sz w:val="18"/>
                      <w:szCs w:val="18"/>
                      <w:rtl/>
                    </w:rPr>
                    <w:t xml:space="preserve">מילוי מקומו של </w:t>
                  </w:r>
                  <w:r>
                    <w:rPr>
                      <w:rFonts w:cs="Miriam"/>
                      <w:sz w:val="18"/>
                      <w:szCs w:val="18"/>
                      <w:rtl/>
                    </w:rPr>
                    <w:br/>
                  </w:r>
                  <w:r>
                    <w:rPr>
                      <w:rFonts w:cs="Miriam" w:hint="cs"/>
                      <w:sz w:val="18"/>
                      <w:szCs w:val="18"/>
                      <w:rtl/>
                    </w:rPr>
                    <w:t>יושב ראש הוועדה ופקיעת כהונתו</w:t>
                  </w:r>
                </w:p>
              </w:txbxContent>
            </v:textbox>
            <w10:anchorlock/>
          </v:rect>
        </w:pict>
      </w:r>
      <w:r>
        <w:rPr>
          <w:rStyle w:val="big-number"/>
          <w:rFonts w:cs="Miriam" w:hint="cs"/>
          <w:rtl/>
        </w:rPr>
        <w:t>10</w:t>
      </w:r>
      <w:r w:rsidRPr="005115FA">
        <w:rPr>
          <w:rStyle w:val="default"/>
          <w:rFonts w:cs="FrankRuehl"/>
          <w:rtl/>
        </w:rPr>
        <w:t>.</w:t>
      </w:r>
      <w:r w:rsidRPr="005115FA">
        <w:rPr>
          <w:rStyle w:val="default"/>
          <w:rFonts w:cs="FrankRuehl"/>
          <w:rtl/>
        </w:rPr>
        <w:tab/>
      </w:r>
      <w:r w:rsidR="005E5364">
        <w:rPr>
          <w:rStyle w:val="default"/>
          <w:rFonts w:cs="FrankRuehl" w:hint="cs"/>
          <w:rtl/>
        </w:rPr>
        <w:t>(א)</w:t>
      </w:r>
      <w:r w:rsidR="005E5364">
        <w:rPr>
          <w:rStyle w:val="default"/>
          <w:rFonts w:cs="FrankRuehl" w:hint="cs"/>
          <w:rtl/>
        </w:rPr>
        <w:tab/>
        <w:t>נבצר מיושב ראש הוועדה למלא את תפקידו, שלא דרך קבע, יקבע המנהל מי מבין חברי הוועדה שמונה לפי סעיף 31(א)(1) לחוק, ימלא את מקומו, ויהיו נתונות לו כל הסמכויות של יושב ראש הוועדה</w:t>
      </w:r>
      <w:r w:rsidR="00C336B8">
        <w:rPr>
          <w:rStyle w:val="default"/>
          <w:rFonts w:cs="FrankRuehl" w:hint="cs"/>
          <w:rtl/>
        </w:rPr>
        <w:t>.</w:t>
      </w:r>
    </w:p>
    <w:p w14:paraId="6949A337" w14:textId="77777777" w:rsidR="005E5364" w:rsidRDefault="005E5364" w:rsidP="005E53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תקופת מילוי מקומו של יושב ראש הוועדה כאמור בתקנת משנה (א) לא תעלה על חמישה חודשים.</w:t>
      </w:r>
    </w:p>
    <w:p w14:paraId="49075770" w14:textId="77777777" w:rsidR="005E5364" w:rsidRDefault="005E5364" w:rsidP="005E536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נבצר מיושב ראש הוועדה למלא את תפקידו בתקופה הארוכה מחמישה חודשים, יראו בו כמי שנבצר ממנו, דרך קבע, למלא את תפקידו לפי תקנה 7(א)(5).</w:t>
      </w:r>
    </w:p>
    <w:p w14:paraId="39B23117" w14:textId="77777777" w:rsidR="005115FA" w:rsidRDefault="005115FA" w:rsidP="005E5364">
      <w:pPr>
        <w:pStyle w:val="P00"/>
        <w:spacing w:before="72"/>
        <w:ind w:left="0" w:right="1134"/>
        <w:rPr>
          <w:rStyle w:val="default"/>
          <w:rFonts w:cs="FrankRuehl" w:hint="cs"/>
          <w:rtl/>
        </w:rPr>
      </w:pPr>
      <w:bookmarkStart w:id="10" w:name="Seif11"/>
      <w:bookmarkEnd w:id="10"/>
      <w:r>
        <w:rPr>
          <w:lang w:val="he-IL"/>
        </w:rPr>
        <w:pict w14:anchorId="5F12735E">
          <v:rect id="_x0000_s1041" style="position:absolute;left:0;text-align:left;margin-left:464.5pt;margin-top:8.05pt;width:75.05pt;height:9.75pt;z-index:251662848" o:allowincell="f" filled="f" stroked="f" strokecolor="lime" strokeweight=".25pt">
            <v:textbox inset="0,0,0,0">
              <w:txbxContent>
                <w:p w14:paraId="6D619F70" w14:textId="77777777" w:rsidR="004D1C43" w:rsidRDefault="005E5364" w:rsidP="005115FA">
                  <w:pPr>
                    <w:spacing w:line="160" w:lineRule="exact"/>
                    <w:jc w:val="lef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hint="cs"/>
          <w:rtl/>
        </w:rPr>
        <w:t>1</w:t>
      </w:r>
      <w:r w:rsidR="00C336B8">
        <w:rPr>
          <w:rStyle w:val="big-number"/>
          <w:rFonts w:cs="Miriam" w:hint="cs"/>
          <w:rtl/>
        </w:rPr>
        <w:t>1</w:t>
      </w:r>
      <w:r w:rsidRPr="005115FA">
        <w:rPr>
          <w:rStyle w:val="default"/>
          <w:rFonts w:cs="FrankRuehl"/>
          <w:rtl/>
        </w:rPr>
        <w:t>.</w:t>
      </w:r>
      <w:r w:rsidRPr="005115FA">
        <w:rPr>
          <w:rStyle w:val="default"/>
          <w:rFonts w:cs="FrankRuehl"/>
          <w:rtl/>
        </w:rPr>
        <w:tab/>
      </w:r>
      <w:r w:rsidR="005E5364">
        <w:rPr>
          <w:rStyle w:val="default"/>
          <w:rFonts w:cs="FrankRuehl" w:hint="cs"/>
          <w:rtl/>
        </w:rPr>
        <w:t>(א)</w:t>
      </w:r>
      <w:r w:rsidR="005E5364">
        <w:rPr>
          <w:rStyle w:val="default"/>
          <w:rFonts w:cs="FrankRuehl" w:hint="cs"/>
          <w:rtl/>
        </w:rPr>
        <w:tab/>
        <w:t>קיום הוועדה, סמכויותיה ותוקף החלטותיה של ייפגעו מחמת שהתפנה מקומו של חבר בה או מחמת ליקוי במינויו או בהמשך כהונתו, ובלבד שרוב חברי הוועדה מכהנים כדין</w:t>
      </w:r>
      <w:r w:rsidR="00C336B8">
        <w:rPr>
          <w:rStyle w:val="default"/>
          <w:rFonts w:cs="FrankRuehl" w:hint="cs"/>
          <w:rtl/>
        </w:rPr>
        <w:t>.</w:t>
      </w:r>
    </w:p>
    <w:p w14:paraId="04120B30" w14:textId="77777777" w:rsidR="005E5364" w:rsidRDefault="005E5364" w:rsidP="005E536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קיומם של משקיפים אינו תנאי לישיבות הוועדה ולדיוניה.</w:t>
      </w:r>
    </w:p>
    <w:p w14:paraId="4343DD05" w14:textId="77777777" w:rsidR="00E4576D" w:rsidRDefault="00E4576D">
      <w:pPr>
        <w:pStyle w:val="P00"/>
        <w:spacing w:before="72"/>
        <w:ind w:left="0" w:right="1134"/>
        <w:rPr>
          <w:rStyle w:val="default"/>
          <w:rFonts w:cs="FrankRuehl" w:hint="cs"/>
          <w:rtl/>
        </w:rPr>
      </w:pPr>
    </w:p>
    <w:p w14:paraId="1D82E594" w14:textId="77777777" w:rsidR="00E4576D" w:rsidRDefault="00E4576D">
      <w:pPr>
        <w:pStyle w:val="P00"/>
        <w:spacing w:before="72"/>
        <w:ind w:left="0" w:right="1134"/>
        <w:rPr>
          <w:rStyle w:val="default"/>
          <w:rFonts w:cs="FrankRuehl" w:hint="cs"/>
          <w:rtl/>
        </w:rPr>
      </w:pPr>
    </w:p>
    <w:p w14:paraId="41AE33A9" w14:textId="77777777" w:rsidR="004D1C43" w:rsidRDefault="005E5364" w:rsidP="005E5364">
      <w:pPr>
        <w:pStyle w:val="sig-0"/>
        <w:tabs>
          <w:tab w:val="clear" w:pos="4820"/>
          <w:tab w:val="center" w:pos="5670"/>
        </w:tabs>
        <w:spacing w:before="72"/>
        <w:ind w:left="0" w:right="1134"/>
        <w:rPr>
          <w:rFonts w:cs="FrankRuehl" w:hint="cs"/>
          <w:sz w:val="26"/>
          <w:rtl/>
        </w:rPr>
      </w:pPr>
      <w:r>
        <w:rPr>
          <w:rFonts w:cs="FrankRuehl" w:hint="cs"/>
          <w:sz w:val="26"/>
          <w:rtl/>
        </w:rPr>
        <w:t>כ"ה באייר התשע"ז (21 במאי 2017</w:t>
      </w:r>
      <w:r w:rsidR="004D1C43">
        <w:rPr>
          <w:rFonts w:cs="FrankRuehl" w:hint="cs"/>
          <w:sz w:val="26"/>
          <w:rtl/>
        </w:rPr>
        <w:tab/>
      </w:r>
      <w:r>
        <w:rPr>
          <w:rFonts w:cs="FrankRuehl" w:hint="cs"/>
          <w:sz w:val="26"/>
          <w:rtl/>
        </w:rPr>
        <w:t>אורי אריאל</w:t>
      </w:r>
    </w:p>
    <w:p w14:paraId="5300AC84" w14:textId="77777777" w:rsidR="004D1C43" w:rsidRDefault="004D1C43" w:rsidP="005E5364">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החקלאות ופיתוח הכפר</w:t>
      </w:r>
    </w:p>
    <w:p w14:paraId="5BE720CA" w14:textId="77777777" w:rsidR="00E4576D" w:rsidRDefault="00E4576D" w:rsidP="008F1EA7">
      <w:pPr>
        <w:pStyle w:val="P00"/>
        <w:spacing w:before="72"/>
        <w:ind w:left="0" w:right="1134"/>
        <w:rPr>
          <w:rStyle w:val="default"/>
          <w:rFonts w:cs="FrankRuehl" w:hint="cs"/>
          <w:rtl/>
        </w:rPr>
      </w:pPr>
    </w:p>
    <w:p w14:paraId="4CE1C13F" w14:textId="77777777" w:rsidR="00E4576D" w:rsidRDefault="00E4576D" w:rsidP="008F1EA7">
      <w:pPr>
        <w:pStyle w:val="P00"/>
        <w:spacing w:before="72"/>
        <w:ind w:left="0" w:right="1134"/>
        <w:rPr>
          <w:rStyle w:val="default"/>
          <w:rFonts w:cs="FrankRuehl" w:hint="cs"/>
          <w:rtl/>
        </w:rPr>
      </w:pPr>
    </w:p>
    <w:p w14:paraId="0BBF5BE4" w14:textId="77777777" w:rsidR="00E4576D" w:rsidRPr="008F1EA7" w:rsidRDefault="00E4576D" w:rsidP="008F1EA7">
      <w:pPr>
        <w:pStyle w:val="P00"/>
        <w:spacing w:before="72"/>
        <w:ind w:left="0" w:right="1134"/>
        <w:rPr>
          <w:rStyle w:val="default"/>
          <w:rFonts w:cs="FrankRuehl" w:hint="cs"/>
          <w:rtl/>
        </w:rPr>
      </w:pPr>
    </w:p>
    <w:p w14:paraId="4734F0AD" w14:textId="77777777" w:rsidR="001A14FF" w:rsidRPr="008F1EA7" w:rsidRDefault="001A14FF" w:rsidP="008F1EA7">
      <w:pPr>
        <w:pStyle w:val="P00"/>
        <w:spacing w:before="72"/>
        <w:ind w:left="0" w:right="1134"/>
        <w:rPr>
          <w:rStyle w:val="default"/>
          <w:rFonts w:cs="FrankRuehl"/>
          <w:rtl/>
        </w:rPr>
      </w:pPr>
      <w:bookmarkStart w:id="11" w:name="LawPartEnd"/>
    </w:p>
    <w:bookmarkEnd w:id="11"/>
    <w:p w14:paraId="5501F530" w14:textId="77777777" w:rsidR="00760BB7" w:rsidRDefault="00760BB7" w:rsidP="008F1EA7">
      <w:pPr>
        <w:pStyle w:val="P00"/>
        <w:spacing w:before="72"/>
        <w:ind w:left="0" w:right="1134"/>
        <w:rPr>
          <w:rStyle w:val="default"/>
          <w:rFonts w:cs="FrankRuehl"/>
          <w:rtl/>
        </w:rPr>
      </w:pPr>
    </w:p>
    <w:p w14:paraId="47281232" w14:textId="77777777" w:rsidR="00760BB7" w:rsidRDefault="00760BB7" w:rsidP="008F1EA7">
      <w:pPr>
        <w:pStyle w:val="P00"/>
        <w:spacing w:before="72"/>
        <w:ind w:left="0" w:right="1134"/>
        <w:rPr>
          <w:rStyle w:val="default"/>
          <w:rFonts w:cs="FrankRuehl"/>
          <w:rtl/>
        </w:rPr>
      </w:pPr>
    </w:p>
    <w:p w14:paraId="674EE73F" w14:textId="77777777" w:rsidR="00760BB7" w:rsidRDefault="00760BB7" w:rsidP="00760BB7">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590A48FB" w14:textId="77777777" w:rsidR="005477D2" w:rsidRPr="00760BB7" w:rsidRDefault="005477D2" w:rsidP="00760BB7">
      <w:pPr>
        <w:pStyle w:val="P00"/>
        <w:spacing w:before="72"/>
        <w:ind w:left="0" w:right="1134"/>
        <w:jc w:val="center"/>
        <w:rPr>
          <w:rStyle w:val="default"/>
          <w:rFonts w:cs="David"/>
          <w:color w:val="0000FF"/>
          <w:szCs w:val="24"/>
          <w:u w:val="single"/>
          <w:rtl/>
        </w:rPr>
      </w:pPr>
    </w:p>
    <w:sectPr w:rsidR="005477D2" w:rsidRPr="00760BB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1EBED" w14:textId="77777777" w:rsidR="005E77A8" w:rsidRDefault="005E77A8">
      <w:r>
        <w:separator/>
      </w:r>
    </w:p>
  </w:endnote>
  <w:endnote w:type="continuationSeparator" w:id="0">
    <w:p w14:paraId="2928B590" w14:textId="77777777" w:rsidR="005E77A8" w:rsidRDefault="005E7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5E4C1" w14:textId="77777777" w:rsidR="004D1C43" w:rsidRDefault="004D1C4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0559022" w14:textId="77777777" w:rsidR="004D1C43" w:rsidRDefault="004D1C4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D876842" w14:textId="77777777" w:rsidR="004D1C43" w:rsidRDefault="004D1C4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42682">
      <w:rPr>
        <w:rFonts w:cs="TopType Jerushalmi"/>
        <w:noProof/>
        <w:color w:val="000000"/>
        <w:sz w:val="14"/>
        <w:szCs w:val="14"/>
      </w:rPr>
      <w:t>Z:\00000000000000000000000=2014------------------------\05-May\2014-05-28\LawsForHofit\04\501_001.doc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1B2AD" w14:textId="77777777" w:rsidR="004D1C43" w:rsidRDefault="004D1C4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60BB7">
      <w:rPr>
        <w:rFonts w:hAnsi="FrankRuehl" w:cs="FrankRuehl"/>
        <w:noProof/>
        <w:sz w:val="24"/>
        <w:szCs w:val="24"/>
        <w:rtl/>
      </w:rPr>
      <w:t>4</w:t>
    </w:r>
    <w:r>
      <w:rPr>
        <w:rFonts w:hAnsi="FrankRuehl" w:cs="FrankRuehl"/>
        <w:sz w:val="24"/>
        <w:szCs w:val="24"/>
        <w:rtl/>
      </w:rPr>
      <w:fldChar w:fldCharType="end"/>
    </w:r>
  </w:p>
  <w:p w14:paraId="69A05F9A" w14:textId="77777777" w:rsidR="004D1C43" w:rsidRDefault="004D1C4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8807F18" w14:textId="77777777" w:rsidR="004D1C43" w:rsidRDefault="004D1C4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42682">
      <w:rPr>
        <w:rFonts w:cs="TopType Jerushalmi"/>
        <w:noProof/>
        <w:color w:val="000000"/>
        <w:sz w:val="14"/>
        <w:szCs w:val="14"/>
      </w:rPr>
      <w:t>Z:\00000000000000000000000=2014------------------------\05-May\2014-05-28\LawsForHofit\04\501_001.doc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0B650" w14:textId="77777777" w:rsidR="005E77A8" w:rsidRDefault="005E77A8" w:rsidP="009A1E2C">
      <w:pPr>
        <w:spacing w:before="60" w:line="240" w:lineRule="auto"/>
        <w:ind w:right="1134"/>
      </w:pPr>
      <w:r>
        <w:separator/>
      </w:r>
    </w:p>
  </w:footnote>
  <w:footnote w:type="continuationSeparator" w:id="0">
    <w:p w14:paraId="2DA64981" w14:textId="77777777" w:rsidR="005E77A8" w:rsidRDefault="005E77A8">
      <w:r>
        <w:continuationSeparator/>
      </w:r>
    </w:p>
  </w:footnote>
  <w:footnote w:id="1">
    <w:p w14:paraId="70674E40" w14:textId="77777777" w:rsidR="008F2DF2" w:rsidRPr="001A6098" w:rsidRDefault="004D1C43" w:rsidP="008F2DF2">
      <w:pPr>
        <w:pStyle w:val="a5"/>
        <w:spacing w:before="72" w:line="240" w:lineRule="auto"/>
        <w:ind w:right="1134"/>
        <w:rPr>
          <w:rFonts w:cs="FrankRuehl" w:hint="cs"/>
          <w:sz w:val="22"/>
          <w:szCs w:val="22"/>
          <w:rtl/>
        </w:rPr>
      </w:pPr>
      <w:r w:rsidRPr="00F57258">
        <w:rPr>
          <w:rtl/>
        </w:rPr>
        <w:t>*</w:t>
      </w:r>
      <w:r w:rsidRPr="009A1E2C">
        <w:rPr>
          <w:rFonts w:cs="FrankRuehl"/>
          <w:sz w:val="22"/>
          <w:szCs w:val="22"/>
          <w:rtl/>
        </w:rPr>
        <w:t xml:space="preserve"> פו</w:t>
      </w:r>
      <w:r w:rsidRPr="009A1E2C">
        <w:rPr>
          <w:rFonts w:cs="FrankRuehl" w:hint="cs"/>
          <w:sz w:val="22"/>
          <w:szCs w:val="22"/>
          <w:rtl/>
        </w:rPr>
        <w:t>רס</w:t>
      </w:r>
      <w:r w:rsidR="00E4576D">
        <w:rPr>
          <w:rFonts w:cs="FrankRuehl" w:hint="cs"/>
          <w:sz w:val="22"/>
          <w:szCs w:val="22"/>
          <w:rtl/>
        </w:rPr>
        <w:t>מו</w:t>
      </w:r>
      <w:r w:rsidRPr="009A1E2C">
        <w:rPr>
          <w:rFonts w:cs="FrankRuehl" w:hint="cs"/>
          <w:sz w:val="22"/>
          <w:szCs w:val="22"/>
          <w:rtl/>
        </w:rPr>
        <w:t xml:space="preserve"> </w:t>
      </w:r>
      <w:hyperlink r:id="rId1" w:history="1">
        <w:r w:rsidR="00E4576D" w:rsidRPr="008F2DF2">
          <w:rPr>
            <w:rStyle w:val="Hyperlink"/>
            <w:rFonts w:cs="FrankRuehl" w:hint="cs"/>
            <w:sz w:val="22"/>
            <w:szCs w:val="22"/>
            <w:rtl/>
          </w:rPr>
          <w:t>ק"ת תשע"ז</w:t>
        </w:r>
        <w:r w:rsidRPr="008F2DF2">
          <w:rPr>
            <w:rStyle w:val="Hyperlink"/>
            <w:rFonts w:cs="FrankRuehl" w:hint="cs"/>
            <w:sz w:val="22"/>
            <w:szCs w:val="22"/>
            <w:rtl/>
          </w:rPr>
          <w:t xml:space="preserve"> מס' </w:t>
        </w:r>
        <w:r w:rsidR="00E4576D" w:rsidRPr="008F2DF2">
          <w:rPr>
            <w:rStyle w:val="Hyperlink"/>
            <w:rFonts w:cs="FrankRuehl" w:hint="cs"/>
            <w:sz w:val="22"/>
            <w:szCs w:val="22"/>
            <w:rtl/>
          </w:rPr>
          <w:t>7834</w:t>
        </w:r>
      </w:hyperlink>
      <w:r w:rsidRPr="009A1E2C">
        <w:rPr>
          <w:rFonts w:cs="FrankRuehl" w:hint="cs"/>
          <w:sz w:val="22"/>
          <w:szCs w:val="22"/>
          <w:rtl/>
        </w:rPr>
        <w:t xml:space="preserve"> מיום </w:t>
      </w:r>
      <w:r w:rsidR="00E4576D">
        <w:rPr>
          <w:rFonts w:cs="FrankRuehl" w:hint="cs"/>
          <w:sz w:val="22"/>
          <w:szCs w:val="22"/>
          <w:rtl/>
        </w:rPr>
        <w:t>4.7.2017</w:t>
      </w:r>
      <w:r w:rsidRPr="009A1E2C">
        <w:rPr>
          <w:rFonts w:cs="FrankRuehl" w:hint="cs"/>
          <w:sz w:val="22"/>
          <w:szCs w:val="22"/>
          <w:rtl/>
        </w:rPr>
        <w:t xml:space="preserve"> עמ' </w:t>
      </w:r>
      <w:r w:rsidR="00E4576D">
        <w:rPr>
          <w:rFonts w:cs="FrankRuehl" w:hint="cs"/>
          <w:sz w:val="22"/>
          <w:szCs w:val="22"/>
          <w:rtl/>
        </w:rPr>
        <w:t>1326</w:t>
      </w:r>
      <w:r w:rsidRPr="009A1E2C">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43D5B" w14:textId="77777777" w:rsidR="004D1C43" w:rsidRDefault="004D1C4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שירותי הכבאות (חקירת דליקה וגורמיה), תשל"ב–1972</w:t>
    </w:r>
  </w:p>
  <w:p w14:paraId="1262B5EF" w14:textId="77777777" w:rsidR="004D1C43" w:rsidRDefault="004D1C4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EA5EA0" w14:textId="77777777" w:rsidR="004D1C43" w:rsidRDefault="004D1C4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99E5F" w14:textId="77777777" w:rsidR="004D1C43" w:rsidRDefault="00E4576D" w:rsidP="00E4576D">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תקנות</w:t>
    </w:r>
    <w:r w:rsidR="004D1C43">
      <w:rPr>
        <w:rFonts w:hAnsi="FrankRuehl" w:cs="FrankRuehl" w:hint="cs"/>
        <w:color w:val="000000"/>
        <w:sz w:val="28"/>
        <w:szCs w:val="28"/>
        <w:rtl/>
      </w:rPr>
      <w:t xml:space="preserve"> הפיקוח על מזון לבעלי חיים</w:t>
    </w:r>
    <w:r>
      <w:rPr>
        <w:rFonts w:hAnsi="FrankRuehl" w:cs="FrankRuehl" w:hint="cs"/>
        <w:color w:val="000000"/>
        <w:sz w:val="28"/>
        <w:szCs w:val="28"/>
        <w:rtl/>
      </w:rPr>
      <w:t xml:space="preserve"> (ועדה מקצועית מייעצת)</w:t>
    </w:r>
    <w:r w:rsidR="004D1C43">
      <w:rPr>
        <w:rFonts w:hAnsi="FrankRuehl" w:cs="FrankRuehl" w:hint="cs"/>
        <w:color w:val="000000"/>
        <w:sz w:val="28"/>
        <w:szCs w:val="28"/>
        <w:rtl/>
      </w:rPr>
      <w:t>, תשע"</w:t>
    </w:r>
    <w:r>
      <w:rPr>
        <w:rFonts w:hAnsi="FrankRuehl" w:cs="FrankRuehl" w:hint="cs"/>
        <w:color w:val="000000"/>
        <w:sz w:val="28"/>
        <w:szCs w:val="28"/>
        <w:rtl/>
      </w:rPr>
      <w:t>ז-2017</w:t>
    </w:r>
  </w:p>
  <w:p w14:paraId="211DA2A4" w14:textId="77777777" w:rsidR="004D1C43" w:rsidRDefault="004D1C4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8F5386F" w14:textId="77777777" w:rsidR="004D1C43" w:rsidRDefault="004D1C4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00B1"/>
    <w:rsid w:val="00046D6F"/>
    <w:rsid w:val="00055F85"/>
    <w:rsid w:val="00073C89"/>
    <w:rsid w:val="000F5486"/>
    <w:rsid w:val="00124D65"/>
    <w:rsid w:val="00172E71"/>
    <w:rsid w:val="001A14FF"/>
    <w:rsid w:val="001A6098"/>
    <w:rsid w:val="001B7BD2"/>
    <w:rsid w:val="001C395C"/>
    <w:rsid w:val="003122EF"/>
    <w:rsid w:val="00316628"/>
    <w:rsid w:val="003555E4"/>
    <w:rsid w:val="003632BD"/>
    <w:rsid w:val="003B4CFC"/>
    <w:rsid w:val="003E7C20"/>
    <w:rsid w:val="00410E15"/>
    <w:rsid w:val="0041413A"/>
    <w:rsid w:val="004535D8"/>
    <w:rsid w:val="004C30AE"/>
    <w:rsid w:val="004D1C43"/>
    <w:rsid w:val="004E3392"/>
    <w:rsid w:val="005115FA"/>
    <w:rsid w:val="00515226"/>
    <w:rsid w:val="00542682"/>
    <w:rsid w:val="005477D2"/>
    <w:rsid w:val="00567557"/>
    <w:rsid w:val="005E5364"/>
    <w:rsid w:val="005E77A8"/>
    <w:rsid w:val="0061676E"/>
    <w:rsid w:val="006218C4"/>
    <w:rsid w:val="0063443E"/>
    <w:rsid w:val="006A2233"/>
    <w:rsid w:val="006C2F91"/>
    <w:rsid w:val="006D7170"/>
    <w:rsid w:val="006F564D"/>
    <w:rsid w:val="007055C9"/>
    <w:rsid w:val="00713ED8"/>
    <w:rsid w:val="0074688D"/>
    <w:rsid w:val="00752C34"/>
    <w:rsid w:val="00760BB7"/>
    <w:rsid w:val="0076224D"/>
    <w:rsid w:val="007C4790"/>
    <w:rsid w:val="007E7CB5"/>
    <w:rsid w:val="008024D1"/>
    <w:rsid w:val="0083019D"/>
    <w:rsid w:val="008559C0"/>
    <w:rsid w:val="008771DF"/>
    <w:rsid w:val="008A0D01"/>
    <w:rsid w:val="008F1EA7"/>
    <w:rsid w:val="008F2DF2"/>
    <w:rsid w:val="00914437"/>
    <w:rsid w:val="00931812"/>
    <w:rsid w:val="009A1E2C"/>
    <w:rsid w:val="009B3567"/>
    <w:rsid w:val="009D78AF"/>
    <w:rsid w:val="009F6703"/>
    <w:rsid w:val="00A77613"/>
    <w:rsid w:val="00AC377D"/>
    <w:rsid w:val="00B00100"/>
    <w:rsid w:val="00B2026B"/>
    <w:rsid w:val="00B57A50"/>
    <w:rsid w:val="00B70870"/>
    <w:rsid w:val="00C1357C"/>
    <w:rsid w:val="00C336B8"/>
    <w:rsid w:val="00C37E43"/>
    <w:rsid w:val="00C77854"/>
    <w:rsid w:val="00C81D68"/>
    <w:rsid w:val="00C90978"/>
    <w:rsid w:val="00CB459B"/>
    <w:rsid w:val="00D41991"/>
    <w:rsid w:val="00E01751"/>
    <w:rsid w:val="00E2151C"/>
    <w:rsid w:val="00E268D8"/>
    <w:rsid w:val="00E277CB"/>
    <w:rsid w:val="00E4576D"/>
    <w:rsid w:val="00EA0D7F"/>
    <w:rsid w:val="00EC2CC9"/>
    <w:rsid w:val="00ED00B1"/>
    <w:rsid w:val="00ED4A45"/>
    <w:rsid w:val="00ED6D36"/>
    <w:rsid w:val="00EF5C1C"/>
    <w:rsid w:val="00F10CDC"/>
    <w:rsid w:val="00F273F3"/>
    <w:rsid w:val="00F57258"/>
    <w:rsid w:val="00F701C0"/>
    <w:rsid w:val="00F82DEE"/>
    <w:rsid w:val="00F86C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40668D6A"/>
  <w15:chartTrackingRefBased/>
  <w15:docId w15:val="{33D96F54-6AA9-4AF5-A521-509B0F5F5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9A1E2C"/>
    <w:rPr>
      <w:sz w:val="20"/>
      <w:szCs w:val="20"/>
    </w:rPr>
  </w:style>
  <w:style w:type="character" w:styleId="a6">
    <w:name w:val="footnote reference"/>
    <w:basedOn w:val="a0"/>
    <w:semiHidden/>
    <w:rsid w:val="009A1E2C"/>
    <w:rPr>
      <w:vertAlign w:val="superscript"/>
    </w:rPr>
  </w:style>
  <w:style w:type="paragraph" w:customStyle="1" w:styleId="medium2-header">
    <w:name w:val="medium2-header"/>
    <w:basedOn w:val="a"/>
    <w:rsid w:val="005115F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header-2">
    <w:name w:val="header-2"/>
    <w:basedOn w:val="P00"/>
    <w:rsid w:val="008559C0"/>
    <w:pPr>
      <w:keepNext/>
      <w:keepLines/>
      <w:tabs>
        <w:tab w:val="clear" w:pos="6259"/>
      </w:tabs>
      <w:spacing w:before="240"/>
      <w:jc w:val="center"/>
    </w:pPr>
    <w:rPr>
      <w:szCs w:val="20"/>
    </w:rPr>
  </w:style>
  <w:style w:type="character" w:customStyle="1" w:styleId="P000">
    <w:name w:val="P00 תו"/>
    <w:basedOn w:val="a0"/>
    <w:link w:val="P00"/>
    <w:rsid w:val="001A6098"/>
    <w:rPr>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83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967</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6473</CharactersWithSpaces>
  <SharedDoc>false</SharedDoc>
  <HLinks>
    <vt:vector size="78" baseType="variant">
      <vt:variant>
        <vt:i4>393283</vt:i4>
      </vt:variant>
      <vt:variant>
        <vt:i4>66</vt:i4>
      </vt:variant>
      <vt:variant>
        <vt:i4>0</vt:i4>
      </vt:variant>
      <vt:variant>
        <vt:i4>5</vt:i4>
      </vt:variant>
      <vt:variant>
        <vt:lpwstr>http://www.nevo.co.il/advertisements/nevo-100.doc</vt:lpwstr>
      </vt:variant>
      <vt:variant>
        <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8192004</vt:i4>
      </vt:variant>
      <vt:variant>
        <vt:i4>0</vt:i4>
      </vt:variant>
      <vt:variant>
        <vt:i4>0</vt:i4>
      </vt:variant>
      <vt:variant>
        <vt:i4>5</vt:i4>
      </vt:variant>
      <vt:variant>
        <vt:lpwstr>http://www.nevo.co.il/Law_word/law06/tak-7834.pdf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בעלי חיים</vt:lpwstr>
  </property>
  <property fmtid="{D5CDD505-2E9C-101B-9397-08002B2CF9AE}" pid="4" name="LAWNAME">
    <vt:lpwstr>תקנות הפיקוח על מזון לבעלי חיים (ועדה מקצועית מייעצת), תשע"ז-2017</vt:lpwstr>
  </property>
  <property fmtid="{D5CDD505-2E9C-101B-9397-08002B2CF9AE}" pid="5" name="LAWNUMBER">
    <vt:lpwstr>0633</vt:lpwstr>
  </property>
  <property fmtid="{D5CDD505-2E9C-101B-9397-08002B2CF9AE}" pid="6" name="TYPE">
    <vt:lpwstr>01</vt:lpwstr>
  </property>
  <property fmtid="{D5CDD505-2E9C-101B-9397-08002B2CF9AE}" pid="7" name="NOSE11">
    <vt:lpwstr>חקלאות טבע וסביבה</vt:lpwstr>
  </property>
  <property fmtid="{D5CDD505-2E9C-101B-9397-08002B2CF9AE}" pid="8" name="NOSE21">
    <vt:lpwstr>בע"ח</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SAMCHUT">
    <vt:lpwstr/>
  </property>
  <property fmtid="{D5CDD505-2E9C-101B-9397-08002B2CF9AE}" pid="48" name="LINKK4">
    <vt:lpwstr/>
  </property>
  <property fmtid="{D5CDD505-2E9C-101B-9397-08002B2CF9AE}" pid="49" name="LINKK5">
    <vt:lpwstr/>
  </property>
  <property fmtid="{D5CDD505-2E9C-101B-9397-08002B2CF9AE}" pid="50" name="LINKK6">
    <vt:lpwstr/>
  </property>
  <property fmtid="{D5CDD505-2E9C-101B-9397-08002B2CF9AE}" pid="51" name="LINKK7">
    <vt:lpwstr/>
  </property>
  <property fmtid="{D5CDD505-2E9C-101B-9397-08002B2CF9AE}" pid="52" name="LINKK8">
    <vt:lpwstr/>
  </property>
  <property fmtid="{D5CDD505-2E9C-101B-9397-08002B2CF9AE}" pid="53" name="LINKK9">
    <vt:lpwstr/>
  </property>
  <property fmtid="{D5CDD505-2E9C-101B-9397-08002B2CF9AE}" pid="54" name="LINKK10">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MEKOR_NAME1">
    <vt:lpwstr>חוק הפיקוח על מזון לבעלי חיים</vt:lpwstr>
  </property>
  <property fmtid="{D5CDD505-2E9C-101B-9397-08002B2CF9AE}" pid="61" name="MEKOR_SAIF1">
    <vt:lpwstr>36XאX;36XבX7X</vt:lpwstr>
  </property>
  <property fmtid="{D5CDD505-2E9C-101B-9397-08002B2CF9AE}" pid="62" name="LINKK1">
    <vt:lpwstr>http://www.nevo.co.il/Law_word/law06/tak-7834.pdf;‎רשומות - תקנות כלליות#פורסמו ק"ת תשע"ז מס' 7834 ‏‏#מיום 4.7.2017 עמ' 1326‏</vt:lpwstr>
  </property>
  <property fmtid="{D5CDD505-2E9C-101B-9397-08002B2CF9AE}" pid="63" name="LINKK2">
    <vt:lpwstr/>
  </property>
  <property fmtid="{D5CDD505-2E9C-101B-9397-08002B2CF9AE}" pid="64" name="LINKK3">
    <vt:lpwstr/>
  </property>
</Properties>
</file>