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2BCC" w14:textId="77777777" w:rsidR="001A4A9D" w:rsidRDefault="001A4A9D" w:rsidP="00055620">
      <w:pPr>
        <w:pStyle w:val="big-header"/>
        <w:ind w:left="0" w:right="1134"/>
        <w:rPr>
          <w:rFonts w:hint="cs"/>
          <w:rtl/>
        </w:rPr>
      </w:pPr>
      <w:r>
        <w:rPr>
          <w:rFonts w:hint="cs"/>
          <w:rtl/>
        </w:rPr>
        <w:t>תקנות הפיקוח על עסקי ביטוח (תנאים בחוזי ביטוח) (הוראות לענין מצב רפואי קודם)</w:t>
      </w:r>
      <w:r>
        <w:rPr>
          <w:rtl/>
        </w:rPr>
        <w:t>, תשס"</w:t>
      </w:r>
      <w:r>
        <w:rPr>
          <w:rFonts w:hint="cs"/>
          <w:rtl/>
        </w:rPr>
        <w:t>ד</w:t>
      </w:r>
      <w:r>
        <w:rPr>
          <w:rtl/>
        </w:rPr>
        <w:t>-200</w:t>
      </w:r>
      <w:r>
        <w:rPr>
          <w:rFonts w:hint="cs"/>
          <w:rtl/>
        </w:rPr>
        <w:t>4</w:t>
      </w:r>
    </w:p>
    <w:p w14:paraId="35640661" w14:textId="77777777" w:rsidR="002C27A2" w:rsidRPr="002C27A2" w:rsidRDefault="002C27A2" w:rsidP="002C27A2">
      <w:pPr>
        <w:spacing w:line="320" w:lineRule="auto"/>
        <w:jc w:val="left"/>
        <w:rPr>
          <w:rFonts w:cs="FrankRuehl"/>
          <w:szCs w:val="26"/>
          <w:rtl/>
        </w:rPr>
      </w:pPr>
    </w:p>
    <w:p w14:paraId="595585D6" w14:textId="77777777" w:rsidR="002C27A2" w:rsidRPr="002C27A2" w:rsidRDefault="002C27A2" w:rsidP="002C27A2">
      <w:pPr>
        <w:spacing w:line="320" w:lineRule="auto"/>
        <w:jc w:val="left"/>
        <w:rPr>
          <w:rFonts w:cs="Miriam" w:hint="cs"/>
          <w:szCs w:val="22"/>
          <w:rtl/>
        </w:rPr>
      </w:pPr>
      <w:r w:rsidRPr="002C27A2">
        <w:rPr>
          <w:rFonts w:cs="Miriam"/>
          <w:szCs w:val="22"/>
          <w:rtl/>
        </w:rPr>
        <w:t>ביטוח</w:t>
      </w:r>
      <w:r w:rsidRPr="002C27A2">
        <w:rPr>
          <w:rFonts w:cs="FrankRuehl"/>
          <w:szCs w:val="26"/>
          <w:rtl/>
        </w:rPr>
        <w:t xml:space="preserve"> – עסקי ביטוח – חוזה ודמי ביטוח</w:t>
      </w:r>
    </w:p>
    <w:p w14:paraId="40FC5156" w14:textId="77777777" w:rsidR="00055620" w:rsidRDefault="00055620" w:rsidP="00055620">
      <w:pPr>
        <w:pStyle w:val="big-header"/>
        <w:ind w:left="0" w:right="1134"/>
        <w:rPr>
          <w:rFonts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A4A9D" w14:paraId="1C49F309" w14:textId="77777777">
        <w:tblPrEx>
          <w:tblCellMar>
            <w:top w:w="0" w:type="dxa"/>
            <w:bottom w:w="0" w:type="dxa"/>
          </w:tblCellMar>
        </w:tblPrEx>
        <w:tc>
          <w:tcPr>
            <w:tcW w:w="850" w:type="dxa"/>
          </w:tcPr>
          <w:p w14:paraId="2AC92DFB"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02F5B294" w14:textId="77777777" w:rsidR="001A4A9D" w:rsidRDefault="001A4A9D">
            <w:pPr>
              <w:spacing w:line="240" w:lineRule="auto"/>
              <w:rPr>
                <w:rStyle w:val="default"/>
                <w:rFonts w:cs="FrankRuehl" w:hint="cs"/>
                <w:sz w:val="24"/>
                <w:szCs w:val="24"/>
              </w:rPr>
            </w:pPr>
            <w:hyperlink w:anchor="Seif0" w:tooltip="הגדרות" w:history="1">
              <w:r>
                <w:rPr>
                  <w:rStyle w:val="Hyperlink"/>
                </w:rPr>
                <w:t>Go</w:t>
              </w:r>
            </w:hyperlink>
          </w:p>
        </w:tc>
        <w:tc>
          <w:tcPr>
            <w:tcW w:w="5669" w:type="dxa"/>
          </w:tcPr>
          <w:p w14:paraId="26D09AAE" w14:textId="77777777" w:rsidR="001A4A9D" w:rsidRDefault="001A4A9D">
            <w:pPr>
              <w:spacing w:line="240" w:lineRule="auto"/>
              <w:rPr>
                <w:rStyle w:val="default"/>
                <w:rFonts w:cs="FrankRuehl"/>
                <w:sz w:val="24"/>
                <w:szCs w:val="24"/>
                <w:rtl/>
              </w:rPr>
            </w:pPr>
            <w:r>
              <w:rPr>
                <w:rStyle w:val="default"/>
                <w:rFonts w:cs="FrankRuehl"/>
                <w:sz w:val="24"/>
                <w:szCs w:val="24"/>
                <w:rtl/>
              </w:rPr>
              <w:t>הגדרות</w:t>
            </w:r>
          </w:p>
        </w:tc>
        <w:tc>
          <w:tcPr>
            <w:tcW w:w="1247" w:type="dxa"/>
          </w:tcPr>
          <w:p w14:paraId="2BCAC08F"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1 </w:t>
            </w:r>
          </w:p>
        </w:tc>
      </w:tr>
      <w:tr w:rsidR="001A4A9D" w14:paraId="2A431DEE" w14:textId="77777777">
        <w:tblPrEx>
          <w:tblCellMar>
            <w:top w:w="0" w:type="dxa"/>
            <w:bottom w:w="0" w:type="dxa"/>
          </w:tblCellMar>
        </w:tblPrEx>
        <w:tc>
          <w:tcPr>
            <w:tcW w:w="850" w:type="dxa"/>
          </w:tcPr>
          <w:p w14:paraId="5BFD65E0"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233A38C4" w14:textId="77777777" w:rsidR="001A4A9D" w:rsidRDefault="001A4A9D">
            <w:pPr>
              <w:spacing w:line="240" w:lineRule="auto"/>
              <w:rPr>
                <w:rStyle w:val="default"/>
                <w:rFonts w:cs="FrankRuehl" w:hint="cs"/>
                <w:sz w:val="24"/>
                <w:szCs w:val="24"/>
              </w:rPr>
            </w:pPr>
            <w:hyperlink w:anchor="Seif1" w:tooltip="תוקף סייג בשל מצב רפואי קודם" w:history="1">
              <w:r>
                <w:rPr>
                  <w:rStyle w:val="Hyperlink"/>
                </w:rPr>
                <w:t>Go</w:t>
              </w:r>
            </w:hyperlink>
          </w:p>
        </w:tc>
        <w:tc>
          <w:tcPr>
            <w:tcW w:w="5669" w:type="dxa"/>
          </w:tcPr>
          <w:p w14:paraId="0BA06A62" w14:textId="77777777" w:rsidR="001A4A9D" w:rsidRDefault="001A4A9D">
            <w:pPr>
              <w:spacing w:line="240" w:lineRule="auto"/>
              <w:rPr>
                <w:rStyle w:val="default"/>
                <w:rFonts w:cs="FrankRuehl"/>
                <w:sz w:val="24"/>
                <w:szCs w:val="24"/>
                <w:rtl/>
              </w:rPr>
            </w:pPr>
            <w:r>
              <w:rPr>
                <w:rStyle w:val="default"/>
                <w:rFonts w:cs="FrankRuehl"/>
                <w:sz w:val="24"/>
                <w:szCs w:val="24"/>
                <w:rtl/>
              </w:rPr>
              <w:t>תוקף סייג בשל מצב רפואי קודם</w:t>
            </w:r>
          </w:p>
        </w:tc>
        <w:tc>
          <w:tcPr>
            <w:tcW w:w="1247" w:type="dxa"/>
          </w:tcPr>
          <w:p w14:paraId="241DE767"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2 </w:t>
            </w:r>
          </w:p>
        </w:tc>
      </w:tr>
      <w:tr w:rsidR="001A4A9D" w14:paraId="460C5607" w14:textId="77777777">
        <w:tblPrEx>
          <w:tblCellMar>
            <w:top w:w="0" w:type="dxa"/>
            <w:bottom w:w="0" w:type="dxa"/>
          </w:tblCellMar>
        </w:tblPrEx>
        <w:tc>
          <w:tcPr>
            <w:tcW w:w="850" w:type="dxa"/>
          </w:tcPr>
          <w:p w14:paraId="6BE0002F"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0B740B48" w14:textId="77777777" w:rsidR="001A4A9D" w:rsidRDefault="001A4A9D">
            <w:pPr>
              <w:spacing w:line="240" w:lineRule="auto"/>
              <w:rPr>
                <w:rStyle w:val="default"/>
                <w:rFonts w:cs="FrankRuehl" w:hint="cs"/>
                <w:sz w:val="24"/>
                <w:szCs w:val="24"/>
              </w:rPr>
            </w:pPr>
            <w:hyperlink w:anchor="Seif2" w:tooltip="סייג בשל מצב רפואי מסוים למבוטח מסוים" w:history="1">
              <w:r>
                <w:rPr>
                  <w:rStyle w:val="Hyperlink"/>
                </w:rPr>
                <w:t>Go</w:t>
              </w:r>
            </w:hyperlink>
          </w:p>
        </w:tc>
        <w:tc>
          <w:tcPr>
            <w:tcW w:w="5669" w:type="dxa"/>
          </w:tcPr>
          <w:p w14:paraId="7DE17489" w14:textId="77777777" w:rsidR="001A4A9D" w:rsidRDefault="001A4A9D">
            <w:pPr>
              <w:spacing w:line="240" w:lineRule="auto"/>
              <w:rPr>
                <w:rStyle w:val="default"/>
                <w:rFonts w:cs="FrankRuehl"/>
                <w:sz w:val="24"/>
                <w:szCs w:val="24"/>
                <w:rtl/>
              </w:rPr>
            </w:pPr>
            <w:r>
              <w:rPr>
                <w:rStyle w:val="default"/>
                <w:rFonts w:cs="FrankRuehl"/>
                <w:sz w:val="24"/>
                <w:szCs w:val="24"/>
                <w:rtl/>
              </w:rPr>
              <w:t>סייג בשל מצב רפואי מסוים למבוטח מסוים</w:t>
            </w:r>
          </w:p>
        </w:tc>
        <w:tc>
          <w:tcPr>
            <w:tcW w:w="1247" w:type="dxa"/>
          </w:tcPr>
          <w:p w14:paraId="4D40B27D"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3 </w:t>
            </w:r>
          </w:p>
        </w:tc>
      </w:tr>
      <w:tr w:rsidR="001A4A9D" w14:paraId="6C14F6CF" w14:textId="77777777">
        <w:tblPrEx>
          <w:tblCellMar>
            <w:top w:w="0" w:type="dxa"/>
            <w:bottom w:w="0" w:type="dxa"/>
          </w:tblCellMar>
        </w:tblPrEx>
        <w:tc>
          <w:tcPr>
            <w:tcW w:w="850" w:type="dxa"/>
          </w:tcPr>
          <w:p w14:paraId="624D249B"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448234E3" w14:textId="77777777" w:rsidR="001A4A9D" w:rsidRDefault="001A4A9D">
            <w:pPr>
              <w:spacing w:line="240" w:lineRule="auto"/>
              <w:rPr>
                <w:rStyle w:val="default"/>
                <w:rFonts w:cs="FrankRuehl" w:hint="cs"/>
                <w:sz w:val="24"/>
                <w:szCs w:val="24"/>
              </w:rPr>
            </w:pPr>
            <w:hyperlink w:anchor="Seif3" w:tooltip="אי תחולת סייג בשל מצב רפואי קודם" w:history="1">
              <w:r>
                <w:rPr>
                  <w:rStyle w:val="Hyperlink"/>
                </w:rPr>
                <w:t>Go</w:t>
              </w:r>
            </w:hyperlink>
          </w:p>
        </w:tc>
        <w:tc>
          <w:tcPr>
            <w:tcW w:w="5669" w:type="dxa"/>
          </w:tcPr>
          <w:p w14:paraId="5233B57E" w14:textId="77777777" w:rsidR="001A4A9D" w:rsidRDefault="001A4A9D">
            <w:pPr>
              <w:spacing w:line="240" w:lineRule="auto"/>
              <w:rPr>
                <w:rStyle w:val="default"/>
                <w:rFonts w:cs="FrankRuehl"/>
                <w:sz w:val="24"/>
                <w:szCs w:val="24"/>
                <w:rtl/>
              </w:rPr>
            </w:pPr>
            <w:r>
              <w:rPr>
                <w:rStyle w:val="default"/>
                <w:rFonts w:cs="FrankRuehl"/>
                <w:sz w:val="24"/>
                <w:szCs w:val="24"/>
                <w:rtl/>
              </w:rPr>
              <w:t>אי תחולת סייג בשל מצב רפואי קודם</w:t>
            </w:r>
          </w:p>
        </w:tc>
        <w:tc>
          <w:tcPr>
            <w:tcW w:w="1247" w:type="dxa"/>
          </w:tcPr>
          <w:p w14:paraId="24C67220"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4 </w:t>
            </w:r>
          </w:p>
        </w:tc>
      </w:tr>
      <w:tr w:rsidR="001A4A9D" w14:paraId="043F680D" w14:textId="77777777">
        <w:tblPrEx>
          <w:tblCellMar>
            <w:top w:w="0" w:type="dxa"/>
            <w:bottom w:w="0" w:type="dxa"/>
          </w:tblCellMar>
        </w:tblPrEx>
        <w:tc>
          <w:tcPr>
            <w:tcW w:w="850" w:type="dxa"/>
          </w:tcPr>
          <w:p w14:paraId="7B4D6472"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6313765A" w14:textId="77777777" w:rsidR="001A4A9D" w:rsidRDefault="001A4A9D">
            <w:pPr>
              <w:spacing w:line="240" w:lineRule="auto"/>
              <w:rPr>
                <w:rStyle w:val="default"/>
                <w:rFonts w:cs="FrankRuehl" w:hint="cs"/>
                <w:sz w:val="24"/>
                <w:szCs w:val="24"/>
              </w:rPr>
            </w:pPr>
            <w:hyperlink w:anchor="Seif4" w:tooltip="השבת דמי הביטוח" w:history="1">
              <w:r>
                <w:rPr>
                  <w:rStyle w:val="Hyperlink"/>
                </w:rPr>
                <w:t>Go</w:t>
              </w:r>
            </w:hyperlink>
          </w:p>
        </w:tc>
        <w:tc>
          <w:tcPr>
            <w:tcW w:w="5669" w:type="dxa"/>
          </w:tcPr>
          <w:p w14:paraId="7CB04E28" w14:textId="77777777" w:rsidR="001A4A9D" w:rsidRDefault="001A4A9D">
            <w:pPr>
              <w:spacing w:line="240" w:lineRule="auto"/>
              <w:rPr>
                <w:rStyle w:val="default"/>
                <w:rFonts w:cs="FrankRuehl"/>
                <w:sz w:val="24"/>
                <w:szCs w:val="24"/>
                <w:rtl/>
              </w:rPr>
            </w:pPr>
            <w:r>
              <w:rPr>
                <w:rStyle w:val="default"/>
                <w:rFonts w:cs="FrankRuehl"/>
                <w:sz w:val="24"/>
                <w:szCs w:val="24"/>
                <w:rtl/>
              </w:rPr>
              <w:t>השבת דמי הביטוח</w:t>
            </w:r>
          </w:p>
        </w:tc>
        <w:tc>
          <w:tcPr>
            <w:tcW w:w="1247" w:type="dxa"/>
          </w:tcPr>
          <w:p w14:paraId="12B35137"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5 </w:t>
            </w:r>
          </w:p>
        </w:tc>
      </w:tr>
      <w:tr w:rsidR="001A4A9D" w14:paraId="710BC758" w14:textId="77777777">
        <w:tblPrEx>
          <w:tblCellMar>
            <w:top w:w="0" w:type="dxa"/>
            <w:bottom w:w="0" w:type="dxa"/>
          </w:tblCellMar>
        </w:tblPrEx>
        <w:tc>
          <w:tcPr>
            <w:tcW w:w="850" w:type="dxa"/>
          </w:tcPr>
          <w:p w14:paraId="0F876FA0"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Seif8</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2</w:t>
            </w:r>
            <w:r>
              <w:rPr>
                <w:rStyle w:val="default"/>
                <w:rFonts w:cs="FrankRuehl"/>
                <w:sz w:val="24"/>
                <w:szCs w:val="24"/>
                <w:rtl/>
              </w:rPr>
              <w:fldChar w:fldCharType="end"/>
            </w:r>
          </w:p>
        </w:tc>
        <w:tc>
          <w:tcPr>
            <w:tcW w:w="567" w:type="dxa"/>
          </w:tcPr>
          <w:p w14:paraId="59D209BE" w14:textId="77777777" w:rsidR="001A4A9D" w:rsidRDefault="001A4A9D">
            <w:pPr>
              <w:spacing w:line="240" w:lineRule="auto"/>
              <w:rPr>
                <w:rStyle w:val="default"/>
                <w:rFonts w:cs="FrankRuehl" w:hint="cs"/>
                <w:sz w:val="24"/>
                <w:szCs w:val="24"/>
              </w:rPr>
            </w:pPr>
            <w:hyperlink w:anchor="Seif8" w:tooltip="תוקפו של סייג בשל מצב רפואי קודם במקרה של החלפת חוזה ביטוח" w:history="1">
              <w:r>
                <w:rPr>
                  <w:rStyle w:val="Hyperlink"/>
                </w:rPr>
                <w:t>Go</w:t>
              </w:r>
            </w:hyperlink>
          </w:p>
        </w:tc>
        <w:tc>
          <w:tcPr>
            <w:tcW w:w="5669" w:type="dxa"/>
          </w:tcPr>
          <w:p w14:paraId="69CC95D6" w14:textId="77777777" w:rsidR="001A4A9D" w:rsidRDefault="001A4A9D">
            <w:pPr>
              <w:spacing w:line="240" w:lineRule="auto"/>
              <w:rPr>
                <w:rStyle w:val="default"/>
                <w:rFonts w:cs="FrankRuehl"/>
                <w:sz w:val="24"/>
                <w:szCs w:val="24"/>
                <w:rtl/>
              </w:rPr>
            </w:pPr>
            <w:r>
              <w:rPr>
                <w:rStyle w:val="default"/>
                <w:rFonts w:cs="FrankRuehl"/>
                <w:sz w:val="24"/>
                <w:szCs w:val="24"/>
                <w:rtl/>
              </w:rPr>
              <w:t>תוקפו של סייג בשל מצב רפואי קודם במקרה של החלפת חוזה ביטוח</w:t>
            </w:r>
          </w:p>
        </w:tc>
        <w:tc>
          <w:tcPr>
            <w:tcW w:w="1247" w:type="dxa"/>
          </w:tcPr>
          <w:p w14:paraId="689D2E72"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6 </w:t>
            </w:r>
          </w:p>
        </w:tc>
      </w:tr>
      <w:tr w:rsidR="001A4A9D" w14:paraId="050152B5" w14:textId="77777777">
        <w:tblPrEx>
          <w:tblCellMar>
            <w:top w:w="0" w:type="dxa"/>
            <w:bottom w:w="0" w:type="dxa"/>
          </w:tblCellMar>
        </w:tblPrEx>
        <w:tc>
          <w:tcPr>
            <w:tcW w:w="850" w:type="dxa"/>
          </w:tcPr>
          <w:p w14:paraId="6BEB6571"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3</w:t>
            </w:r>
            <w:r>
              <w:rPr>
                <w:rStyle w:val="default"/>
                <w:rFonts w:cs="FrankRuehl"/>
                <w:sz w:val="24"/>
                <w:szCs w:val="24"/>
                <w:rtl/>
              </w:rPr>
              <w:fldChar w:fldCharType="end"/>
            </w:r>
          </w:p>
        </w:tc>
        <w:tc>
          <w:tcPr>
            <w:tcW w:w="567" w:type="dxa"/>
          </w:tcPr>
          <w:p w14:paraId="409F7E3C" w14:textId="77777777" w:rsidR="001A4A9D" w:rsidRDefault="001A4A9D">
            <w:pPr>
              <w:spacing w:line="240" w:lineRule="auto"/>
              <w:rPr>
                <w:rStyle w:val="default"/>
                <w:rFonts w:cs="FrankRuehl" w:hint="cs"/>
                <w:sz w:val="24"/>
                <w:szCs w:val="24"/>
              </w:rPr>
            </w:pPr>
            <w:hyperlink w:anchor="Seif5" w:tooltip="שימוש במונחים בחוזה הביטוח" w:history="1">
              <w:r>
                <w:rPr>
                  <w:rStyle w:val="Hyperlink"/>
                </w:rPr>
                <w:t>Go</w:t>
              </w:r>
            </w:hyperlink>
          </w:p>
        </w:tc>
        <w:tc>
          <w:tcPr>
            <w:tcW w:w="5669" w:type="dxa"/>
          </w:tcPr>
          <w:p w14:paraId="41BAAA13" w14:textId="77777777" w:rsidR="001A4A9D" w:rsidRDefault="001A4A9D">
            <w:pPr>
              <w:spacing w:line="240" w:lineRule="auto"/>
              <w:rPr>
                <w:rStyle w:val="default"/>
                <w:rFonts w:cs="FrankRuehl"/>
                <w:sz w:val="24"/>
                <w:szCs w:val="24"/>
                <w:rtl/>
              </w:rPr>
            </w:pPr>
            <w:r>
              <w:rPr>
                <w:rStyle w:val="default"/>
                <w:rFonts w:cs="FrankRuehl"/>
                <w:sz w:val="24"/>
                <w:szCs w:val="24"/>
                <w:rtl/>
              </w:rPr>
              <w:t>שימוש במונחים בחוזה הביטוח</w:t>
            </w:r>
          </w:p>
        </w:tc>
        <w:tc>
          <w:tcPr>
            <w:tcW w:w="1247" w:type="dxa"/>
          </w:tcPr>
          <w:p w14:paraId="311B726B"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7 </w:t>
            </w:r>
          </w:p>
        </w:tc>
      </w:tr>
      <w:tr w:rsidR="001A4A9D" w14:paraId="6D8E8A02" w14:textId="77777777">
        <w:tblPrEx>
          <w:tblCellMar>
            <w:top w:w="0" w:type="dxa"/>
            <w:bottom w:w="0" w:type="dxa"/>
          </w:tblCellMar>
        </w:tblPrEx>
        <w:tc>
          <w:tcPr>
            <w:tcW w:w="850" w:type="dxa"/>
          </w:tcPr>
          <w:p w14:paraId="1ECEA972"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3</w:t>
            </w:r>
            <w:r>
              <w:rPr>
                <w:rStyle w:val="default"/>
                <w:rFonts w:cs="FrankRuehl"/>
                <w:sz w:val="24"/>
                <w:szCs w:val="24"/>
                <w:rtl/>
              </w:rPr>
              <w:fldChar w:fldCharType="end"/>
            </w:r>
          </w:p>
        </w:tc>
        <w:tc>
          <w:tcPr>
            <w:tcW w:w="567" w:type="dxa"/>
          </w:tcPr>
          <w:p w14:paraId="79473D06" w14:textId="77777777" w:rsidR="001A4A9D" w:rsidRDefault="001A4A9D">
            <w:pPr>
              <w:spacing w:line="240" w:lineRule="auto"/>
              <w:rPr>
                <w:rStyle w:val="default"/>
                <w:rFonts w:cs="FrankRuehl" w:hint="cs"/>
                <w:sz w:val="24"/>
                <w:szCs w:val="24"/>
              </w:rPr>
            </w:pPr>
            <w:hyperlink w:anchor="Seif6" w:tooltip="סייג לתחולה" w:history="1">
              <w:r>
                <w:rPr>
                  <w:rStyle w:val="Hyperlink"/>
                </w:rPr>
                <w:t>Go</w:t>
              </w:r>
            </w:hyperlink>
          </w:p>
        </w:tc>
        <w:tc>
          <w:tcPr>
            <w:tcW w:w="5669" w:type="dxa"/>
          </w:tcPr>
          <w:p w14:paraId="3CFCFB60" w14:textId="77777777" w:rsidR="001A4A9D" w:rsidRDefault="001A4A9D">
            <w:pPr>
              <w:spacing w:line="240" w:lineRule="auto"/>
              <w:rPr>
                <w:rStyle w:val="default"/>
                <w:rFonts w:cs="FrankRuehl"/>
                <w:sz w:val="24"/>
                <w:szCs w:val="24"/>
                <w:rtl/>
              </w:rPr>
            </w:pPr>
            <w:r>
              <w:rPr>
                <w:rStyle w:val="default"/>
                <w:rFonts w:cs="FrankRuehl"/>
                <w:sz w:val="24"/>
                <w:szCs w:val="24"/>
                <w:rtl/>
              </w:rPr>
              <w:t>סייג לתחולה</w:t>
            </w:r>
          </w:p>
        </w:tc>
        <w:tc>
          <w:tcPr>
            <w:tcW w:w="1247" w:type="dxa"/>
          </w:tcPr>
          <w:p w14:paraId="504476CE"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8 </w:t>
            </w:r>
          </w:p>
        </w:tc>
      </w:tr>
      <w:tr w:rsidR="001A4A9D" w14:paraId="0F64A442" w14:textId="77777777">
        <w:tblPrEx>
          <w:tblCellMar>
            <w:top w:w="0" w:type="dxa"/>
            <w:bottom w:w="0" w:type="dxa"/>
          </w:tblCellMar>
        </w:tblPrEx>
        <w:tc>
          <w:tcPr>
            <w:tcW w:w="850" w:type="dxa"/>
          </w:tcPr>
          <w:p w14:paraId="10517261" w14:textId="77777777" w:rsidR="001A4A9D" w:rsidRDefault="001A4A9D">
            <w:pPr>
              <w:spacing w:line="240" w:lineRule="auto"/>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sidR="00055620">
              <w:rPr>
                <w:rStyle w:val="default"/>
                <w:rFonts w:cs="FrankRuehl"/>
                <w:noProof/>
                <w:sz w:val="24"/>
                <w:szCs w:val="24"/>
                <w:rtl/>
              </w:rPr>
              <w:t>3</w:t>
            </w:r>
            <w:r>
              <w:rPr>
                <w:rStyle w:val="default"/>
                <w:rFonts w:cs="FrankRuehl"/>
                <w:sz w:val="24"/>
                <w:szCs w:val="24"/>
                <w:rtl/>
              </w:rPr>
              <w:fldChar w:fldCharType="end"/>
            </w:r>
          </w:p>
        </w:tc>
        <w:tc>
          <w:tcPr>
            <w:tcW w:w="567" w:type="dxa"/>
          </w:tcPr>
          <w:p w14:paraId="1F9DAC43" w14:textId="77777777" w:rsidR="001A4A9D" w:rsidRDefault="001A4A9D">
            <w:pPr>
              <w:spacing w:line="240" w:lineRule="auto"/>
              <w:rPr>
                <w:rStyle w:val="default"/>
                <w:rFonts w:cs="FrankRuehl" w:hint="cs"/>
                <w:sz w:val="24"/>
                <w:szCs w:val="24"/>
              </w:rPr>
            </w:pPr>
            <w:hyperlink w:anchor="Seif7" w:tooltip="תחילה ותחולה" w:history="1">
              <w:r>
                <w:rPr>
                  <w:rStyle w:val="Hyperlink"/>
                </w:rPr>
                <w:t>Go</w:t>
              </w:r>
            </w:hyperlink>
          </w:p>
        </w:tc>
        <w:tc>
          <w:tcPr>
            <w:tcW w:w="5669" w:type="dxa"/>
          </w:tcPr>
          <w:p w14:paraId="7EE64294" w14:textId="77777777" w:rsidR="001A4A9D" w:rsidRDefault="001A4A9D">
            <w:pPr>
              <w:spacing w:line="240" w:lineRule="auto"/>
              <w:rPr>
                <w:rStyle w:val="default"/>
                <w:rFonts w:cs="FrankRuehl"/>
                <w:sz w:val="24"/>
                <w:szCs w:val="24"/>
                <w:rtl/>
              </w:rPr>
            </w:pPr>
            <w:r>
              <w:rPr>
                <w:rStyle w:val="default"/>
                <w:rFonts w:cs="FrankRuehl"/>
                <w:sz w:val="24"/>
                <w:szCs w:val="24"/>
                <w:rtl/>
              </w:rPr>
              <w:t>תחילה ותחולה</w:t>
            </w:r>
          </w:p>
        </w:tc>
        <w:tc>
          <w:tcPr>
            <w:tcW w:w="1247" w:type="dxa"/>
          </w:tcPr>
          <w:p w14:paraId="62952977" w14:textId="77777777" w:rsidR="001A4A9D" w:rsidRDefault="001A4A9D">
            <w:pPr>
              <w:spacing w:line="240" w:lineRule="auto"/>
              <w:rPr>
                <w:rStyle w:val="default"/>
                <w:rFonts w:cs="FrankRuehl" w:hint="cs"/>
                <w:sz w:val="24"/>
                <w:szCs w:val="24"/>
              </w:rPr>
            </w:pPr>
            <w:r>
              <w:rPr>
                <w:rStyle w:val="default"/>
                <w:rFonts w:cs="FrankRuehl"/>
                <w:sz w:val="24"/>
                <w:szCs w:val="24"/>
                <w:rtl/>
              </w:rPr>
              <w:t xml:space="preserve">סעיף 9 </w:t>
            </w:r>
          </w:p>
        </w:tc>
      </w:tr>
    </w:tbl>
    <w:p w14:paraId="22FE2C47" w14:textId="77777777" w:rsidR="00055620" w:rsidRDefault="00055620" w:rsidP="00055620">
      <w:pPr>
        <w:pStyle w:val="big-header"/>
        <w:ind w:left="0" w:right="1134"/>
        <w:rPr>
          <w:rFonts w:hint="cs"/>
          <w:rtl/>
        </w:rPr>
      </w:pPr>
    </w:p>
    <w:p w14:paraId="0BF57165" w14:textId="77777777" w:rsidR="00055620" w:rsidRDefault="00055620" w:rsidP="002C27A2">
      <w:pPr>
        <w:pStyle w:val="big-header"/>
        <w:ind w:left="0" w:right="1134"/>
        <w:rPr>
          <w:rFonts w:hint="cs"/>
          <w:rtl/>
        </w:rPr>
      </w:pPr>
      <w:r>
        <w:rPr>
          <w:rtl/>
        </w:rPr>
        <w:br w:type="page"/>
      </w:r>
      <w:r>
        <w:rPr>
          <w:rFonts w:hint="cs"/>
          <w:rtl/>
        </w:rPr>
        <w:lastRenderedPageBreak/>
        <w:t>תקנות הפיקוח על עסקי ביטוח (תנאים בחוזי ביטוח) (הוראות לענין מצב רפואי קודם)</w:t>
      </w:r>
      <w:r>
        <w:rPr>
          <w:rtl/>
        </w:rPr>
        <w:t>, תשס"</w:t>
      </w:r>
      <w:r>
        <w:rPr>
          <w:rFonts w:hint="cs"/>
          <w:rtl/>
        </w:rPr>
        <w:t>ד</w:t>
      </w:r>
      <w:r>
        <w:rPr>
          <w:rtl/>
        </w:rPr>
        <w:t>-200</w:t>
      </w:r>
      <w:r>
        <w:rPr>
          <w:rFonts w:hint="cs"/>
          <w:rtl/>
        </w:rPr>
        <w:t>4</w:t>
      </w:r>
      <w:r>
        <w:rPr>
          <w:rStyle w:val="default"/>
          <w:sz w:val="22"/>
          <w:szCs w:val="22"/>
          <w:rtl/>
        </w:rPr>
        <w:footnoteReference w:customMarkFollows="1" w:id="1"/>
        <w:t>*</w:t>
      </w:r>
    </w:p>
    <w:p w14:paraId="620BDBBF" w14:textId="77777777" w:rsidR="001A4A9D" w:rsidRDefault="001A4A9D">
      <w:pPr>
        <w:pStyle w:val="P00"/>
        <w:spacing w:before="72"/>
        <w:ind w:left="0" w:right="1134"/>
        <w:rPr>
          <w:rStyle w:val="default"/>
          <w:rFonts w:cs="FrankRuehl"/>
          <w:rtl/>
        </w:rPr>
      </w:pPr>
      <w:r>
        <w:rPr>
          <w:rStyle w:val="default"/>
          <w:rFonts w:cs="FrankRuehl" w:hint="cs"/>
          <w:rtl/>
        </w:rPr>
        <w:tab/>
      </w:r>
      <w:r>
        <w:rPr>
          <w:rStyle w:val="default"/>
          <w:rFonts w:cs="FrankRuehl"/>
          <w:rtl/>
        </w:rPr>
        <w:t>ב</w:t>
      </w:r>
      <w:r>
        <w:rPr>
          <w:rStyle w:val="default"/>
          <w:rFonts w:cs="FrankRuehl" w:hint="cs"/>
          <w:rtl/>
        </w:rPr>
        <w:t>תוקף סמכותי לפי סעיפים 38 ו-112 לחוק הפיקוח על עסקי ביטוח, התשמ"א-1981, אני מתקין תקנות אלה:</w:t>
      </w:r>
    </w:p>
    <w:p w14:paraId="7BFA2718" w14:textId="77777777" w:rsidR="001A4A9D" w:rsidRDefault="001A4A9D">
      <w:pPr>
        <w:pStyle w:val="P00"/>
        <w:spacing w:before="72"/>
        <w:ind w:left="0" w:right="1134"/>
        <w:rPr>
          <w:rStyle w:val="default"/>
          <w:rFonts w:cs="FrankRuehl" w:hint="cs"/>
          <w:rtl/>
        </w:rPr>
      </w:pPr>
      <w:bookmarkStart w:id="0" w:name="Seif0"/>
      <w:bookmarkEnd w:id="0"/>
      <w:r>
        <w:rPr>
          <w:lang w:val="he-IL"/>
        </w:rPr>
        <w:pict w14:anchorId="08E3AF1D">
          <v:rect id="_x0000_s1026" style="position:absolute;left:0;text-align:left;margin-left:464.5pt;margin-top:8.05pt;width:75.05pt;height:10.2pt;z-index:251653632" o:allowincell="f" filled="f" stroked="f" strokecolor="lime" strokeweight=".25pt">
            <v:textbox inset="0,0,0,0">
              <w:txbxContent>
                <w:p w14:paraId="7EC5E567" w14:textId="77777777" w:rsidR="001A4A9D" w:rsidRDefault="001A4A9D">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46BAB576" w14:textId="77777777" w:rsidR="001A4A9D" w:rsidRDefault="001A4A9D">
      <w:pPr>
        <w:pStyle w:val="P00"/>
        <w:spacing w:before="72"/>
        <w:ind w:left="0" w:right="1134"/>
        <w:rPr>
          <w:rStyle w:val="default"/>
          <w:rFonts w:cs="FrankRuehl" w:hint="cs"/>
          <w:rtl/>
        </w:rPr>
      </w:pPr>
      <w:r>
        <w:rPr>
          <w:rStyle w:val="default"/>
          <w:rFonts w:cs="FrankRuehl" w:hint="cs"/>
          <w:rtl/>
        </w:rPr>
        <w:tab/>
        <w:t xml:space="preserve">"ביטוח נוסעים לחו"ל" </w:t>
      </w:r>
      <w:r>
        <w:rPr>
          <w:rStyle w:val="default"/>
          <w:rFonts w:cs="FrankRuehl"/>
          <w:rtl/>
        </w:rPr>
        <w:t>–</w:t>
      </w:r>
      <w:r>
        <w:rPr>
          <w:rStyle w:val="default"/>
          <w:rFonts w:cs="FrankRuehl" w:hint="cs"/>
          <w:rtl/>
        </w:rPr>
        <w:t xml:space="preserve"> ביטוח רפואי הנמכר לנוסעים לחוץ לארץ, שבו נכללות ההוראות המפורטות בתקנה 5 לתקנות הפיקוח על עסקי ביטוח (תנאים בחוזי ביטוח), התשמ"ב-1981;</w:t>
      </w:r>
    </w:p>
    <w:p w14:paraId="03D03F85" w14:textId="77777777" w:rsidR="001A4A9D" w:rsidRDefault="001A4A9D">
      <w:pPr>
        <w:pStyle w:val="P00"/>
        <w:spacing w:before="72"/>
        <w:ind w:left="0" w:right="1134"/>
        <w:rPr>
          <w:rStyle w:val="default"/>
          <w:rFonts w:cs="FrankRuehl" w:hint="cs"/>
          <w:rtl/>
        </w:rPr>
      </w:pPr>
      <w:r>
        <w:rPr>
          <w:rStyle w:val="default"/>
          <w:rFonts w:cs="FrankRuehl" w:hint="cs"/>
          <w:rtl/>
        </w:rPr>
        <w:tab/>
        <w:t xml:space="preserve">"ביטוח עובדים זרים" </w:t>
      </w:r>
      <w:r>
        <w:rPr>
          <w:rStyle w:val="default"/>
          <w:rFonts w:cs="FrankRuehl"/>
          <w:rtl/>
        </w:rPr>
        <w:t>–</w:t>
      </w:r>
      <w:r>
        <w:rPr>
          <w:rStyle w:val="default"/>
          <w:rFonts w:cs="FrankRuehl" w:hint="cs"/>
          <w:rtl/>
        </w:rPr>
        <w:t xml:space="preserve"> ביטוח רפואי לעובד זר, בהתאם לחוק עובדים זרים (איסור העסקה שלא כדין והבטחת תנאים הוגנים), התשנ"א-1991;</w:t>
      </w:r>
    </w:p>
    <w:p w14:paraId="67218803" w14:textId="77777777" w:rsidR="001A4A9D" w:rsidRDefault="001A4A9D">
      <w:pPr>
        <w:pStyle w:val="P00"/>
        <w:spacing w:before="72"/>
        <w:ind w:left="0" w:right="1134"/>
        <w:rPr>
          <w:rStyle w:val="default"/>
          <w:rFonts w:cs="FrankRuehl" w:hint="cs"/>
          <w:rtl/>
        </w:rPr>
      </w:pPr>
      <w:r>
        <w:rPr>
          <w:rStyle w:val="default"/>
          <w:rFonts w:cs="FrankRuehl" w:hint="cs"/>
          <w:rtl/>
        </w:rPr>
        <w:tab/>
        <w:t xml:space="preserve">"דף פרטי הביטוח" </w:t>
      </w:r>
      <w:r>
        <w:rPr>
          <w:rStyle w:val="default"/>
          <w:rFonts w:cs="FrankRuehl"/>
          <w:rtl/>
        </w:rPr>
        <w:t>–</w:t>
      </w:r>
      <w:r>
        <w:rPr>
          <w:rStyle w:val="default"/>
          <w:rFonts w:cs="FrankRuehl" w:hint="cs"/>
          <w:rtl/>
        </w:rPr>
        <w:t xml:space="preserve"> דף המצורף לפוליסת הביטוח, שכולל את הפרטים והתנאים הדרושים לשם התאמת פוליסת הביטוח לתנאי חוזה הביטוח של המבוטח;</w:t>
      </w:r>
    </w:p>
    <w:p w14:paraId="0C6BCBDC" w14:textId="77777777" w:rsidR="001A4A9D" w:rsidRDefault="001A4A9D">
      <w:pPr>
        <w:pStyle w:val="P00"/>
        <w:spacing w:before="72"/>
        <w:ind w:left="0" w:right="1134"/>
        <w:rPr>
          <w:rStyle w:val="default"/>
          <w:rFonts w:cs="FrankRuehl" w:hint="cs"/>
          <w:rtl/>
        </w:rPr>
      </w:pPr>
      <w:r>
        <w:rPr>
          <w:rStyle w:val="default"/>
          <w:rFonts w:cs="FrankRuehl" w:hint="cs"/>
          <w:rtl/>
        </w:rPr>
        <w:tab/>
        <w:t xml:space="preserve">"מצב רפואי קודם" </w:t>
      </w:r>
      <w:r>
        <w:rPr>
          <w:rStyle w:val="default"/>
          <w:rFonts w:cs="FrankRuehl"/>
          <w:rtl/>
        </w:rPr>
        <w:t>–</w:t>
      </w:r>
      <w:r>
        <w:rPr>
          <w:rStyle w:val="default"/>
          <w:rFonts w:cs="FrankRuehl" w:hint="cs"/>
          <w:rtl/>
        </w:rPr>
        <w:t xml:space="preserve"> מערכת נסיבות רפואיות שאובחנו במבוטח לפני מועד הצטרפותו לביטוח, לרבות בשל מחלה או תאונה; לענין זה, "אובחנו במבוטח" </w:t>
      </w:r>
      <w:r>
        <w:rPr>
          <w:rStyle w:val="default"/>
          <w:rFonts w:cs="FrankRuehl"/>
          <w:rtl/>
        </w:rPr>
        <w:t>–</w:t>
      </w:r>
      <w:r>
        <w:rPr>
          <w:rStyle w:val="default"/>
          <w:rFonts w:cs="FrankRuehl" w:hint="cs"/>
          <w:rtl/>
        </w:rPr>
        <w:t xml:space="preserve"> בדרך של אבחנה רפואית מתועדת, או בתהליך של אבחון רפואי מתועד שהתקיים בששת החודשים שקדמו למועד ההצטרפות לביטוח;</w:t>
      </w:r>
    </w:p>
    <w:p w14:paraId="1E787890" w14:textId="77777777" w:rsidR="001A4A9D" w:rsidRDefault="001A4A9D">
      <w:pPr>
        <w:pStyle w:val="P00"/>
        <w:spacing w:before="72"/>
        <w:ind w:left="0" w:right="1134"/>
        <w:rPr>
          <w:rStyle w:val="default"/>
          <w:rFonts w:cs="FrankRuehl" w:hint="cs"/>
          <w:rtl/>
        </w:rPr>
      </w:pPr>
      <w:r>
        <w:rPr>
          <w:rStyle w:val="default"/>
          <w:rFonts w:cs="FrankRuehl" w:hint="cs"/>
          <w:rtl/>
        </w:rPr>
        <w:tab/>
        <w:t xml:space="preserve">"סייג בשל מצב רפואי קודם" </w:t>
      </w:r>
      <w:r>
        <w:rPr>
          <w:rStyle w:val="default"/>
          <w:rFonts w:cs="FrankRuehl"/>
          <w:rtl/>
        </w:rPr>
        <w:t>–</w:t>
      </w:r>
      <w:r>
        <w:rPr>
          <w:rStyle w:val="default"/>
          <w:rFonts w:cs="FrankRuehl" w:hint="cs"/>
          <w:rtl/>
        </w:rPr>
        <w:t xml:space="preserve"> סייג כללי בחוזה ביטוח הפוטר את המבטח מחבותו, או המפחית את חבות המבטח או את היקף הכיסוי, בשל מקרה ביטוח אשר גורם ממשי לו היה מהלכו הרגיל של מצב רפואי קודם, ואשר אירע למבוטח בתקופה שבה חל הסייג.</w:t>
      </w:r>
    </w:p>
    <w:p w14:paraId="0EB5E44A" w14:textId="77777777" w:rsidR="001A4A9D" w:rsidRDefault="001A4A9D">
      <w:pPr>
        <w:pStyle w:val="P00"/>
        <w:spacing w:before="72"/>
        <w:ind w:left="0" w:right="1134"/>
        <w:rPr>
          <w:rStyle w:val="default"/>
          <w:rFonts w:cs="FrankRuehl" w:hint="cs"/>
          <w:rtl/>
        </w:rPr>
      </w:pPr>
      <w:bookmarkStart w:id="1" w:name="Seif1"/>
      <w:bookmarkEnd w:id="1"/>
      <w:r>
        <w:rPr>
          <w:lang w:val="he-IL"/>
        </w:rPr>
        <w:pict w14:anchorId="21C19C2A">
          <v:rect id="_x0000_s1029" style="position:absolute;left:0;text-align:left;margin-left:464.5pt;margin-top:8.05pt;width:75.05pt;height:27.25pt;z-index:251654656" o:allowincell="f" filled="f" stroked="f" strokecolor="lime" strokeweight=".25pt">
            <v:textbox inset="0,0,0,0">
              <w:txbxContent>
                <w:p w14:paraId="2BF75EFD" w14:textId="77777777" w:rsidR="001A4A9D" w:rsidRDefault="001A4A9D">
                  <w:pPr>
                    <w:spacing w:line="160" w:lineRule="exact"/>
                    <w:jc w:val="left"/>
                    <w:rPr>
                      <w:rFonts w:cs="Miriam" w:hint="cs"/>
                      <w:noProof/>
                      <w:szCs w:val="18"/>
                      <w:rtl/>
                    </w:rPr>
                  </w:pPr>
                  <w:r>
                    <w:rPr>
                      <w:rFonts w:cs="Miriam" w:hint="cs"/>
                      <w:szCs w:val="18"/>
                      <w:rtl/>
                    </w:rPr>
                    <w:t>תוקף סייג בשל מצב רפואי קודם</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סייג בשל מצב רפואי קודם, לענין מבוטח שגילו במועד תחילת תקופת הביטוח הוא </w:t>
      </w:r>
      <w:r>
        <w:rPr>
          <w:rStyle w:val="default"/>
          <w:rFonts w:cs="FrankRuehl"/>
          <w:rtl/>
        </w:rPr>
        <w:t>–</w:t>
      </w:r>
    </w:p>
    <w:p w14:paraId="7303924B" w14:textId="77777777" w:rsidR="001A4A9D" w:rsidRDefault="001A4A9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פחות מ-65 שנים </w:t>
      </w:r>
      <w:r>
        <w:rPr>
          <w:rStyle w:val="default"/>
          <w:rFonts w:cs="FrankRuehl"/>
          <w:rtl/>
        </w:rPr>
        <w:t>–</w:t>
      </w:r>
      <w:r>
        <w:rPr>
          <w:rStyle w:val="default"/>
          <w:rFonts w:cs="FrankRuehl" w:hint="cs"/>
          <w:rtl/>
        </w:rPr>
        <w:t xml:space="preserve"> יהיה תקף לתקופה שלא תעלה על שנה אחת מתחילת תקופת הביטוח;</w:t>
      </w:r>
    </w:p>
    <w:p w14:paraId="6B1035EA" w14:textId="77777777" w:rsidR="001A4A9D" w:rsidRDefault="001A4A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65 שנים או יותר </w:t>
      </w:r>
      <w:r>
        <w:rPr>
          <w:rStyle w:val="default"/>
          <w:rFonts w:cs="FrankRuehl"/>
          <w:rtl/>
        </w:rPr>
        <w:t>–</w:t>
      </w:r>
      <w:r>
        <w:rPr>
          <w:rStyle w:val="default"/>
          <w:rFonts w:cs="FrankRuehl" w:hint="cs"/>
          <w:rtl/>
        </w:rPr>
        <w:t xml:space="preserve"> יהיה תקף לתקופה שלא תעלה על חצי שנה מתחילת תקופת הביטוח.</w:t>
      </w:r>
    </w:p>
    <w:p w14:paraId="67F136C9" w14:textId="77777777" w:rsidR="001A4A9D" w:rsidRDefault="001A4A9D">
      <w:pPr>
        <w:pStyle w:val="P00"/>
        <w:spacing w:before="72"/>
        <w:ind w:left="0" w:right="1134"/>
        <w:rPr>
          <w:rStyle w:val="default"/>
          <w:rFonts w:cs="FrankRuehl" w:hint="cs"/>
          <w:rtl/>
        </w:rPr>
      </w:pPr>
      <w:bookmarkStart w:id="2" w:name="Seif2"/>
      <w:bookmarkEnd w:id="2"/>
      <w:r>
        <w:rPr>
          <w:lang w:val="he-IL"/>
        </w:rPr>
        <w:pict w14:anchorId="1B90CCAE">
          <v:rect id="_x0000_s1030" style="position:absolute;left:0;text-align:left;margin-left:464.5pt;margin-top:8.05pt;width:75.05pt;height:20.15pt;z-index:251655680" o:allowincell="f" filled="f" stroked="f" strokecolor="lime" strokeweight=".25pt">
            <v:textbox inset="0,0,0,0">
              <w:txbxContent>
                <w:p w14:paraId="4C7064D4" w14:textId="77777777" w:rsidR="001A4A9D" w:rsidRDefault="001A4A9D">
                  <w:pPr>
                    <w:pStyle w:val="a7"/>
                    <w:rPr>
                      <w:rFonts w:hint="cs"/>
                      <w:noProof/>
                      <w:rtl/>
                    </w:rPr>
                  </w:pPr>
                  <w:r>
                    <w:rPr>
                      <w:rFonts w:hint="cs"/>
                      <w:rtl/>
                    </w:rPr>
                    <w:t>סייג בשל מצב רפואי מסוים למבוטח מסוים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על אף האמור בתקנה 2, סייג לחבות המבטח או להיקף הכיסוי בשל מצב רפואי מסוים שפורט בדף פרטי הביטוח לגבי מבוטח מסוים, יהיה תקף לתקופה שצוינה בדף פרטי הביטוח לצד אותו מצב רפואי מסוים.</w:t>
      </w:r>
    </w:p>
    <w:p w14:paraId="2BCFA2B3" w14:textId="77777777" w:rsidR="001A4A9D" w:rsidRDefault="001A4A9D">
      <w:pPr>
        <w:pStyle w:val="P00"/>
        <w:spacing w:before="72"/>
        <w:ind w:left="0" w:right="1134"/>
        <w:rPr>
          <w:rStyle w:val="default"/>
          <w:rFonts w:cs="FrankRuehl" w:hint="cs"/>
          <w:rtl/>
        </w:rPr>
      </w:pPr>
      <w:bookmarkStart w:id="3" w:name="Seif3"/>
      <w:bookmarkEnd w:id="3"/>
      <w:r>
        <w:rPr>
          <w:lang w:val="he-IL"/>
        </w:rPr>
        <w:pict w14:anchorId="1D08E563">
          <v:rect id="_x0000_s1031" style="position:absolute;left:0;text-align:left;margin-left:464.5pt;margin-top:8.05pt;width:75.05pt;height:19.85pt;z-index:251656704" o:allowincell="f" filled="f" stroked="f" strokecolor="lime" strokeweight=".25pt">
            <v:textbox inset="0,0,0,0">
              <w:txbxContent>
                <w:p w14:paraId="33BE6F2C" w14:textId="77777777" w:rsidR="001A4A9D" w:rsidRDefault="001A4A9D">
                  <w:pPr>
                    <w:spacing w:line="160" w:lineRule="exact"/>
                    <w:jc w:val="left"/>
                    <w:rPr>
                      <w:rFonts w:cs="Miriam" w:hint="cs"/>
                      <w:noProof/>
                      <w:szCs w:val="18"/>
                      <w:rtl/>
                    </w:rPr>
                  </w:pPr>
                  <w:r>
                    <w:rPr>
                      <w:rFonts w:cs="Miriam" w:hint="cs"/>
                      <w:szCs w:val="18"/>
                      <w:rtl/>
                    </w:rPr>
                    <w:t>אי תחולת סייג בשל מצב רפואי קודם</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סייג בשל מצב רפואי קודם לא יהיה תקף אם המבוטח הודיע למבטח על מצב בריאותו הקודם, והמבטח לא סייג במפורש בדף פרטי הביטוח את המצב הרפואי המסוים הנזכר בהודעת המבוטח.</w:t>
      </w:r>
    </w:p>
    <w:p w14:paraId="57A17329" w14:textId="77777777" w:rsidR="001A4A9D" w:rsidRDefault="001A4A9D">
      <w:pPr>
        <w:pStyle w:val="P00"/>
        <w:spacing w:before="72"/>
        <w:ind w:left="0" w:right="1134"/>
        <w:rPr>
          <w:rStyle w:val="default"/>
          <w:rFonts w:cs="FrankRuehl" w:hint="cs"/>
          <w:rtl/>
        </w:rPr>
      </w:pPr>
      <w:bookmarkStart w:id="4" w:name="Seif4"/>
      <w:bookmarkEnd w:id="4"/>
      <w:r>
        <w:rPr>
          <w:lang w:val="he-IL"/>
        </w:rPr>
        <w:pict w14:anchorId="7954C6F3">
          <v:rect id="_x0000_s1032" style="position:absolute;left:0;text-align:left;margin-left:464.5pt;margin-top:8.05pt;width:75.05pt;height:10.2pt;z-index:251657728" o:allowincell="f" filled="f" stroked="f" strokecolor="lime" strokeweight=".25pt">
            <v:textbox inset="0,0,0,0">
              <w:txbxContent>
                <w:p w14:paraId="5B2D5ED6" w14:textId="77777777" w:rsidR="001A4A9D" w:rsidRDefault="001A4A9D">
                  <w:pPr>
                    <w:spacing w:line="160" w:lineRule="exact"/>
                    <w:jc w:val="left"/>
                    <w:rPr>
                      <w:rFonts w:cs="Miriam" w:hint="cs"/>
                      <w:noProof/>
                      <w:szCs w:val="18"/>
                      <w:rtl/>
                    </w:rPr>
                  </w:pPr>
                  <w:r>
                    <w:rPr>
                      <w:rFonts w:cs="Miriam" w:hint="cs"/>
                      <w:szCs w:val="18"/>
                      <w:rtl/>
                    </w:rPr>
                    <w:t>השבת דמי הביטוח</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פטור מבטח מחבותו בשל ההוראות המפורטות בתקנה 2 ונתבטל חוזה הביטוח, ומבטח סביר לא היה מתקשר באותו חוזה ביטוח, אף בדמי ביטוח גבוהים יותר, אילו ידע במועד כריתת חוזה הביטוח את מצבו הרפואי הקודם של המבוטח, יחזיר המבטח למבוטח את דמי הביטוח ששילם המבוטח בעד פרק הזמן עד ביטול חוזה הביטוח, בניכוי החלק היחסי של דמי הביטוח בעבור כיסוי ביטוחי שבשלו שולמו למבוטח תגמולי ביטוח; על דמי הביטוח ייווספו הפרשי הצמדה.</w:t>
      </w:r>
    </w:p>
    <w:p w14:paraId="67CBC655" w14:textId="77777777" w:rsidR="001A4A9D" w:rsidRDefault="001A4A9D">
      <w:pPr>
        <w:pStyle w:val="P00"/>
        <w:spacing w:before="72"/>
        <w:ind w:left="0" w:right="1134"/>
        <w:rPr>
          <w:rStyle w:val="default"/>
          <w:rFonts w:cs="FrankRuehl" w:hint="cs"/>
          <w:rtl/>
        </w:rPr>
      </w:pPr>
      <w:bookmarkStart w:id="5" w:name="Seif8"/>
      <w:bookmarkEnd w:id="5"/>
      <w:r>
        <w:rPr>
          <w:lang w:val="he-IL"/>
        </w:rPr>
        <w:pict w14:anchorId="44615D20">
          <v:rect id="_x0000_s1037" style="position:absolute;left:0;text-align:left;margin-left:464.5pt;margin-top:8.05pt;width:75.05pt;height:34.6pt;z-index:251661824" o:allowincell="f" filled="f" stroked="f" strokecolor="lime" strokeweight=".25pt">
            <v:textbox inset="0,0,0,0">
              <w:txbxContent>
                <w:p w14:paraId="51BCA825" w14:textId="77777777" w:rsidR="001A4A9D" w:rsidRDefault="001A4A9D">
                  <w:pPr>
                    <w:spacing w:line="160" w:lineRule="exact"/>
                    <w:jc w:val="left"/>
                    <w:rPr>
                      <w:rFonts w:cs="Miriam" w:hint="cs"/>
                      <w:noProof/>
                      <w:szCs w:val="18"/>
                      <w:rtl/>
                    </w:rPr>
                  </w:pPr>
                  <w:r>
                    <w:rPr>
                      <w:rFonts w:cs="Miriam" w:hint="cs"/>
                      <w:szCs w:val="18"/>
                      <w:rtl/>
                    </w:rPr>
                    <w:t>תוקפו של סייג בשל מצב רפואי קודם במקרה של החלפת חוזה ביטוח</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תוקפו של סייג בשל מצב רפואי קודם כאמור בתקנה 2 לא יוארך או יחודש בעת החלפת חוזה הביטוח בחוזה ביטוח דומה בכל אחד מהמקרים המפורטים להלן, אלא אם כן נקבע תוקפו של הסייג בשל מצב רפואי מסוים כאמור בתקנה 3 לכל תקופת הכיסוי הביטוחי:</w:t>
      </w:r>
    </w:p>
    <w:p w14:paraId="0F848DF0" w14:textId="77777777" w:rsidR="001A4A9D" w:rsidRDefault="001A4A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בחוזה ביטוח שנעשה ליחיד </w:t>
      </w:r>
      <w:r>
        <w:rPr>
          <w:rStyle w:val="default"/>
          <w:rFonts w:cs="FrankRuehl"/>
          <w:rtl/>
        </w:rPr>
        <w:t>–</w:t>
      </w:r>
      <w:r>
        <w:rPr>
          <w:rStyle w:val="default"/>
          <w:rFonts w:cs="FrankRuehl" w:hint="cs"/>
          <w:rtl/>
        </w:rPr>
        <w:t xml:space="preserve"> בעת החלפת החוזה אצל אותו מבטח;</w:t>
      </w:r>
    </w:p>
    <w:p w14:paraId="6B45E89B" w14:textId="77777777" w:rsidR="001A4A9D" w:rsidRDefault="001A4A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בחוזה ביטוח שנעשה לקבוצת מבוטחים </w:t>
      </w:r>
      <w:r>
        <w:rPr>
          <w:rStyle w:val="default"/>
          <w:rFonts w:cs="FrankRuehl"/>
          <w:rtl/>
        </w:rPr>
        <w:t>–</w:t>
      </w:r>
      <w:r>
        <w:rPr>
          <w:rStyle w:val="default"/>
          <w:rFonts w:cs="FrankRuehl" w:hint="cs"/>
          <w:rtl/>
        </w:rPr>
        <w:t xml:space="preserve"> בעת החלפת החוזה אצל אותו </w:t>
      </w:r>
      <w:r>
        <w:rPr>
          <w:rStyle w:val="default"/>
          <w:rFonts w:cs="FrankRuehl" w:hint="cs"/>
          <w:rtl/>
        </w:rPr>
        <w:lastRenderedPageBreak/>
        <w:t>מבטח או אצל מבטח אחר.</w:t>
      </w:r>
    </w:p>
    <w:p w14:paraId="73F979E4" w14:textId="77777777" w:rsidR="001A4A9D" w:rsidRDefault="001A4A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בתקנת משנה (א) לענין תוקפו של הסייג בשל מצב רפואי קודם, לא יחול לגבי כיסוי ביטוחי שהוסף או לגבי הרחבה של כיסוי ביטוחי, שנעשו בעת החלפת חוזה הביטוח כאמור באותה תקנת משנה.</w:t>
      </w:r>
    </w:p>
    <w:p w14:paraId="44C61C22" w14:textId="77777777" w:rsidR="001A4A9D" w:rsidRDefault="001A4A9D">
      <w:pPr>
        <w:pStyle w:val="P00"/>
        <w:spacing w:before="72"/>
        <w:ind w:left="0" w:right="1134"/>
        <w:rPr>
          <w:rStyle w:val="default"/>
          <w:rFonts w:cs="FrankRuehl" w:hint="cs"/>
          <w:rtl/>
        </w:rPr>
      </w:pPr>
      <w:bookmarkStart w:id="6" w:name="Seif5"/>
      <w:bookmarkEnd w:id="6"/>
      <w:r>
        <w:rPr>
          <w:lang w:val="he-IL"/>
        </w:rPr>
        <w:pict w14:anchorId="663E7069">
          <v:rect id="_x0000_s1033" style="position:absolute;left:0;text-align:left;margin-left:464.5pt;margin-top:8.05pt;width:75.05pt;height:17pt;z-index:251658752" o:allowincell="f" filled="f" stroked="f" strokecolor="lime" strokeweight=".25pt">
            <v:textbox inset="0,0,0,0">
              <w:txbxContent>
                <w:p w14:paraId="5C69B227" w14:textId="77777777" w:rsidR="001A4A9D" w:rsidRDefault="001A4A9D">
                  <w:pPr>
                    <w:spacing w:line="160" w:lineRule="exact"/>
                    <w:jc w:val="left"/>
                    <w:rPr>
                      <w:rFonts w:cs="Miriam" w:hint="cs"/>
                      <w:noProof/>
                      <w:szCs w:val="18"/>
                      <w:rtl/>
                    </w:rPr>
                  </w:pPr>
                  <w:r>
                    <w:rPr>
                      <w:rFonts w:cs="Miriam" w:hint="cs"/>
                      <w:szCs w:val="18"/>
                      <w:rtl/>
                    </w:rPr>
                    <w:t>שימוש במונחים בחוזה הביטוח</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בחוזה ביטוח הכולל סייג בשל מצב רפואי קודם ישמשו המונחים וההגדרות שבתקנות אלה.</w:t>
      </w:r>
    </w:p>
    <w:p w14:paraId="7F322B60" w14:textId="77777777" w:rsidR="001A4A9D" w:rsidRDefault="001A4A9D">
      <w:pPr>
        <w:pStyle w:val="P00"/>
        <w:spacing w:before="72"/>
        <w:ind w:left="0" w:right="1134"/>
        <w:rPr>
          <w:rStyle w:val="default"/>
          <w:rFonts w:cs="FrankRuehl" w:hint="cs"/>
          <w:rtl/>
        </w:rPr>
      </w:pPr>
      <w:bookmarkStart w:id="7" w:name="Seif6"/>
      <w:bookmarkEnd w:id="7"/>
      <w:r>
        <w:rPr>
          <w:lang w:val="he-IL"/>
        </w:rPr>
        <w:pict w14:anchorId="046B598B">
          <v:rect id="_x0000_s1034" style="position:absolute;left:0;text-align:left;margin-left:464.5pt;margin-top:8.05pt;width:75.05pt;height:10.85pt;z-index:251659776" o:allowincell="f" filled="f" stroked="f" strokecolor="lime" strokeweight=".25pt">
            <v:textbox inset="0,0,0,0">
              <w:txbxContent>
                <w:p w14:paraId="1F456C66" w14:textId="77777777" w:rsidR="001A4A9D" w:rsidRDefault="001A4A9D">
                  <w:pPr>
                    <w:spacing w:line="160" w:lineRule="exact"/>
                    <w:jc w:val="left"/>
                    <w:rPr>
                      <w:rFonts w:cs="Miriam" w:hint="cs"/>
                      <w:noProof/>
                      <w:szCs w:val="18"/>
                      <w:rtl/>
                    </w:rPr>
                  </w:pPr>
                  <w:r>
                    <w:rPr>
                      <w:rFonts w:cs="Miriam" w:hint="cs"/>
                      <w:szCs w:val="18"/>
                      <w:rtl/>
                    </w:rPr>
                    <w:t>סייג לתחולה</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תקנות אלה לא יחולו על חוזים לביטוח נוסעים לחו"ל ועל חוזים לביטוח עובדים זרים.</w:t>
      </w:r>
    </w:p>
    <w:p w14:paraId="42B6F8B6" w14:textId="77777777" w:rsidR="001A4A9D" w:rsidRDefault="001A4A9D">
      <w:pPr>
        <w:pStyle w:val="P00"/>
        <w:spacing w:before="72"/>
        <w:ind w:left="0" w:right="1134"/>
        <w:rPr>
          <w:rStyle w:val="default"/>
          <w:rFonts w:cs="FrankRuehl" w:hint="cs"/>
          <w:rtl/>
        </w:rPr>
      </w:pPr>
      <w:bookmarkStart w:id="8" w:name="Seif7"/>
      <w:bookmarkEnd w:id="8"/>
      <w:r>
        <w:rPr>
          <w:lang w:val="he-IL"/>
        </w:rPr>
        <w:pict w14:anchorId="2556E477">
          <v:rect id="_x0000_s1035" style="position:absolute;left:0;text-align:left;margin-left:464.5pt;margin-top:8.05pt;width:75.05pt;height:10.2pt;z-index:251660800" o:allowincell="f" filled="f" stroked="f" strokecolor="lime" strokeweight=".25pt">
            <v:textbox inset="0,0,0,0">
              <w:txbxContent>
                <w:p w14:paraId="7E5346AD" w14:textId="77777777" w:rsidR="001A4A9D" w:rsidRDefault="001A4A9D">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תקנות אלה יחולו על חוזי ביטוח שבהם נכלל סייג בשל מצב רפואי קודם, אשר ייכרתו החל ביום י"ב בתמוז התשס"ד (1 ביולי 2004), על חוזי ביטוח כאמור הכוללים כיסוי לביטוח סיעודי אשר ייכרתו החל ביום ח' באדר התשס"ד (1 במרס 2004), ועל חידוש חוזי ביטוח כאמור שנעשו לקבוצת מבוטחים החל במועדים האמורים, לפי הענין.</w:t>
      </w:r>
    </w:p>
    <w:p w14:paraId="00703B42" w14:textId="77777777" w:rsidR="001A4A9D" w:rsidRDefault="001A4A9D">
      <w:pPr>
        <w:pStyle w:val="P00"/>
        <w:spacing w:before="72"/>
        <w:ind w:left="0" w:right="1134"/>
        <w:rPr>
          <w:rStyle w:val="default"/>
          <w:rFonts w:cs="FrankRuehl" w:hint="cs"/>
          <w:rtl/>
        </w:rPr>
      </w:pPr>
    </w:p>
    <w:p w14:paraId="6C9DFDFC" w14:textId="77777777" w:rsidR="001A4A9D" w:rsidRDefault="001A4A9D">
      <w:pPr>
        <w:pStyle w:val="P00"/>
        <w:spacing w:before="72"/>
        <w:ind w:left="0" w:right="1134"/>
        <w:rPr>
          <w:rStyle w:val="default"/>
          <w:rFonts w:cs="FrankRuehl" w:hint="cs"/>
          <w:rtl/>
        </w:rPr>
      </w:pPr>
    </w:p>
    <w:p w14:paraId="0425906E" w14:textId="77777777" w:rsidR="001A4A9D" w:rsidRDefault="001A4A9D">
      <w:pPr>
        <w:pStyle w:val="sig-1"/>
        <w:ind w:left="0" w:right="1134"/>
        <w:rPr>
          <w:rStyle w:val="default"/>
          <w:rFonts w:cs="FrankRuehl" w:hint="cs"/>
          <w:rtl/>
        </w:rPr>
      </w:pPr>
      <w:r>
        <w:rPr>
          <w:rStyle w:val="default"/>
          <w:rFonts w:cs="FrankRuehl" w:hint="cs"/>
          <w:rtl/>
        </w:rPr>
        <w:t>כ"א בטבת התשס"ד (15 בינואר 2004)</w:t>
      </w:r>
      <w:r>
        <w:rPr>
          <w:rStyle w:val="default"/>
          <w:rFonts w:cs="FrankRuehl" w:hint="cs"/>
          <w:rtl/>
        </w:rPr>
        <w:tab/>
        <w:t>בנימין נתניהו</w:t>
      </w:r>
    </w:p>
    <w:p w14:paraId="30228FEC" w14:textId="77777777" w:rsidR="001A4A9D" w:rsidRDefault="001A4A9D">
      <w:pPr>
        <w:pStyle w:val="sig-1"/>
        <w:ind w:left="0" w:right="1134"/>
        <w:rPr>
          <w:rStyle w:val="default"/>
          <w:rFonts w:cs="FrankRuehl" w:hint="cs"/>
          <w:sz w:val="22"/>
          <w:szCs w:val="22"/>
          <w:rtl/>
        </w:rPr>
      </w:pPr>
      <w:r>
        <w:rPr>
          <w:rStyle w:val="default"/>
          <w:rFonts w:cs="FrankRuehl"/>
          <w:sz w:val="22"/>
          <w:szCs w:val="22"/>
          <w:rtl/>
        </w:rPr>
        <w:tab/>
      </w: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שר האוצר</w:t>
      </w:r>
    </w:p>
    <w:p w14:paraId="38F820E9" w14:textId="77777777" w:rsidR="00055620" w:rsidRPr="00055620" w:rsidRDefault="00055620" w:rsidP="00055620">
      <w:pPr>
        <w:pStyle w:val="P00"/>
        <w:spacing w:before="72"/>
        <w:ind w:left="0" w:right="1134"/>
        <w:rPr>
          <w:rStyle w:val="default"/>
          <w:rFonts w:cs="FrankRuehl" w:hint="cs"/>
          <w:rtl/>
        </w:rPr>
      </w:pPr>
    </w:p>
    <w:p w14:paraId="22134BC2" w14:textId="77777777" w:rsidR="00055620" w:rsidRPr="00055620" w:rsidRDefault="00055620" w:rsidP="00055620">
      <w:pPr>
        <w:pStyle w:val="P00"/>
        <w:spacing w:before="72"/>
        <w:ind w:left="0" w:right="1134"/>
        <w:rPr>
          <w:rStyle w:val="default"/>
          <w:rFonts w:cs="FrankRuehl"/>
          <w:rtl/>
        </w:rPr>
      </w:pPr>
    </w:p>
    <w:p w14:paraId="594E2565" w14:textId="77777777" w:rsidR="001A4A9D" w:rsidRPr="00055620" w:rsidRDefault="001A4A9D" w:rsidP="00055620">
      <w:pPr>
        <w:pStyle w:val="P00"/>
        <w:spacing w:before="72"/>
        <w:ind w:left="0" w:right="1134"/>
        <w:rPr>
          <w:rStyle w:val="default"/>
          <w:rFonts w:cs="FrankRuehl"/>
          <w:rtl/>
        </w:rPr>
      </w:pPr>
      <w:bookmarkStart w:id="9" w:name="LawPartEnd"/>
    </w:p>
    <w:bookmarkEnd w:id="9"/>
    <w:p w14:paraId="25FD7E51" w14:textId="77777777" w:rsidR="001A4A9D" w:rsidRPr="00055620" w:rsidRDefault="001A4A9D" w:rsidP="00055620">
      <w:pPr>
        <w:pStyle w:val="P00"/>
        <w:spacing w:before="72"/>
        <w:ind w:left="0" w:right="1134"/>
        <w:rPr>
          <w:rStyle w:val="default"/>
          <w:rFonts w:cs="FrankRuehl"/>
          <w:rtl/>
        </w:rPr>
      </w:pPr>
    </w:p>
    <w:sectPr w:rsidR="001A4A9D" w:rsidRPr="0005562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D862A" w14:textId="77777777" w:rsidR="00562804" w:rsidRDefault="00562804">
      <w:r>
        <w:separator/>
      </w:r>
    </w:p>
  </w:endnote>
  <w:endnote w:type="continuationSeparator" w:id="0">
    <w:p w14:paraId="67E0B137" w14:textId="77777777" w:rsidR="00562804" w:rsidRDefault="0056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C912" w14:textId="77777777" w:rsidR="001A4A9D" w:rsidRDefault="001A4A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90877C" w14:textId="77777777" w:rsidR="001A4A9D" w:rsidRDefault="001A4A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AA98FC" w14:textId="77777777" w:rsidR="001A4A9D" w:rsidRDefault="001A4A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5620">
      <w:rPr>
        <w:rFonts w:cs="TopType Jerushalmi"/>
        <w:noProof/>
        <w:color w:val="000000"/>
        <w:sz w:val="14"/>
        <w:szCs w:val="14"/>
      </w:rPr>
      <w:t>C:\Yael\hakika\Revadim\999_250.doc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3F78" w14:textId="77777777" w:rsidR="001A4A9D" w:rsidRDefault="001A4A9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3DCE">
      <w:rPr>
        <w:rFonts w:hAnsi="FrankRuehl" w:cs="FrankRuehl"/>
        <w:noProof/>
        <w:sz w:val="24"/>
        <w:szCs w:val="24"/>
        <w:rtl/>
      </w:rPr>
      <w:t>2</w:t>
    </w:r>
    <w:r>
      <w:rPr>
        <w:rFonts w:hAnsi="FrankRuehl" w:cs="FrankRuehl"/>
        <w:sz w:val="24"/>
        <w:szCs w:val="24"/>
        <w:rtl/>
      </w:rPr>
      <w:fldChar w:fldCharType="end"/>
    </w:r>
  </w:p>
  <w:p w14:paraId="4116CCF7" w14:textId="77777777" w:rsidR="001A4A9D" w:rsidRDefault="001A4A9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C1E890" w14:textId="77777777" w:rsidR="001A4A9D" w:rsidRDefault="001A4A9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55620">
      <w:rPr>
        <w:rFonts w:cs="TopType Jerushalmi"/>
        <w:noProof/>
        <w:color w:val="000000"/>
        <w:sz w:val="14"/>
        <w:szCs w:val="14"/>
      </w:rPr>
      <w:t>C:\Yael\hakika\Revadim\999_250.doc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8133" w14:textId="77777777" w:rsidR="00562804" w:rsidRDefault="00562804" w:rsidP="00055620">
      <w:pPr>
        <w:spacing w:before="60" w:line="240" w:lineRule="auto"/>
        <w:ind w:right="1134"/>
      </w:pPr>
      <w:r>
        <w:separator/>
      </w:r>
    </w:p>
  </w:footnote>
  <w:footnote w:type="continuationSeparator" w:id="0">
    <w:p w14:paraId="048C68BE" w14:textId="77777777" w:rsidR="00562804" w:rsidRDefault="00562804">
      <w:r>
        <w:continuationSeparator/>
      </w:r>
    </w:p>
  </w:footnote>
  <w:footnote w:id="1">
    <w:p w14:paraId="2D9C0D6D" w14:textId="77777777" w:rsidR="00055620" w:rsidRDefault="00055620" w:rsidP="000556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055DC6">
          <w:rPr>
            <w:rStyle w:val="Hyperlink"/>
            <w:rFonts w:hint="cs"/>
            <w:sz w:val="20"/>
            <w:rtl/>
          </w:rPr>
          <w:t>ק"ת תשס"ד מס' 6287</w:t>
        </w:r>
      </w:hyperlink>
      <w:r>
        <w:rPr>
          <w:rFonts w:hint="cs"/>
          <w:sz w:val="20"/>
          <w:rtl/>
        </w:rPr>
        <w:t xml:space="preserve"> מיום 25.1.2004 עמ' 170.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5BB1" w14:textId="77777777" w:rsidR="001A4A9D" w:rsidRDefault="001A4A9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7375CC9" w14:textId="77777777" w:rsidR="001A4A9D" w:rsidRDefault="001A4A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EF4970" w14:textId="77777777" w:rsidR="001A4A9D" w:rsidRDefault="001A4A9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C5A1" w14:textId="77777777" w:rsidR="001A4A9D" w:rsidRDefault="001A4A9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עסקי ביטוח (תנאים בחוזי ביטוח) (הוראות לענין מצב רפואי קודם)</w:t>
    </w:r>
    <w:r>
      <w:rPr>
        <w:rFonts w:hAnsi="FrankRuehl" w:cs="FrankRuehl"/>
        <w:color w:val="000000"/>
        <w:sz w:val="28"/>
        <w:szCs w:val="28"/>
        <w:rtl/>
      </w:rPr>
      <w:t>, תשס"</w:t>
    </w:r>
    <w:r>
      <w:rPr>
        <w:rFonts w:hAnsi="FrankRuehl" w:cs="FrankRuehl" w:hint="cs"/>
        <w:color w:val="000000"/>
        <w:sz w:val="28"/>
        <w:szCs w:val="28"/>
        <w:rtl/>
      </w:rPr>
      <w:t>ד-</w:t>
    </w:r>
    <w:r>
      <w:rPr>
        <w:rFonts w:hAnsi="FrankRuehl" w:cs="FrankRuehl"/>
        <w:color w:val="000000"/>
        <w:sz w:val="28"/>
        <w:szCs w:val="28"/>
        <w:rtl/>
      </w:rPr>
      <w:t>200</w:t>
    </w:r>
    <w:r>
      <w:rPr>
        <w:rFonts w:hAnsi="FrankRuehl" w:cs="FrankRuehl" w:hint="cs"/>
        <w:color w:val="000000"/>
        <w:sz w:val="28"/>
        <w:szCs w:val="28"/>
        <w:rtl/>
      </w:rPr>
      <w:t>4</w:t>
    </w:r>
  </w:p>
  <w:p w14:paraId="70DF69AF" w14:textId="77777777" w:rsidR="001A4A9D" w:rsidRDefault="001A4A9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E64141" w14:textId="77777777" w:rsidR="001A4A9D" w:rsidRDefault="001A4A9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DC6"/>
    <w:rsid w:val="00055620"/>
    <w:rsid w:val="00055DC6"/>
    <w:rsid w:val="001A4A9D"/>
    <w:rsid w:val="002C27A2"/>
    <w:rsid w:val="003632A2"/>
    <w:rsid w:val="00562804"/>
    <w:rsid w:val="005A3DCE"/>
    <w:rsid w:val="008B6DEA"/>
    <w:rsid w:val="00AB31C1"/>
    <w:rsid w:val="00FF06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0077BA5"/>
  <w15:chartTrackingRefBased/>
  <w15:docId w15:val="{5FDAAD81-94E1-47A6-BB19-2922EA82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4339</CharactersWithSpaces>
  <SharedDoc>false</SharedDoc>
  <HLinks>
    <vt:vector size="60" baseType="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Seif8</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7798797</vt:i4>
      </vt:variant>
      <vt:variant>
        <vt:i4>0</vt:i4>
      </vt:variant>
      <vt:variant>
        <vt:i4>0</vt:i4>
      </vt:variant>
      <vt:variant>
        <vt:i4>5</vt:i4>
      </vt:variant>
      <vt:variant>
        <vt:lpwstr>http://www.nevo.co.il/Law_word/law06/TAK-6287.pdf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ביטוח</vt:lpwstr>
  </property>
  <property fmtid="{D5CDD505-2E9C-101B-9397-08002B2CF9AE}" pid="4" name="LAWNAME">
    <vt:lpwstr>תקנות הפיקוח על עסקי ביטוח (תנאים בחוזי ביטוח) (הוראות לענין מצב רפואי קודם), תשס"ד-2004</vt:lpwstr>
  </property>
  <property fmtid="{D5CDD505-2E9C-101B-9397-08002B2CF9AE}" pid="5" name="LAWNUMBER">
    <vt:lpwstr>0250</vt:lpwstr>
  </property>
  <property fmtid="{D5CDD505-2E9C-101B-9397-08002B2CF9AE}" pid="6" name="TYPE">
    <vt:lpwstr>01</vt:lpwstr>
  </property>
  <property fmtid="{D5CDD505-2E9C-101B-9397-08002B2CF9AE}" pid="7" name="NOSE11">
    <vt:lpwstr>ביטוח</vt:lpwstr>
  </property>
  <property fmtid="{D5CDD505-2E9C-101B-9397-08002B2CF9AE}" pid="8" name="NOSE21">
    <vt:lpwstr>עסקי ביטוח</vt:lpwstr>
  </property>
  <property fmtid="{D5CDD505-2E9C-101B-9397-08002B2CF9AE}" pid="9" name="NOSE31">
    <vt:lpwstr>חוזה ודמי ביטוח</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הפיקוח על עסקי ביטוח</vt:lpwstr>
  </property>
  <property fmtid="{D5CDD505-2E9C-101B-9397-08002B2CF9AE}" pid="48" name="MEKOR_SAIF1">
    <vt:lpwstr>38X;112X</vt:lpwstr>
  </property>
</Properties>
</file>