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5819" w14:textId="77777777" w:rsidR="00D25D5C" w:rsidRDefault="00A709D0" w:rsidP="004608D4">
      <w:pPr>
        <w:pStyle w:val="big-header"/>
        <w:ind w:left="0" w:right="1134"/>
        <w:rPr>
          <w:rFonts w:cs="FrankRuehl" w:hint="cs"/>
          <w:sz w:val="32"/>
          <w:rtl/>
        </w:rPr>
      </w:pPr>
      <w:r>
        <w:rPr>
          <w:rFonts w:cs="FrankRuehl" w:hint="cs"/>
          <w:sz w:val="32"/>
          <w:rtl/>
        </w:rPr>
        <w:t>תקנות</w:t>
      </w:r>
      <w:r w:rsidR="004608D4">
        <w:rPr>
          <w:rFonts w:cs="FrankRuehl" w:hint="cs"/>
          <w:sz w:val="32"/>
          <w:rtl/>
        </w:rPr>
        <w:t xml:space="preserve"> הפיקוח על שירותים פיננסיים (ביטוח) (דמי עמילות מרביים בביטוח מבנה אגב הלוואה לדיור</w:t>
      </w:r>
      <w:r w:rsidR="005F58B7">
        <w:rPr>
          <w:rFonts w:cs="FrankRuehl" w:hint="cs"/>
          <w:sz w:val="32"/>
          <w:rtl/>
        </w:rPr>
        <w:t>), תשע"</w:t>
      </w:r>
      <w:r w:rsidR="004608D4">
        <w:rPr>
          <w:rFonts w:cs="FrankRuehl" w:hint="cs"/>
          <w:sz w:val="32"/>
          <w:rtl/>
        </w:rPr>
        <w:t>ג</w:t>
      </w:r>
      <w:r w:rsidR="005F58B7">
        <w:rPr>
          <w:rFonts w:cs="FrankRuehl" w:hint="cs"/>
          <w:sz w:val="32"/>
          <w:rtl/>
        </w:rPr>
        <w:t>-2012</w:t>
      </w:r>
    </w:p>
    <w:p w14:paraId="13FF5F8C" w14:textId="77777777" w:rsidR="008E71C1" w:rsidRPr="008E71C1" w:rsidRDefault="008E71C1" w:rsidP="008E71C1">
      <w:pPr>
        <w:spacing w:line="320" w:lineRule="auto"/>
        <w:rPr>
          <w:rFonts w:cs="FrankRuehl"/>
          <w:szCs w:val="26"/>
          <w:rtl/>
        </w:rPr>
      </w:pPr>
    </w:p>
    <w:p w14:paraId="470134A2" w14:textId="77777777" w:rsidR="008E71C1" w:rsidRDefault="008E71C1" w:rsidP="008E71C1">
      <w:pPr>
        <w:spacing w:line="320" w:lineRule="auto"/>
        <w:rPr>
          <w:rtl/>
        </w:rPr>
      </w:pPr>
    </w:p>
    <w:p w14:paraId="144D07BA" w14:textId="77777777" w:rsidR="008E71C1" w:rsidRDefault="008E71C1" w:rsidP="008E71C1">
      <w:pPr>
        <w:spacing w:line="320" w:lineRule="auto"/>
        <w:rPr>
          <w:rFonts w:cs="Miriam"/>
          <w:szCs w:val="22"/>
          <w:rtl/>
        </w:rPr>
      </w:pPr>
      <w:r w:rsidRPr="008E71C1">
        <w:rPr>
          <w:rFonts w:cs="Miriam"/>
          <w:szCs w:val="22"/>
          <w:rtl/>
        </w:rPr>
        <w:t>ביטוח</w:t>
      </w:r>
      <w:r w:rsidRPr="008E71C1">
        <w:rPr>
          <w:rFonts w:cs="FrankRuehl"/>
          <w:szCs w:val="26"/>
          <w:rtl/>
        </w:rPr>
        <w:t xml:space="preserve"> – עסקי ביטוח – סוכן ביטוח</w:t>
      </w:r>
    </w:p>
    <w:p w14:paraId="6A2E36B2" w14:textId="77777777" w:rsidR="008E71C1" w:rsidRDefault="008E71C1" w:rsidP="008E71C1">
      <w:pPr>
        <w:spacing w:line="320" w:lineRule="auto"/>
        <w:rPr>
          <w:rFonts w:cs="Miriam"/>
          <w:szCs w:val="22"/>
          <w:rtl/>
        </w:rPr>
      </w:pPr>
      <w:r w:rsidRPr="008E71C1">
        <w:rPr>
          <w:rFonts w:cs="Miriam"/>
          <w:szCs w:val="22"/>
          <w:rtl/>
        </w:rPr>
        <w:t>ביטוח</w:t>
      </w:r>
      <w:r w:rsidRPr="008E71C1">
        <w:rPr>
          <w:rFonts w:cs="FrankRuehl"/>
          <w:szCs w:val="26"/>
          <w:rtl/>
        </w:rPr>
        <w:t xml:space="preserve"> – עסקי ביטוח – שירותים פיננסיים</w:t>
      </w:r>
    </w:p>
    <w:p w14:paraId="09F5397D" w14:textId="77777777" w:rsidR="004608D4" w:rsidRPr="008E71C1" w:rsidRDefault="008E71C1" w:rsidP="008E71C1">
      <w:pPr>
        <w:spacing w:line="320" w:lineRule="auto"/>
        <w:rPr>
          <w:rFonts w:cs="Miriam" w:hint="cs"/>
          <w:szCs w:val="22"/>
          <w:rtl/>
        </w:rPr>
      </w:pPr>
      <w:r w:rsidRPr="008E71C1">
        <w:rPr>
          <w:rFonts w:cs="Miriam"/>
          <w:szCs w:val="22"/>
          <w:rtl/>
        </w:rPr>
        <w:t>משפט פרטי וכלכלה</w:t>
      </w:r>
      <w:r w:rsidRPr="008E71C1">
        <w:rPr>
          <w:rFonts w:cs="FrankRuehl"/>
          <w:szCs w:val="26"/>
          <w:rtl/>
        </w:rPr>
        <w:t xml:space="preserve"> – כספים – שירותים פיננסיים – ביטוח</w:t>
      </w:r>
    </w:p>
    <w:p w14:paraId="1FAB1654"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0BAD" w:rsidRPr="00730BAD" w14:paraId="35DB604E" w14:textId="77777777">
        <w:tblPrEx>
          <w:tblCellMar>
            <w:top w:w="0" w:type="dxa"/>
            <w:bottom w:w="0" w:type="dxa"/>
          </w:tblCellMar>
        </w:tblPrEx>
        <w:tc>
          <w:tcPr>
            <w:tcW w:w="1247" w:type="dxa"/>
          </w:tcPr>
          <w:p w14:paraId="0184448C" w14:textId="77777777" w:rsidR="00730BAD" w:rsidRPr="00730BAD" w:rsidRDefault="00730BAD" w:rsidP="00730BAD">
            <w:pPr>
              <w:rPr>
                <w:rFonts w:cs="Frankruhel"/>
                <w:rtl/>
              </w:rPr>
            </w:pPr>
            <w:r>
              <w:rPr>
                <w:rtl/>
              </w:rPr>
              <w:t xml:space="preserve">סעיף 1 </w:t>
            </w:r>
          </w:p>
        </w:tc>
        <w:tc>
          <w:tcPr>
            <w:tcW w:w="5669" w:type="dxa"/>
          </w:tcPr>
          <w:p w14:paraId="4A4672E5" w14:textId="77777777" w:rsidR="00730BAD" w:rsidRPr="00730BAD" w:rsidRDefault="00730BAD" w:rsidP="00730BAD">
            <w:pPr>
              <w:rPr>
                <w:rFonts w:cs="Frankruhel"/>
                <w:rtl/>
              </w:rPr>
            </w:pPr>
            <w:r>
              <w:rPr>
                <w:rtl/>
              </w:rPr>
              <w:t>דמי עמילות מרביים</w:t>
            </w:r>
          </w:p>
        </w:tc>
        <w:tc>
          <w:tcPr>
            <w:tcW w:w="567" w:type="dxa"/>
          </w:tcPr>
          <w:p w14:paraId="0BB29256" w14:textId="77777777" w:rsidR="00730BAD" w:rsidRPr="00730BAD" w:rsidRDefault="00730BAD" w:rsidP="00730BAD">
            <w:pPr>
              <w:rPr>
                <w:rStyle w:val="Hyperlink"/>
                <w:rtl/>
              </w:rPr>
            </w:pPr>
            <w:hyperlink w:anchor="Seif1" w:tooltip="דמי עמילות מרביים" w:history="1">
              <w:r w:rsidRPr="00730BAD">
                <w:rPr>
                  <w:rStyle w:val="Hyperlink"/>
                </w:rPr>
                <w:t>Go</w:t>
              </w:r>
            </w:hyperlink>
          </w:p>
        </w:tc>
        <w:tc>
          <w:tcPr>
            <w:tcW w:w="850" w:type="dxa"/>
          </w:tcPr>
          <w:p w14:paraId="5CA4B5B2" w14:textId="77777777" w:rsidR="00730BAD" w:rsidRPr="00730BAD" w:rsidRDefault="00730BAD" w:rsidP="00730BA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30BAD" w:rsidRPr="00730BAD" w14:paraId="38C94569" w14:textId="77777777">
        <w:tblPrEx>
          <w:tblCellMar>
            <w:top w:w="0" w:type="dxa"/>
            <w:bottom w:w="0" w:type="dxa"/>
          </w:tblCellMar>
        </w:tblPrEx>
        <w:tc>
          <w:tcPr>
            <w:tcW w:w="1247" w:type="dxa"/>
          </w:tcPr>
          <w:p w14:paraId="3C0A66BB" w14:textId="77777777" w:rsidR="00730BAD" w:rsidRPr="00730BAD" w:rsidRDefault="00730BAD" w:rsidP="00730BAD">
            <w:pPr>
              <w:rPr>
                <w:rFonts w:cs="Frankruhel"/>
                <w:rtl/>
              </w:rPr>
            </w:pPr>
            <w:r>
              <w:rPr>
                <w:rtl/>
              </w:rPr>
              <w:t xml:space="preserve">סעיף 2 </w:t>
            </w:r>
          </w:p>
        </w:tc>
        <w:tc>
          <w:tcPr>
            <w:tcW w:w="5669" w:type="dxa"/>
          </w:tcPr>
          <w:p w14:paraId="7613D7F7" w14:textId="77777777" w:rsidR="00730BAD" w:rsidRPr="00730BAD" w:rsidRDefault="00730BAD" w:rsidP="00730BAD">
            <w:pPr>
              <w:rPr>
                <w:rFonts w:cs="Frankruhel"/>
                <w:rtl/>
              </w:rPr>
            </w:pPr>
            <w:r>
              <w:rPr>
                <w:rtl/>
              </w:rPr>
              <w:t>תחילה</w:t>
            </w:r>
          </w:p>
        </w:tc>
        <w:tc>
          <w:tcPr>
            <w:tcW w:w="567" w:type="dxa"/>
          </w:tcPr>
          <w:p w14:paraId="72511C3C" w14:textId="77777777" w:rsidR="00730BAD" w:rsidRPr="00730BAD" w:rsidRDefault="00730BAD" w:rsidP="00730BAD">
            <w:pPr>
              <w:rPr>
                <w:rStyle w:val="Hyperlink"/>
                <w:rtl/>
              </w:rPr>
            </w:pPr>
            <w:hyperlink w:anchor="Seif2" w:tooltip="תחילה" w:history="1">
              <w:r w:rsidRPr="00730BAD">
                <w:rPr>
                  <w:rStyle w:val="Hyperlink"/>
                </w:rPr>
                <w:t>Go</w:t>
              </w:r>
            </w:hyperlink>
          </w:p>
        </w:tc>
        <w:tc>
          <w:tcPr>
            <w:tcW w:w="850" w:type="dxa"/>
          </w:tcPr>
          <w:p w14:paraId="2CB50D3A" w14:textId="77777777" w:rsidR="00730BAD" w:rsidRPr="00730BAD" w:rsidRDefault="00730BAD" w:rsidP="00730BA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30BAD" w:rsidRPr="00730BAD" w14:paraId="36EA29D7" w14:textId="77777777">
        <w:tblPrEx>
          <w:tblCellMar>
            <w:top w:w="0" w:type="dxa"/>
            <w:bottom w:w="0" w:type="dxa"/>
          </w:tblCellMar>
        </w:tblPrEx>
        <w:tc>
          <w:tcPr>
            <w:tcW w:w="1247" w:type="dxa"/>
          </w:tcPr>
          <w:p w14:paraId="1C7890BB" w14:textId="77777777" w:rsidR="00730BAD" w:rsidRPr="00730BAD" w:rsidRDefault="00730BAD" w:rsidP="00730BAD">
            <w:pPr>
              <w:rPr>
                <w:rFonts w:cs="Frankruhel"/>
                <w:rtl/>
              </w:rPr>
            </w:pPr>
            <w:r>
              <w:rPr>
                <w:rtl/>
              </w:rPr>
              <w:t xml:space="preserve">סעיף 3 </w:t>
            </w:r>
          </w:p>
        </w:tc>
        <w:tc>
          <w:tcPr>
            <w:tcW w:w="5669" w:type="dxa"/>
          </w:tcPr>
          <w:p w14:paraId="585529A1" w14:textId="77777777" w:rsidR="00730BAD" w:rsidRPr="00730BAD" w:rsidRDefault="00730BAD" w:rsidP="00730BAD">
            <w:pPr>
              <w:rPr>
                <w:rFonts w:cs="Frankruhel"/>
                <w:rtl/>
              </w:rPr>
            </w:pPr>
            <w:r>
              <w:rPr>
                <w:rtl/>
              </w:rPr>
              <w:t>תחולה</w:t>
            </w:r>
          </w:p>
        </w:tc>
        <w:tc>
          <w:tcPr>
            <w:tcW w:w="567" w:type="dxa"/>
          </w:tcPr>
          <w:p w14:paraId="562ADB35" w14:textId="77777777" w:rsidR="00730BAD" w:rsidRPr="00730BAD" w:rsidRDefault="00730BAD" w:rsidP="00730BAD">
            <w:pPr>
              <w:rPr>
                <w:rStyle w:val="Hyperlink"/>
                <w:rtl/>
              </w:rPr>
            </w:pPr>
            <w:hyperlink w:anchor="Seif3" w:tooltip="תחולה" w:history="1">
              <w:r w:rsidRPr="00730BAD">
                <w:rPr>
                  <w:rStyle w:val="Hyperlink"/>
                </w:rPr>
                <w:t>Go</w:t>
              </w:r>
            </w:hyperlink>
          </w:p>
        </w:tc>
        <w:tc>
          <w:tcPr>
            <w:tcW w:w="850" w:type="dxa"/>
          </w:tcPr>
          <w:p w14:paraId="4528524D" w14:textId="77777777" w:rsidR="00730BAD" w:rsidRPr="00730BAD" w:rsidRDefault="00730BAD" w:rsidP="00730BA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30BAD" w:rsidRPr="00730BAD" w14:paraId="24014487" w14:textId="77777777">
        <w:tblPrEx>
          <w:tblCellMar>
            <w:top w:w="0" w:type="dxa"/>
            <w:bottom w:w="0" w:type="dxa"/>
          </w:tblCellMar>
        </w:tblPrEx>
        <w:tc>
          <w:tcPr>
            <w:tcW w:w="1247" w:type="dxa"/>
          </w:tcPr>
          <w:p w14:paraId="5053FD17" w14:textId="77777777" w:rsidR="00730BAD" w:rsidRPr="00730BAD" w:rsidRDefault="00730BAD" w:rsidP="00730BAD">
            <w:pPr>
              <w:rPr>
                <w:rFonts w:cs="Frankruhel"/>
                <w:rtl/>
              </w:rPr>
            </w:pPr>
            <w:r>
              <w:rPr>
                <w:rtl/>
              </w:rPr>
              <w:t xml:space="preserve">סעיף 4 </w:t>
            </w:r>
          </w:p>
        </w:tc>
        <w:tc>
          <w:tcPr>
            <w:tcW w:w="5669" w:type="dxa"/>
          </w:tcPr>
          <w:p w14:paraId="412128FB" w14:textId="77777777" w:rsidR="00730BAD" w:rsidRPr="00730BAD" w:rsidRDefault="00730BAD" w:rsidP="00730BAD">
            <w:pPr>
              <w:rPr>
                <w:rFonts w:cs="Frankruhel"/>
                <w:rtl/>
              </w:rPr>
            </w:pPr>
            <w:r>
              <w:rPr>
                <w:rtl/>
              </w:rPr>
              <w:t>הוראת שעה</w:t>
            </w:r>
          </w:p>
        </w:tc>
        <w:tc>
          <w:tcPr>
            <w:tcW w:w="567" w:type="dxa"/>
          </w:tcPr>
          <w:p w14:paraId="302E05EB" w14:textId="77777777" w:rsidR="00730BAD" w:rsidRPr="00730BAD" w:rsidRDefault="00730BAD" w:rsidP="00730BAD">
            <w:pPr>
              <w:rPr>
                <w:rStyle w:val="Hyperlink"/>
                <w:rtl/>
              </w:rPr>
            </w:pPr>
            <w:hyperlink w:anchor="Seif4" w:tooltip="הוראת שעה" w:history="1">
              <w:r w:rsidRPr="00730BAD">
                <w:rPr>
                  <w:rStyle w:val="Hyperlink"/>
                </w:rPr>
                <w:t>Go</w:t>
              </w:r>
            </w:hyperlink>
          </w:p>
        </w:tc>
        <w:tc>
          <w:tcPr>
            <w:tcW w:w="850" w:type="dxa"/>
          </w:tcPr>
          <w:p w14:paraId="70A5CEF3" w14:textId="77777777" w:rsidR="00730BAD" w:rsidRPr="00730BAD" w:rsidRDefault="00730BAD" w:rsidP="00730BA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FAEB972" w14:textId="77777777" w:rsidR="00D25D5C" w:rsidRDefault="00D25D5C" w:rsidP="008E71C1">
      <w:pPr>
        <w:pStyle w:val="big-header"/>
        <w:ind w:left="0" w:right="1134"/>
        <w:rPr>
          <w:rStyle w:val="default"/>
          <w:rFonts w:hint="cs"/>
          <w:sz w:val="22"/>
          <w:szCs w:val="22"/>
          <w:rtl/>
        </w:rPr>
      </w:pPr>
      <w:r>
        <w:rPr>
          <w:rFonts w:cs="FrankRuehl"/>
          <w:sz w:val="32"/>
          <w:rtl/>
        </w:rPr>
        <w:br w:type="page"/>
      </w:r>
      <w:r w:rsidR="008E71C1">
        <w:rPr>
          <w:rFonts w:cs="FrankRuehl" w:hint="cs"/>
          <w:sz w:val="32"/>
          <w:rtl/>
        </w:rPr>
        <w:lastRenderedPageBreak/>
        <w:t>תקנות הפיקוח על שירותים פיננסיים (ביטוח) (דמי עמילות מרביים בביטוח מבנה אגב הלוואה לדיור), תשע"ג-2012</w:t>
      </w:r>
      <w:r>
        <w:rPr>
          <w:rStyle w:val="default"/>
          <w:sz w:val="22"/>
          <w:szCs w:val="22"/>
          <w:rtl/>
        </w:rPr>
        <w:footnoteReference w:customMarkFollows="1" w:id="1"/>
        <w:t>*</w:t>
      </w:r>
    </w:p>
    <w:p w14:paraId="4D0D326A" w14:textId="77777777" w:rsidR="008C2526" w:rsidRDefault="008C2526" w:rsidP="008E71C1">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8E71C1">
        <w:rPr>
          <w:rStyle w:val="default"/>
          <w:rFonts w:cs="FrankRuehl" w:hint="cs"/>
          <w:rtl/>
        </w:rPr>
        <w:t>סעיפים</w:t>
      </w:r>
      <w:r w:rsidR="005D1805">
        <w:rPr>
          <w:rStyle w:val="default"/>
          <w:rFonts w:cs="FrankRuehl" w:hint="cs"/>
          <w:rtl/>
        </w:rPr>
        <w:t xml:space="preserve"> </w:t>
      </w:r>
      <w:r w:rsidR="008E71C1">
        <w:rPr>
          <w:rStyle w:val="default"/>
          <w:rFonts w:cs="FrankRuehl" w:hint="cs"/>
          <w:rtl/>
        </w:rPr>
        <w:t>41(ד) ו-112 לחוק הפיקוח על שירותים פיננסיים (ביטוח), התשמ"א-1981, בהתייעצות עם הוועדה המייעצת</w:t>
      </w:r>
      <w:r w:rsidR="00A709D0">
        <w:rPr>
          <w:rStyle w:val="default"/>
          <w:rFonts w:cs="FrankRuehl" w:hint="cs"/>
          <w:rtl/>
        </w:rPr>
        <w:t>, אני מתקין תקנות אלה</w:t>
      </w:r>
      <w:r>
        <w:rPr>
          <w:rStyle w:val="default"/>
          <w:rFonts w:cs="FrankRuehl" w:hint="cs"/>
          <w:rtl/>
        </w:rPr>
        <w:t>:</w:t>
      </w:r>
    </w:p>
    <w:p w14:paraId="0E53EAD9" w14:textId="77777777" w:rsidR="009E096B" w:rsidRDefault="00D25D5C" w:rsidP="008E71C1">
      <w:pPr>
        <w:pStyle w:val="P00"/>
        <w:spacing w:before="72"/>
        <w:ind w:left="0" w:right="1134"/>
        <w:rPr>
          <w:rStyle w:val="default"/>
          <w:rFonts w:cs="FrankRuehl" w:hint="cs"/>
          <w:rtl/>
        </w:rPr>
      </w:pPr>
      <w:bookmarkStart w:id="0" w:name="Seif1"/>
      <w:bookmarkEnd w:id="0"/>
      <w:r>
        <w:rPr>
          <w:rFonts w:cs="Miriam"/>
          <w:lang w:val="he-IL"/>
        </w:rPr>
        <w:pict w14:anchorId="3545EC9B">
          <v:rect id="_x0000_s1026" style="position:absolute;left:0;text-align:left;margin-left:464.5pt;margin-top:8.05pt;width:75.05pt;height:9.75pt;z-index:251656192" o:allowincell="f" filled="f" stroked="f" strokecolor="lime" strokeweight=".25pt">
            <v:textbox inset="0,0,0,0">
              <w:txbxContent>
                <w:p w14:paraId="7D11B104" w14:textId="77777777" w:rsidR="008644B3" w:rsidRDefault="008E71C1">
                  <w:pPr>
                    <w:spacing w:line="160" w:lineRule="exact"/>
                    <w:rPr>
                      <w:rFonts w:cs="Miriam" w:hint="cs"/>
                      <w:noProof/>
                      <w:sz w:val="18"/>
                      <w:szCs w:val="18"/>
                      <w:rtl/>
                    </w:rPr>
                  </w:pPr>
                  <w:r>
                    <w:rPr>
                      <w:rFonts w:cs="Miriam" w:hint="cs"/>
                      <w:sz w:val="18"/>
                      <w:szCs w:val="18"/>
                      <w:rtl/>
                    </w:rPr>
                    <w:t>דמי עמילות מרביים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71C1">
        <w:rPr>
          <w:rStyle w:val="default"/>
          <w:rFonts w:cs="FrankRuehl" w:hint="cs"/>
          <w:rtl/>
        </w:rPr>
        <w:t xml:space="preserve">דמי העמילות שישלם מבטח לסוכן ביטוח בשל ביטוח מקיף לדירה הנדרש כבטוחה להלוואה לדיור (להלן </w:t>
      </w:r>
      <w:r w:rsidR="008E71C1">
        <w:rPr>
          <w:rStyle w:val="default"/>
          <w:rFonts w:cs="FrankRuehl"/>
          <w:rtl/>
        </w:rPr>
        <w:t>–</w:t>
      </w:r>
      <w:r w:rsidR="008E71C1">
        <w:rPr>
          <w:rStyle w:val="default"/>
          <w:rFonts w:cs="FrankRuehl" w:hint="cs"/>
          <w:rtl/>
        </w:rPr>
        <w:t xml:space="preserve"> ביטוח אגב הלוואה) לא יעלו על 20% כולל מס ערך מוסף מדמי הביטוח שגבה המבטח מהמבוטח</w:t>
      </w:r>
      <w:r w:rsidR="00A709D0">
        <w:rPr>
          <w:rStyle w:val="default"/>
          <w:rFonts w:cs="FrankRuehl" w:hint="cs"/>
          <w:rtl/>
        </w:rPr>
        <w:t>.</w:t>
      </w:r>
    </w:p>
    <w:p w14:paraId="44652E3F" w14:textId="77777777" w:rsidR="009922C9" w:rsidRDefault="009922C9" w:rsidP="008E71C1">
      <w:pPr>
        <w:pStyle w:val="P00"/>
        <w:spacing w:before="72"/>
        <w:ind w:left="0" w:right="1134"/>
        <w:rPr>
          <w:rStyle w:val="default"/>
          <w:rFonts w:cs="FrankRuehl" w:hint="cs"/>
          <w:rtl/>
        </w:rPr>
      </w:pPr>
      <w:bookmarkStart w:id="1" w:name="Seif2"/>
      <w:bookmarkEnd w:id="1"/>
      <w:r>
        <w:rPr>
          <w:rFonts w:cs="Miriam"/>
          <w:lang w:val="he-IL"/>
        </w:rPr>
        <w:pict w14:anchorId="5692BFE3">
          <v:rect id="_x0000_s1103" style="position:absolute;left:0;text-align:left;margin-left:464.5pt;margin-top:8.05pt;width:75.05pt;height:11.1pt;z-index:251657216" o:allowincell="f" filled="f" stroked="f" strokecolor="lime" strokeweight=".25pt">
            <v:textbox inset="0,0,0,0">
              <w:txbxContent>
                <w:p w14:paraId="787440EA" w14:textId="77777777" w:rsidR="008644B3" w:rsidRDefault="008E71C1" w:rsidP="009922C9">
                  <w:pPr>
                    <w:spacing w:line="160" w:lineRule="exact"/>
                    <w:rPr>
                      <w:rFonts w:cs="Miriam" w:hint="cs"/>
                      <w:noProof/>
                      <w:sz w:val="18"/>
                      <w:szCs w:val="18"/>
                      <w:rtl/>
                    </w:rPr>
                  </w:pPr>
                  <w:r>
                    <w:rPr>
                      <w:rFonts w:cs="Miriam" w:hint="cs"/>
                      <w:sz w:val="18"/>
                      <w:szCs w:val="18"/>
                      <w:rtl/>
                    </w:rPr>
                    <w:t>תחילה</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8E71C1">
        <w:rPr>
          <w:rStyle w:val="default"/>
          <w:rFonts w:cs="FrankRuehl" w:hint="cs"/>
          <w:rtl/>
        </w:rPr>
        <w:t xml:space="preserve">תחילתן של תקנות אלה ביום י"ט בטבת התשע"ג (1 בינואר 2013) (להלן </w:t>
      </w:r>
      <w:r w:rsidR="008E71C1">
        <w:rPr>
          <w:rStyle w:val="default"/>
          <w:rFonts w:cs="FrankRuehl"/>
          <w:rtl/>
        </w:rPr>
        <w:t>–</w:t>
      </w:r>
      <w:r w:rsidR="008E71C1">
        <w:rPr>
          <w:rStyle w:val="default"/>
          <w:rFonts w:cs="FrankRuehl" w:hint="cs"/>
          <w:rtl/>
        </w:rPr>
        <w:t xml:space="preserve"> יום התחילה)</w:t>
      </w:r>
      <w:r w:rsidR="008933F8">
        <w:rPr>
          <w:rStyle w:val="default"/>
          <w:rFonts w:cs="FrankRuehl" w:hint="cs"/>
          <w:rtl/>
        </w:rPr>
        <w:t>.</w:t>
      </w:r>
    </w:p>
    <w:p w14:paraId="78ABEF30" w14:textId="77777777" w:rsidR="009922C9" w:rsidRDefault="009922C9" w:rsidP="008E71C1">
      <w:pPr>
        <w:pStyle w:val="P00"/>
        <w:spacing w:before="72"/>
        <w:ind w:left="0" w:right="1134"/>
        <w:rPr>
          <w:rStyle w:val="default"/>
          <w:rFonts w:cs="FrankRuehl" w:hint="cs"/>
          <w:rtl/>
        </w:rPr>
      </w:pPr>
      <w:bookmarkStart w:id="2" w:name="Seif3"/>
      <w:bookmarkEnd w:id="2"/>
      <w:r>
        <w:rPr>
          <w:rFonts w:cs="Miriam"/>
          <w:lang w:val="he-IL"/>
        </w:rPr>
        <w:pict w14:anchorId="56D84F8A">
          <v:rect id="_x0000_s1104" style="position:absolute;left:0;text-align:left;margin-left:464.5pt;margin-top:8.05pt;width:75.05pt;height:9.15pt;z-index:251658240" o:allowincell="f" filled="f" stroked="f" strokecolor="lime" strokeweight=".25pt">
            <v:textbox inset="0,0,0,0">
              <w:txbxContent>
                <w:p w14:paraId="79064BC8" w14:textId="77777777" w:rsidR="008644B3" w:rsidRDefault="008E71C1" w:rsidP="00DD7476">
                  <w:pPr>
                    <w:spacing w:line="160" w:lineRule="exact"/>
                    <w:rPr>
                      <w:rFonts w:cs="Miriam" w:hint="cs"/>
                      <w:noProof/>
                      <w:sz w:val="18"/>
                      <w:szCs w:val="18"/>
                      <w:rtl/>
                    </w:rPr>
                  </w:pPr>
                  <w:r>
                    <w:rPr>
                      <w:rFonts w:cs="Miriam" w:hint="cs"/>
                      <w:sz w:val="18"/>
                      <w:szCs w:val="18"/>
                      <w:rtl/>
                    </w:rPr>
                    <w:t>תחולה</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8E71C1">
        <w:rPr>
          <w:rStyle w:val="default"/>
          <w:rFonts w:cs="FrankRuehl" w:hint="cs"/>
          <w:rtl/>
        </w:rPr>
        <w:t>תקנות אלה יחולו על דמי עמילות המשולמים בשל חוזים לביטוח אגב הלוואה שתחילתם תוקפם ביום התחילה ואילך, לרבות בשל חוזים לביטוח אגב הלוואה שחודשו ביום התחילה או לאחריו, אף אם נכרתו לפניו</w:t>
      </w:r>
      <w:r w:rsidR="00A709D0">
        <w:rPr>
          <w:rStyle w:val="default"/>
          <w:rFonts w:cs="FrankRuehl" w:hint="cs"/>
          <w:rtl/>
        </w:rPr>
        <w:t>.</w:t>
      </w:r>
    </w:p>
    <w:p w14:paraId="77040F80" w14:textId="77777777" w:rsidR="00A709D0" w:rsidRDefault="00DD7476" w:rsidP="00A709D0">
      <w:pPr>
        <w:pStyle w:val="P00"/>
        <w:spacing w:before="72"/>
        <w:ind w:left="0" w:right="1134"/>
        <w:rPr>
          <w:rStyle w:val="default"/>
          <w:rFonts w:cs="FrankRuehl" w:hint="cs"/>
          <w:rtl/>
        </w:rPr>
      </w:pPr>
      <w:bookmarkStart w:id="3" w:name="Seif4"/>
      <w:bookmarkEnd w:id="3"/>
      <w:r>
        <w:rPr>
          <w:rFonts w:cs="Miriam"/>
          <w:lang w:val="he-IL"/>
        </w:rPr>
        <w:pict w14:anchorId="43704670">
          <v:rect id="_x0000_s1114" style="position:absolute;left:0;text-align:left;margin-left:464.5pt;margin-top:8.05pt;width:75.05pt;height:14.65pt;z-index:251659264" o:allowincell="f" filled="f" stroked="f" strokecolor="lime" strokeweight=".25pt">
            <v:textbox inset="0,0,0,0">
              <w:txbxContent>
                <w:p w14:paraId="2ED9A9DC" w14:textId="77777777" w:rsidR="008644B3" w:rsidRDefault="008E71C1" w:rsidP="00DD7476">
                  <w:pPr>
                    <w:spacing w:line="160" w:lineRule="exact"/>
                    <w:rPr>
                      <w:rFonts w:cs="Miriam" w:hint="cs"/>
                      <w:noProof/>
                      <w:sz w:val="18"/>
                      <w:szCs w:val="18"/>
                      <w:rtl/>
                    </w:rPr>
                  </w:pPr>
                  <w:r>
                    <w:rPr>
                      <w:rFonts w:cs="Miriam" w:hint="cs"/>
                      <w:sz w:val="18"/>
                      <w:szCs w:val="18"/>
                      <w:rtl/>
                    </w:rPr>
                    <w:t>הוראת שעה</w:t>
                  </w:r>
                </w:p>
              </w:txbxContent>
            </v:textbox>
            <w10:anchorlock/>
          </v:rect>
        </w:pict>
      </w:r>
      <w:r w:rsidR="00671E45">
        <w:rPr>
          <w:rStyle w:val="big-number"/>
          <w:rFonts w:cs="Miriam" w:hint="cs"/>
          <w:rtl/>
        </w:rPr>
        <w:t>4</w:t>
      </w:r>
      <w:r>
        <w:rPr>
          <w:rStyle w:val="big-number"/>
          <w:rFonts w:cs="FrankRuehl"/>
          <w:sz w:val="26"/>
          <w:szCs w:val="26"/>
          <w:rtl/>
        </w:rPr>
        <w:t>.</w:t>
      </w:r>
      <w:r>
        <w:rPr>
          <w:rStyle w:val="big-number"/>
          <w:rFonts w:cs="FrankRuehl"/>
          <w:sz w:val="26"/>
          <w:szCs w:val="26"/>
          <w:rtl/>
        </w:rPr>
        <w:tab/>
      </w:r>
      <w:r w:rsidR="008E71C1">
        <w:rPr>
          <w:rStyle w:val="default"/>
          <w:rFonts w:cs="FrankRuehl" w:hint="cs"/>
          <w:rtl/>
        </w:rPr>
        <w:t>על אף האמור בתקנה 1, בשנים המפורטות בטור א' שבטבלה שלהלן, יראו כאילו בתקנה 1, במקום 20%, בא האמור בטור ב' שלצדן</w:t>
      </w:r>
      <w:r w:rsidR="00A709D0">
        <w:rPr>
          <w:rStyle w:val="default"/>
          <w:rFonts w:cs="FrankRuehl" w:hint="cs"/>
          <w:rtl/>
        </w:rPr>
        <w:t>:</w:t>
      </w:r>
    </w:p>
    <w:p w14:paraId="71D3A67F" w14:textId="77777777" w:rsidR="00A709D0" w:rsidRPr="008E71C1" w:rsidRDefault="008E71C1" w:rsidP="008E71C1">
      <w:pPr>
        <w:pStyle w:val="P00"/>
        <w:pBdr>
          <w:bottom w:val="single" w:sz="4" w:space="1" w:color="auto"/>
        </w:pBdr>
        <w:tabs>
          <w:tab w:val="clear" w:pos="624"/>
          <w:tab w:val="clear" w:pos="1021"/>
          <w:tab w:val="clear" w:pos="1474"/>
          <w:tab w:val="clear" w:pos="1928"/>
          <w:tab w:val="clear" w:pos="2381"/>
          <w:tab w:val="clear" w:pos="6259"/>
          <w:tab w:val="center" w:pos="2835"/>
          <w:tab w:val="center" w:pos="4536"/>
        </w:tabs>
        <w:spacing w:before="72"/>
        <w:ind w:left="1021" w:right="2835"/>
        <w:rPr>
          <w:rStyle w:val="default"/>
          <w:rFonts w:cs="FrankRuehl" w:hint="cs"/>
          <w:sz w:val="22"/>
          <w:szCs w:val="22"/>
          <w:rtl/>
        </w:rPr>
      </w:pPr>
      <w:r w:rsidRPr="008E71C1">
        <w:rPr>
          <w:rStyle w:val="default"/>
          <w:rFonts w:cs="FrankRuehl" w:hint="cs"/>
          <w:sz w:val="22"/>
          <w:szCs w:val="22"/>
          <w:rtl/>
        </w:rPr>
        <w:tab/>
        <w:t>טור א'</w:t>
      </w:r>
      <w:r w:rsidRPr="008E71C1">
        <w:rPr>
          <w:rStyle w:val="default"/>
          <w:rFonts w:cs="FrankRuehl" w:hint="cs"/>
          <w:sz w:val="22"/>
          <w:szCs w:val="22"/>
          <w:rtl/>
        </w:rPr>
        <w:tab/>
        <w:t>טור ב'</w:t>
      </w:r>
    </w:p>
    <w:p w14:paraId="5FA73FDC" w14:textId="77777777" w:rsidR="008E71C1" w:rsidRDefault="008E71C1" w:rsidP="008E71C1">
      <w:pPr>
        <w:pStyle w:val="P00"/>
        <w:tabs>
          <w:tab w:val="clear" w:pos="624"/>
          <w:tab w:val="clear" w:pos="1021"/>
          <w:tab w:val="clear" w:pos="1474"/>
          <w:tab w:val="clear" w:pos="1928"/>
          <w:tab w:val="clear" w:pos="2381"/>
          <w:tab w:val="clear" w:pos="6259"/>
          <w:tab w:val="center" w:pos="2835"/>
          <w:tab w:val="center" w:pos="4536"/>
        </w:tabs>
        <w:spacing w:before="72"/>
        <w:ind w:left="1021" w:right="2835"/>
        <w:rPr>
          <w:rStyle w:val="default"/>
          <w:rFonts w:cs="FrankRuehl" w:hint="cs"/>
          <w:rtl/>
        </w:rPr>
      </w:pPr>
      <w:r>
        <w:rPr>
          <w:rStyle w:val="default"/>
          <w:rFonts w:cs="FrankRuehl" w:hint="cs"/>
          <w:rtl/>
        </w:rPr>
        <w:tab/>
        <w:t>2013</w:t>
      </w:r>
      <w:r>
        <w:rPr>
          <w:rStyle w:val="default"/>
          <w:rFonts w:cs="FrankRuehl" w:hint="cs"/>
          <w:rtl/>
        </w:rPr>
        <w:tab/>
        <w:t>30%</w:t>
      </w:r>
    </w:p>
    <w:p w14:paraId="2E49C027" w14:textId="77777777" w:rsidR="008E71C1" w:rsidRDefault="008E71C1" w:rsidP="008E71C1">
      <w:pPr>
        <w:pStyle w:val="P00"/>
        <w:tabs>
          <w:tab w:val="clear" w:pos="624"/>
          <w:tab w:val="clear" w:pos="1021"/>
          <w:tab w:val="clear" w:pos="1474"/>
          <w:tab w:val="clear" w:pos="1928"/>
          <w:tab w:val="clear" w:pos="2381"/>
          <w:tab w:val="clear" w:pos="6259"/>
          <w:tab w:val="center" w:pos="2835"/>
          <w:tab w:val="center" w:pos="4536"/>
        </w:tabs>
        <w:spacing w:before="72"/>
        <w:ind w:left="1021" w:right="2835"/>
        <w:rPr>
          <w:rStyle w:val="default"/>
          <w:rFonts w:cs="FrankRuehl" w:hint="cs"/>
          <w:rtl/>
        </w:rPr>
      </w:pPr>
      <w:r>
        <w:rPr>
          <w:rStyle w:val="default"/>
          <w:rFonts w:cs="FrankRuehl" w:hint="cs"/>
          <w:rtl/>
        </w:rPr>
        <w:tab/>
        <w:t>2014</w:t>
      </w:r>
      <w:r>
        <w:rPr>
          <w:rStyle w:val="default"/>
          <w:rFonts w:cs="FrankRuehl" w:hint="cs"/>
          <w:rtl/>
        </w:rPr>
        <w:tab/>
        <w:t>25%</w:t>
      </w:r>
    </w:p>
    <w:p w14:paraId="5E5D5ADA" w14:textId="77777777" w:rsidR="008E71C1" w:rsidRDefault="008E71C1" w:rsidP="00431CAA">
      <w:pPr>
        <w:pStyle w:val="P00"/>
        <w:spacing w:before="72"/>
        <w:ind w:left="0" w:right="1134"/>
        <w:rPr>
          <w:rStyle w:val="default"/>
          <w:rFonts w:cs="FrankRuehl" w:hint="cs"/>
          <w:rtl/>
        </w:rPr>
      </w:pPr>
    </w:p>
    <w:p w14:paraId="3E73505C" w14:textId="77777777" w:rsidR="00D25D5C" w:rsidRDefault="00D25D5C" w:rsidP="00431CAA">
      <w:pPr>
        <w:pStyle w:val="P00"/>
        <w:spacing w:before="72"/>
        <w:ind w:left="0" w:right="1134"/>
        <w:rPr>
          <w:rStyle w:val="default"/>
          <w:rFonts w:cs="FrankRuehl" w:hint="cs"/>
          <w:rtl/>
        </w:rPr>
      </w:pPr>
    </w:p>
    <w:p w14:paraId="68DEBA3A" w14:textId="77777777" w:rsidR="005C17DB" w:rsidRDefault="008E71C1" w:rsidP="008E71C1">
      <w:pPr>
        <w:pStyle w:val="sig-0"/>
        <w:tabs>
          <w:tab w:val="clear" w:pos="4820"/>
          <w:tab w:val="center" w:pos="5103"/>
        </w:tabs>
        <w:ind w:left="0" w:right="1134"/>
        <w:rPr>
          <w:rFonts w:cs="FrankRuehl" w:hint="cs"/>
          <w:sz w:val="26"/>
          <w:rtl/>
        </w:rPr>
      </w:pPr>
      <w:r>
        <w:rPr>
          <w:rFonts w:cs="FrankRuehl" w:hint="cs"/>
          <w:sz w:val="26"/>
          <w:rtl/>
        </w:rPr>
        <w:t>ח</w:t>
      </w:r>
      <w:r w:rsidR="008F27CD">
        <w:rPr>
          <w:rFonts w:cs="FrankRuehl" w:hint="cs"/>
          <w:sz w:val="26"/>
          <w:rtl/>
        </w:rPr>
        <w:t>' באלול</w:t>
      </w:r>
      <w:r w:rsidR="0038401D">
        <w:rPr>
          <w:rFonts w:cs="FrankRuehl" w:hint="cs"/>
          <w:sz w:val="26"/>
          <w:rtl/>
        </w:rPr>
        <w:t xml:space="preserve"> </w:t>
      </w:r>
      <w:r w:rsidR="00175DE6">
        <w:rPr>
          <w:rFonts w:cs="FrankRuehl" w:hint="cs"/>
          <w:sz w:val="26"/>
          <w:rtl/>
        </w:rPr>
        <w:t>התש</w:t>
      </w:r>
      <w:r w:rsidR="00CE1E6A">
        <w:rPr>
          <w:rFonts w:cs="FrankRuehl" w:hint="cs"/>
          <w:sz w:val="26"/>
          <w:rtl/>
        </w:rPr>
        <w:t>ע</w:t>
      </w:r>
      <w:r w:rsidR="00175DE6">
        <w:rPr>
          <w:rFonts w:cs="FrankRuehl" w:hint="cs"/>
          <w:sz w:val="26"/>
          <w:rtl/>
        </w:rPr>
        <w:t>"ב (</w:t>
      </w:r>
      <w:r w:rsidR="00CE1E6A">
        <w:rPr>
          <w:rFonts w:cs="FrankRuehl" w:hint="cs"/>
          <w:sz w:val="26"/>
          <w:rtl/>
        </w:rPr>
        <w:t>2</w:t>
      </w:r>
      <w:r>
        <w:rPr>
          <w:rFonts w:cs="FrankRuehl" w:hint="cs"/>
          <w:sz w:val="26"/>
          <w:rtl/>
        </w:rPr>
        <w:t>6</w:t>
      </w:r>
      <w:r w:rsidR="00CE1E6A">
        <w:rPr>
          <w:rFonts w:cs="FrankRuehl" w:hint="cs"/>
          <w:sz w:val="26"/>
          <w:rtl/>
        </w:rPr>
        <w:t xml:space="preserve"> באוגוסט 2012</w:t>
      </w:r>
      <w:r w:rsidR="008C2526">
        <w:rPr>
          <w:rFonts w:cs="FrankRuehl" w:hint="cs"/>
          <w:sz w:val="26"/>
          <w:rtl/>
        </w:rPr>
        <w:t>)</w:t>
      </w:r>
      <w:r w:rsidR="008C2526">
        <w:rPr>
          <w:rFonts w:cs="FrankRuehl" w:hint="cs"/>
          <w:sz w:val="26"/>
          <w:rtl/>
        </w:rPr>
        <w:tab/>
      </w:r>
      <w:r>
        <w:rPr>
          <w:rFonts w:cs="FrankRuehl" w:hint="cs"/>
          <w:sz w:val="26"/>
          <w:rtl/>
        </w:rPr>
        <w:t>יובל שטייניץ</w:t>
      </w:r>
    </w:p>
    <w:p w14:paraId="439B36FC" w14:textId="77777777" w:rsidR="005C17DB" w:rsidRDefault="008C2526" w:rsidP="008E71C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8E71C1">
        <w:rPr>
          <w:rFonts w:cs="FrankRuehl" w:hint="cs"/>
          <w:sz w:val="22"/>
          <w:rtl/>
        </w:rPr>
        <w:t>שר האוצר</w:t>
      </w:r>
    </w:p>
    <w:p w14:paraId="34993B50" w14:textId="77777777" w:rsidR="008E71C1" w:rsidRDefault="008E71C1" w:rsidP="00927A15">
      <w:pPr>
        <w:pStyle w:val="P00"/>
        <w:spacing w:before="72"/>
        <w:ind w:left="0" w:right="1134"/>
        <w:rPr>
          <w:rStyle w:val="default"/>
          <w:rFonts w:cs="FrankRuehl" w:hint="cs"/>
          <w:rtl/>
        </w:rPr>
      </w:pPr>
    </w:p>
    <w:p w14:paraId="758536C3" w14:textId="77777777" w:rsidR="00927A15" w:rsidRDefault="00927A15" w:rsidP="00927A15">
      <w:pPr>
        <w:pStyle w:val="P00"/>
        <w:spacing w:before="72"/>
        <w:ind w:left="0" w:right="1134"/>
        <w:rPr>
          <w:rStyle w:val="default"/>
          <w:rFonts w:cs="FrankRuehl" w:hint="cs"/>
          <w:rtl/>
        </w:rPr>
      </w:pPr>
    </w:p>
    <w:p w14:paraId="1292DAB7" w14:textId="77777777" w:rsidR="00EF7022" w:rsidRDefault="00EF7022" w:rsidP="00927A15">
      <w:pPr>
        <w:pStyle w:val="P00"/>
        <w:spacing w:before="72"/>
        <w:ind w:left="0" w:right="1134"/>
        <w:rPr>
          <w:rStyle w:val="default"/>
          <w:rFonts w:cs="FrankRuehl"/>
          <w:rtl/>
        </w:rPr>
      </w:pPr>
    </w:p>
    <w:p w14:paraId="26DD6C55" w14:textId="77777777" w:rsidR="00730BAD" w:rsidRDefault="00730BAD" w:rsidP="00927A15">
      <w:pPr>
        <w:pStyle w:val="P00"/>
        <w:spacing w:before="72"/>
        <w:ind w:left="0" w:right="1134"/>
        <w:rPr>
          <w:rStyle w:val="default"/>
          <w:rFonts w:cs="FrankRuehl"/>
          <w:rtl/>
        </w:rPr>
      </w:pPr>
    </w:p>
    <w:p w14:paraId="1791C828" w14:textId="77777777" w:rsidR="00730BAD" w:rsidRDefault="00730BAD" w:rsidP="00927A15">
      <w:pPr>
        <w:pStyle w:val="P00"/>
        <w:spacing w:before="72"/>
        <w:ind w:left="0" w:right="1134"/>
        <w:rPr>
          <w:rStyle w:val="default"/>
          <w:rFonts w:cs="FrankRuehl"/>
          <w:rtl/>
        </w:rPr>
      </w:pPr>
    </w:p>
    <w:p w14:paraId="4EB860C0" w14:textId="77777777" w:rsidR="00730BAD" w:rsidRDefault="00730BAD" w:rsidP="00730BAD">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26484C3" w14:textId="77777777" w:rsidR="00D002A9" w:rsidRPr="00730BAD" w:rsidRDefault="00D002A9" w:rsidP="00730BAD">
      <w:pPr>
        <w:pStyle w:val="P00"/>
        <w:spacing w:before="72"/>
        <w:ind w:left="0" w:right="1134"/>
        <w:jc w:val="center"/>
        <w:rPr>
          <w:rStyle w:val="default"/>
          <w:rFonts w:cs="David"/>
          <w:color w:val="0000FF"/>
          <w:szCs w:val="24"/>
          <w:u w:val="single"/>
          <w:rtl/>
        </w:rPr>
      </w:pPr>
    </w:p>
    <w:sectPr w:rsidR="00D002A9" w:rsidRPr="00730BA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6636" w14:textId="77777777" w:rsidR="00023B7F" w:rsidRDefault="00023B7F">
      <w:r>
        <w:separator/>
      </w:r>
    </w:p>
  </w:endnote>
  <w:endnote w:type="continuationSeparator" w:id="0">
    <w:p w14:paraId="3E363F88" w14:textId="77777777" w:rsidR="00023B7F" w:rsidRDefault="0002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5CDB"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642555"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F91DAC"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BAD">
      <w:rPr>
        <w:rFonts w:cs="TopType Jerushalmi"/>
        <w:noProof/>
        <w:color w:val="000000"/>
        <w:sz w:val="14"/>
        <w:szCs w:val="14"/>
      </w:rPr>
      <w:t>Z:\000-law\yael\2012\2012-09-27\tav\500_769.doc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A650"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0BAD">
      <w:rPr>
        <w:rFonts w:hAnsi="FrankRuehl" w:cs="FrankRuehl"/>
        <w:noProof/>
        <w:sz w:val="24"/>
        <w:szCs w:val="24"/>
        <w:rtl/>
      </w:rPr>
      <w:t>2</w:t>
    </w:r>
    <w:r>
      <w:rPr>
        <w:rFonts w:hAnsi="FrankRuehl" w:cs="FrankRuehl"/>
        <w:sz w:val="24"/>
        <w:szCs w:val="24"/>
        <w:rtl/>
      </w:rPr>
      <w:fldChar w:fldCharType="end"/>
    </w:r>
  </w:p>
  <w:p w14:paraId="2011ED9B"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D52308"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BAD">
      <w:rPr>
        <w:rFonts w:cs="TopType Jerushalmi"/>
        <w:noProof/>
        <w:color w:val="000000"/>
        <w:sz w:val="14"/>
        <w:szCs w:val="14"/>
      </w:rPr>
      <w:t>Z:\000-law\yael\2012\2012-09-27\tav\500_769.doc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0058" w14:textId="77777777" w:rsidR="00023B7F" w:rsidRDefault="00023B7F">
      <w:pPr>
        <w:spacing w:before="60"/>
        <w:ind w:right="1134"/>
      </w:pPr>
      <w:r>
        <w:separator/>
      </w:r>
    </w:p>
  </w:footnote>
  <w:footnote w:type="continuationSeparator" w:id="0">
    <w:p w14:paraId="1547D97D" w14:textId="77777777" w:rsidR="00023B7F" w:rsidRDefault="00023B7F">
      <w:pPr>
        <w:spacing w:before="60"/>
        <w:ind w:right="1134"/>
      </w:pPr>
      <w:r>
        <w:separator/>
      </w:r>
    </w:p>
  </w:footnote>
  <w:footnote w:id="1">
    <w:p w14:paraId="38B361D7" w14:textId="77777777" w:rsidR="00AC2059" w:rsidRDefault="008644B3" w:rsidP="00AC2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C2059">
          <w:rPr>
            <w:rStyle w:val="Hyperlink"/>
            <w:rFonts w:cs="FrankRuehl" w:hint="cs"/>
            <w:rtl/>
          </w:rPr>
          <w:t>ק"ת תשע"</w:t>
        </w:r>
        <w:r w:rsidR="008E71C1" w:rsidRPr="00AC2059">
          <w:rPr>
            <w:rStyle w:val="Hyperlink"/>
            <w:rFonts w:cs="FrankRuehl" w:hint="cs"/>
            <w:rtl/>
          </w:rPr>
          <w:t>ג</w:t>
        </w:r>
        <w:r w:rsidRPr="00AC2059">
          <w:rPr>
            <w:rStyle w:val="Hyperlink"/>
            <w:rFonts w:cs="FrankRuehl" w:hint="cs"/>
            <w:rtl/>
          </w:rPr>
          <w:t xml:space="preserve"> מס' 716</w:t>
        </w:r>
        <w:r w:rsidR="008E71C1" w:rsidRPr="00AC2059">
          <w:rPr>
            <w:rStyle w:val="Hyperlink"/>
            <w:rFonts w:cs="FrankRuehl" w:hint="cs"/>
            <w:rtl/>
          </w:rPr>
          <w:t>5</w:t>
        </w:r>
      </w:hyperlink>
      <w:r>
        <w:rPr>
          <w:rFonts w:cs="FrankRuehl" w:hint="cs"/>
          <w:rtl/>
        </w:rPr>
        <w:t xml:space="preserve"> מיום </w:t>
      </w:r>
      <w:r w:rsidR="008E71C1">
        <w:rPr>
          <w:rFonts w:cs="FrankRuehl" w:hint="cs"/>
          <w:rtl/>
        </w:rPr>
        <w:t>24</w:t>
      </w:r>
      <w:r>
        <w:rPr>
          <w:rFonts w:cs="FrankRuehl" w:hint="cs"/>
          <w:rtl/>
        </w:rPr>
        <w:t xml:space="preserve">.9.2012 עמ' </w:t>
      </w:r>
      <w:r w:rsidR="008E71C1">
        <w:rPr>
          <w:rFonts w:cs="FrankRuehl" w:hint="cs"/>
          <w:rtl/>
        </w:rPr>
        <w:t>10</w:t>
      </w:r>
      <w:r>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7644" w14:textId="77777777" w:rsidR="008644B3" w:rsidRDefault="008644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6C9F6ED"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12D556"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44FE" w14:textId="77777777" w:rsidR="008644B3" w:rsidRDefault="00E25D23" w:rsidP="00E25D2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(דמי עמילות מרביים בביטוח מבנה אגב הלוואה לדיור</w:t>
    </w:r>
    <w:r w:rsidR="008644B3">
      <w:rPr>
        <w:rFonts w:hAnsi="FrankRuehl" w:cs="FrankRuehl" w:hint="cs"/>
        <w:color w:val="000000"/>
        <w:sz w:val="28"/>
        <w:szCs w:val="28"/>
        <w:rtl/>
      </w:rPr>
      <w:t>), תשע"</w:t>
    </w:r>
    <w:r>
      <w:rPr>
        <w:rFonts w:hAnsi="FrankRuehl" w:cs="FrankRuehl" w:hint="cs"/>
        <w:color w:val="000000"/>
        <w:sz w:val="28"/>
        <w:szCs w:val="28"/>
        <w:rtl/>
      </w:rPr>
      <w:t>ג</w:t>
    </w:r>
    <w:r w:rsidR="008644B3">
      <w:rPr>
        <w:rFonts w:hAnsi="FrankRuehl" w:cs="FrankRuehl" w:hint="cs"/>
        <w:color w:val="000000"/>
        <w:sz w:val="28"/>
        <w:szCs w:val="28"/>
        <w:rtl/>
      </w:rPr>
      <w:t>-2012</w:t>
    </w:r>
  </w:p>
  <w:p w14:paraId="0BC96FCF"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D32021"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2363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23B7F"/>
    <w:rsid w:val="00024674"/>
    <w:rsid w:val="00040247"/>
    <w:rsid w:val="00041D79"/>
    <w:rsid w:val="000619D9"/>
    <w:rsid w:val="00064468"/>
    <w:rsid w:val="000660AD"/>
    <w:rsid w:val="000B425E"/>
    <w:rsid w:val="000D03CD"/>
    <w:rsid w:val="000D37D6"/>
    <w:rsid w:val="000D7097"/>
    <w:rsid w:val="000D7FBE"/>
    <w:rsid w:val="000E097C"/>
    <w:rsid w:val="0010753D"/>
    <w:rsid w:val="00112119"/>
    <w:rsid w:val="0011648D"/>
    <w:rsid w:val="00120F4D"/>
    <w:rsid w:val="00122C2E"/>
    <w:rsid w:val="0012506B"/>
    <w:rsid w:val="001275F0"/>
    <w:rsid w:val="001349E0"/>
    <w:rsid w:val="00141013"/>
    <w:rsid w:val="001576F4"/>
    <w:rsid w:val="00175DE6"/>
    <w:rsid w:val="00176B15"/>
    <w:rsid w:val="001B39DD"/>
    <w:rsid w:val="001C4AB6"/>
    <w:rsid w:val="001C7866"/>
    <w:rsid w:val="001D56E5"/>
    <w:rsid w:val="001E0FA8"/>
    <w:rsid w:val="001E1488"/>
    <w:rsid w:val="002216B6"/>
    <w:rsid w:val="002319E6"/>
    <w:rsid w:val="00237771"/>
    <w:rsid w:val="002538D4"/>
    <w:rsid w:val="00265654"/>
    <w:rsid w:val="002713C6"/>
    <w:rsid w:val="0027553D"/>
    <w:rsid w:val="002828F9"/>
    <w:rsid w:val="002A0EB2"/>
    <w:rsid w:val="002B5C82"/>
    <w:rsid w:val="002C7187"/>
    <w:rsid w:val="002E3E60"/>
    <w:rsid w:val="0033559B"/>
    <w:rsid w:val="003415DF"/>
    <w:rsid w:val="003528CA"/>
    <w:rsid w:val="00365B03"/>
    <w:rsid w:val="0038401D"/>
    <w:rsid w:val="00384399"/>
    <w:rsid w:val="00395945"/>
    <w:rsid w:val="003A1E4A"/>
    <w:rsid w:val="003A23D8"/>
    <w:rsid w:val="003E74D6"/>
    <w:rsid w:val="003F5C71"/>
    <w:rsid w:val="00412B9D"/>
    <w:rsid w:val="00417F42"/>
    <w:rsid w:val="00423394"/>
    <w:rsid w:val="00426F19"/>
    <w:rsid w:val="00430301"/>
    <w:rsid w:val="00431CAA"/>
    <w:rsid w:val="004573DF"/>
    <w:rsid w:val="00457517"/>
    <w:rsid w:val="00460500"/>
    <w:rsid w:val="004608D4"/>
    <w:rsid w:val="004648F4"/>
    <w:rsid w:val="00492353"/>
    <w:rsid w:val="00492532"/>
    <w:rsid w:val="004A1E73"/>
    <w:rsid w:val="004A7F32"/>
    <w:rsid w:val="004B26DB"/>
    <w:rsid w:val="004C3C1F"/>
    <w:rsid w:val="004E633E"/>
    <w:rsid w:val="0050183D"/>
    <w:rsid w:val="0054201E"/>
    <w:rsid w:val="005513F1"/>
    <w:rsid w:val="0055548A"/>
    <w:rsid w:val="00574BC7"/>
    <w:rsid w:val="005944F3"/>
    <w:rsid w:val="005A05A2"/>
    <w:rsid w:val="005C17DB"/>
    <w:rsid w:val="005D1805"/>
    <w:rsid w:val="005E7167"/>
    <w:rsid w:val="005F0726"/>
    <w:rsid w:val="005F1ACB"/>
    <w:rsid w:val="005F58B7"/>
    <w:rsid w:val="006211FD"/>
    <w:rsid w:val="006270C3"/>
    <w:rsid w:val="00635CB5"/>
    <w:rsid w:val="00636642"/>
    <w:rsid w:val="00650A54"/>
    <w:rsid w:val="00653E0E"/>
    <w:rsid w:val="006666DC"/>
    <w:rsid w:val="00671E45"/>
    <w:rsid w:val="00682437"/>
    <w:rsid w:val="006849D8"/>
    <w:rsid w:val="00695849"/>
    <w:rsid w:val="006B68F6"/>
    <w:rsid w:val="006D7AE9"/>
    <w:rsid w:val="006F007A"/>
    <w:rsid w:val="006F360A"/>
    <w:rsid w:val="00701DE0"/>
    <w:rsid w:val="0070380A"/>
    <w:rsid w:val="0072730D"/>
    <w:rsid w:val="00730BAD"/>
    <w:rsid w:val="0075069C"/>
    <w:rsid w:val="00751F4D"/>
    <w:rsid w:val="00753B1F"/>
    <w:rsid w:val="0076254E"/>
    <w:rsid w:val="00763D9B"/>
    <w:rsid w:val="00765C54"/>
    <w:rsid w:val="007739C7"/>
    <w:rsid w:val="0078071F"/>
    <w:rsid w:val="00796690"/>
    <w:rsid w:val="007C0B21"/>
    <w:rsid w:val="008045B1"/>
    <w:rsid w:val="008055DD"/>
    <w:rsid w:val="00807224"/>
    <w:rsid w:val="008138ED"/>
    <w:rsid w:val="00814DCB"/>
    <w:rsid w:val="008159FF"/>
    <w:rsid w:val="008353F1"/>
    <w:rsid w:val="00852A6C"/>
    <w:rsid w:val="0085655A"/>
    <w:rsid w:val="0086107A"/>
    <w:rsid w:val="008644B3"/>
    <w:rsid w:val="00870007"/>
    <w:rsid w:val="0087771D"/>
    <w:rsid w:val="008814B5"/>
    <w:rsid w:val="008933F8"/>
    <w:rsid w:val="0089792E"/>
    <w:rsid w:val="008A638E"/>
    <w:rsid w:val="008C2526"/>
    <w:rsid w:val="008C3328"/>
    <w:rsid w:val="008E2688"/>
    <w:rsid w:val="008E367E"/>
    <w:rsid w:val="008E71C1"/>
    <w:rsid w:val="008F27CD"/>
    <w:rsid w:val="00904EEA"/>
    <w:rsid w:val="00906581"/>
    <w:rsid w:val="00926BE7"/>
    <w:rsid w:val="00927A15"/>
    <w:rsid w:val="0094047B"/>
    <w:rsid w:val="0094774E"/>
    <w:rsid w:val="00980327"/>
    <w:rsid w:val="009922C9"/>
    <w:rsid w:val="00993A26"/>
    <w:rsid w:val="009A37B4"/>
    <w:rsid w:val="009C2916"/>
    <w:rsid w:val="009E096B"/>
    <w:rsid w:val="009E726B"/>
    <w:rsid w:val="00A0203F"/>
    <w:rsid w:val="00A10AE2"/>
    <w:rsid w:val="00A147ED"/>
    <w:rsid w:val="00A14F70"/>
    <w:rsid w:val="00A173EF"/>
    <w:rsid w:val="00A330A7"/>
    <w:rsid w:val="00A46CF6"/>
    <w:rsid w:val="00A60B5A"/>
    <w:rsid w:val="00A709D0"/>
    <w:rsid w:val="00A838B6"/>
    <w:rsid w:val="00A9239A"/>
    <w:rsid w:val="00AC2059"/>
    <w:rsid w:val="00AC7B1B"/>
    <w:rsid w:val="00AE77CE"/>
    <w:rsid w:val="00B07026"/>
    <w:rsid w:val="00B1567A"/>
    <w:rsid w:val="00B17AF7"/>
    <w:rsid w:val="00B261A3"/>
    <w:rsid w:val="00B31DF7"/>
    <w:rsid w:val="00B62BCF"/>
    <w:rsid w:val="00B8400A"/>
    <w:rsid w:val="00B84C6D"/>
    <w:rsid w:val="00B87DA4"/>
    <w:rsid w:val="00BB56DB"/>
    <w:rsid w:val="00BE03B7"/>
    <w:rsid w:val="00BF254E"/>
    <w:rsid w:val="00BF580C"/>
    <w:rsid w:val="00C178D5"/>
    <w:rsid w:val="00C17A30"/>
    <w:rsid w:val="00C20388"/>
    <w:rsid w:val="00C25745"/>
    <w:rsid w:val="00C26E07"/>
    <w:rsid w:val="00C35AE5"/>
    <w:rsid w:val="00C53230"/>
    <w:rsid w:val="00C6067A"/>
    <w:rsid w:val="00C677E2"/>
    <w:rsid w:val="00C67C0D"/>
    <w:rsid w:val="00C75E63"/>
    <w:rsid w:val="00C92433"/>
    <w:rsid w:val="00CA23F9"/>
    <w:rsid w:val="00CA3117"/>
    <w:rsid w:val="00CA5A91"/>
    <w:rsid w:val="00CA6CEB"/>
    <w:rsid w:val="00CA6DC7"/>
    <w:rsid w:val="00CB77AE"/>
    <w:rsid w:val="00CD2C63"/>
    <w:rsid w:val="00CD3C2F"/>
    <w:rsid w:val="00CD6719"/>
    <w:rsid w:val="00CE1E6A"/>
    <w:rsid w:val="00D002A9"/>
    <w:rsid w:val="00D10BBD"/>
    <w:rsid w:val="00D25D5C"/>
    <w:rsid w:val="00D3243E"/>
    <w:rsid w:val="00D33D4D"/>
    <w:rsid w:val="00D4088D"/>
    <w:rsid w:val="00D5121D"/>
    <w:rsid w:val="00D55EBB"/>
    <w:rsid w:val="00D714B8"/>
    <w:rsid w:val="00D909F6"/>
    <w:rsid w:val="00DA3C17"/>
    <w:rsid w:val="00DB648D"/>
    <w:rsid w:val="00DC6B1A"/>
    <w:rsid w:val="00DD7476"/>
    <w:rsid w:val="00DE3EFD"/>
    <w:rsid w:val="00DF2961"/>
    <w:rsid w:val="00E11C6C"/>
    <w:rsid w:val="00E25D23"/>
    <w:rsid w:val="00E455D7"/>
    <w:rsid w:val="00E54522"/>
    <w:rsid w:val="00E633E6"/>
    <w:rsid w:val="00E967BF"/>
    <w:rsid w:val="00EA783F"/>
    <w:rsid w:val="00EB24C3"/>
    <w:rsid w:val="00EB2CE0"/>
    <w:rsid w:val="00EB63B3"/>
    <w:rsid w:val="00ED2725"/>
    <w:rsid w:val="00ED50FD"/>
    <w:rsid w:val="00ED599B"/>
    <w:rsid w:val="00ED641F"/>
    <w:rsid w:val="00EE70B6"/>
    <w:rsid w:val="00EF1C64"/>
    <w:rsid w:val="00EF38C0"/>
    <w:rsid w:val="00EF3ECE"/>
    <w:rsid w:val="00EF7022"/>
    <w:rsid w:val="00F03C2D"/>
    <w:rsid w:val="00F06EE7"/>
    <w:rsid w:val="00F163AC"/>
    <w:rsid w:val="00F23117"/>
    <w:rsid w:val="00F618C9"/>
    <w:rsid w:val="00F67F6D"/>
    <w:rsid w:val="00F733F6"/>
    <w:rsid w:val="00F810E4"/>
    <w:rsid w:val="00F87D85"/>
    <w:rsid w:val="00F96CD2"/>
    <w:rsid w:val="00FA1FFE"/>
    <w:rsid w:val="00FA72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DBB254"/>
  <w15:chartTrackingRefBased/>
  <w15:docId w15:val="{F5E703B9-7C89-4261-A968-B057C1F1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1622</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7864332</vt:i4>
      </vt:variant>
      <vt:variant>
        <vt:i4>0</vt:i4>
      </vt:variant>
      <vt:variant>
        <vt:i4>0</vt:i4>
      </vt:variant>
      <vt:variant>
        <vt:i4>5</vt:i4>
      </vt:variant>
      <vt:variant>
        <vt:lpwstr>http://www.nevo.co.il/Law_word/law06/TAK-7165.pdf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(ביטוח) (דמי עמילות מרביים בביטוח מבנה אגב הלוואה לדיור), תשע"ג-2012</vt:lpwstr>
  </property>
  <property fmtid="{D5CDD505-2E9C-101B-9397-08002B2CF9AE}" pid="4" name="LAWNUMBER">
    <vt:lpwstr>0769</vt:lpwstr>
  </property>
  <property fmtid="{D5CDD505-2E9C-101B-9397-08002B2CF9AE}" pid="5" name="TYPE">
    <vt:lpwstr>01</vt:lpwstr>
  </property>
  <property fmtid="{D5CDD505-2E9C-101B-9397-08002B2CF9AE}" pid="6" name="CHNAME">
    <vt:lpwstr>ביטוח</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ביטוח</vt:lpwstr>
  </property>
  <property fmtid="{D5CDD505-2E9C-101B-9397-08002B2CF9AE}" pid="24" name="NOSE21">
    <vt:lpwstr>עסקי ביטוח</vt:lpwstr>
  </property>
  <property fmtid="{D5CDD505-2E9C-101B-9397-08002B2CF9AE}" pid="25" name="NOSE31">
    <vt:lpwstr>סוכן ביטוח</vt:lpwstr>
  </property>
  <property fmtid="{D5CDD505-2E9C-101B-9397-08002B2CF9AE}" pid="26" name="NOSE41">
    <vt:lpwstr/>
  </property>
  <property fmtid="{D5CDD505-2E9C-101B-9397-08002B2CF9AE}" pid="27" name="NOSE12">
    <vt:lpwstr>ביטוח</vt:lpwstr>
  </property>
  <property fmtid="{D5CDD505-2E9C-101B-9397-08002B2CF9AE}" pid="28" name="NOSE22">
    <vt:lpwstr>עסקי ביטוח</vt:lpwstr>
  </property>
  <property fmtid="{D5CDD505-2E9C-101B-9397-08002B2CF9AE}" pid="29" name="NOSE32">
    <vt:lpwstr>שירותים פיננסיים</vt:lpwstr>
  </property>
  <property fmtid="{D5CDD505-2E9C-101B-9397-08002B2CF9AE}" pid="30" name="NOSE42">
    <vt:lpwstr/>
  </property>
  <property fmtid="{D5CDD505-2E9C-101B-9397-08002B2CF9AE}" pid="31" name="NOSE13">
    <vt:lpwstr>משפט פרטי וכלכלה</vt:lpwstr>
  </property>
  <property fmtid="{D5CDD505-2E9C-101B-9397-08002B2CF9AE}" pid="32" name="NOSE23">
    <vt:lpwstr>כספים</vt:lpwstr>
  </property>
  <property fmtid="{D5CDD505-2E9C-101B-9397-08002B2CF9AE}" pid="33" name="NOSE33">
    <vt:lpwstr>שירותים פיננסיים</vt:lpwstr>
  </property>
  <property fmtid="{D5CDD505-2E9C-101B-9397-08002B2CF9AE}" pid="34" name="NOSE43">
    <vt:lpwstr>ביטוח</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הפיקוח על שירותים פיננסיים (ביטוח)</vt:lpwstr>
  </property>
  <property fmtid="{D5CDD505-2E9C-101B-9397-08002B2CF9AE}" pid="64" name="MEKOR_SAIF1">
    <vt:lpwstr>41XדX;112X</vt:lpwstr>
  </property>
  <property fmtid="{D5CDD505-2E9C-101B-9397-08002B2CF9AE}" pid="65" name="LINKK1">
    <vt:lpwstr>http://www.nevo.co.il/Law_word/law06/TAK-7165.pdf;רשומות - תקנות כלליות#פורסמו ק"ת תשע"ג מס' 7165 #מיום 24.9.2012 עמ' 10</vt:lpwstr>
  </property>
</Properties>
</file>