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D67F" w14:textId="77777777" w:rsidR="002D24EB" w:rsidRDefault="002D24EB" w:rsidP="005D08B8">
      <w:pPr>
        <w:pStyle w:val="big-header"/>
        <w:ind w:left="0" w:right="1134"/>
        <w:rPr>
          <w:rFonts w:hint="cs"/>
          <w:rtl/>
        </w:rPr>
      </w:pPr>
      <w:r>
        <w:rPr>
          <w:rFonts w:hint="cs"/>
          <w:rtl/>
        </w:rPr>
        <w:t xml:space="preserve">תקנות </w:t>
      </w:r>
      <w:r w:rsidR="00C867A7">
        <w:rPr>
          <w:rFonts w:hint="cs"/>
          <w:rtl/>
        </w:rPr>
        <w:t>הפיקוח על שירותים פיננסיים (קופות גמל) (</w:t>
      </w:r>
      <w:r w:rsidR="005D08B8">
        <w:rPr>
          <w:rFonts w:hint="cs"/>
          <w:rtl/>
        </w:rPr>
        <w:t>חישוב שווי נכסים</w:t>
      </w:r>
      <w:r w:rsidR="006E0F69">
        <w:rPr>
          <w:rFonts w:hint="cs"/>
          <w:rtl/>
        </w:rPr>
        <w:t>)</w:t>
      </w:r>
      <w:r>
        <w:rPr>
          <w:rtl/>
        </w:rPr>
        <w:t>, תשס"</w:t>
      </w:r>
      <w:r w:rsidR="005045F5">
        <w:rPr>
          <w:rFonts w:hint="cs"/>
          <w:rtl/>
        </w:rPr>
        <w:t>ט</w:t>
      </w:r>
      <w:r>
        <w:rPr>
          <w:rtl/>
        </w:rPr>
        <w:t>-200</w:t>
      </w:r>
      <w:r w:rsidR="005045F5">
        <w:rPr>
          <w:rFonts w:hint="cs"/>
          <w:rtl/>
        </w:rPr>
        <w:t>9</w:t>
      </w:r>
    </w:p>
    <w:p w14:paraId="5A8C878C" w14:textId="77777777" w:rsidR="001C4378" w:rsidRPr="001C4378" w:rsidRDefault="001C4378" w:rsidP="001C4378">
      <w:pPr>
        <w:spacing w:line="320" w:lineRule="auto"/>
        <w:jc w:val="left"/>
        <w:rPr>
          <w:rFonts w:cs="FrankRuehl"/>
          <w:szCs w:val="26"/>
          <w:rtl/>
        </w:rPr>
      </w:pPr>
    </w:p>
    <w:p w14:paraId="5C38F5A7" w14:textId="77777777" w:rsidR="001C4378" w:rsidRDefault="001C4378" w:rsidP="001C4378">
      <w:pPr>
        <w:spacing w:line="320" w:lineRule="auto"/>
        <w:jc w:val="left"/>
        <w:rPr>
          <w:rtl/>
        </w:rPr>
      </w:pPr>
    </w:p>
    <w:p w14:paraId="1034E1CF" w14:textId="77777777" w:rsidR="001C4378" w:rsidRDefault="001C4378" w:rsidP="001C4378">
      <w:pPr>
        <w:spacing w:line="320" w:lineRule="auto"/>
        <w:jc w:val="left"/>
        <w:rPr>
          <w:rFonts w:cs="FrankRuehl"/>
          <w:szCs w:val="26"/>
          <w:rtl/>
        </w:rPr>
      </w:pPr>
      <w:r w:rsidRPr="001C4378">
        <w:rPr>
          <w:rFonts w:cs="Miriam"/>
          <w:szCs w:val="22"/>
          <w:rtl/>
        </w:rPr>
        <w:t>משפט פרטי וכלכלה</w:t>
      </w:r>
      <w:r w:rsidRPr="001C4378">
        <w:rPr>
          <w:rFonts w:cs="FrankRuehl"/>
          <w:szCs w:val="26"/>
          <w:rtl/>
        </w:rPr>
        <w:t xml:space="preserve"> – כספים – שירותים פיננסיים – קופות גמל</w:t>
      </w:r>
    </w:p>
    <w:p w14:paraId="57C78961" w14:textId="77777777" w:rsidR="003662B0" w:rsidRPr="001C4378" w:rsidRDefault="001C4378" w:rsidP="001C4378">
      <w:pPr>
        <w:spacing w:line="320" w:lineRule="auto"/>
        <w:jc w:val="left"/>
        <w:rPr>
          <w:rFonts w:cs="Miriam"/>
          <w:szCs w:val="22"/>
          <w:rtl/>
        </w:rPr>
      </w:pPr>
      <w:r w:rsidRPr="001C4378">
        <w:rPr>
          <w:rFonts w:cs="Miriam"/>
          <w:szCs w:val="22"/>
          <w:rtl/>
        </w:rPr>
        <w:t>משפט פרטי וכלכלה</w:t>
      </w:r>
      <w:r w:rsidRPr="001C4378">
        <w:rPr>
          <w:rFonts w:cs="FrankRuehl"/>
          <w:szCs w:val="26"/>
          <w:rtl/>
        </w:rPr>
        <w:t xml:space="preserve"> – תאגידים וניירות ערך – קופות גמל</w:t>
      </w:r>
    </w:p>
    <w:p w14:paraId="1CEE3D82"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55E5" w:rsidRPr="00ED55E5" w14:paraId="2D62E8A8" w14:textId="77777777">
        <w:tblPrEx>
          <w:tblCellMar>
            <w:top w:w="0" w:type="dxa"/>
            <w:bottom w:w="0" w:type="dxa"/>
          </w:tblCellMar>
        </w:tblPrEx>
        <w:tc>
          <w:tcPr>
            <w:tcW w:w="1247" w:type="dxa"/>
          </w:tcPr>
          <w:p w14:paraId="7ABA73F2"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1 </w:t>
            </w:r>
          </w:p>
        </w:tc>
        <w:tc>
          <w:tcPr>
            <w:tcW w:w="5669" w:type="dxa"/>
          </w:tcPr>
          <w:p w14:paraId="5DFF154E" w14:textId="77777777" w:rsidR="00ED55E5" w:rsidRPr="00ED55E5" w:rsidRDefault="00ED55E5" w:rsidP="00ED55E5">
            <w:pPr>
              <w:spacing w:line="240" w:lineRule="auto"/>
              <w:jc w:val="left"/>
              <w:rPr>
                <w:rFonts w:cs="Frankruhel" w:hint="cs"/>
                <w:sz w:val="24"/>
                <w:rtl/>
              </w:rPr>
            </w:pPr>
            <w:r>
              <w:rPr>
                <w:rFonts w:cs="Times New Roman"/>
                <w:sz w:val="24"/>
                <w:rtl/>
              </w:rPr>
              <w:t>הגדרות</w:t>
            </w:r>
          </w:p>
        </w:tc>
        <w:tc>
          <w:tcPr>
            <w:tcW w:w="567" w:type="dxa"/>
          </w:tcPr>
          <w:p w14:paraId="1DE13E0F" w14:textId="77777777" w:rsidR="00ED55E5" w:rsidRPr="00ED55E5" w:rsidRDefault="00ED55E5" w:rsidP="00ED55E5">
            <w:pPr>
              <w:spacing w:line="240" w:lineRule="auto"/>
              <w:jc w:val="left"/>
              <w:rPr>
                <w:rStyle w:val="Hyperlink"/>
                <w:rFonts w:hint="cs"/>
                <w:rtl/>
              </w:rPr>
            </w:pPr>
            <w:hyperlink w:anchor="Seif1" w:tooltip="הגדרות" w:history="1">
              <w:r w:rsidRPr="00ED55E5">
                <w:rPr>
                  <w:rStyle w:val="Hyperlink"/>
                </w:rPr>
                <w:t>Go</w:t>
              </w:r>
            </w:hyperlink>
          </w:p>
        </w:tc>
        <w:tc>
          <w:tcPr>
            <w:tcW w:w="850" w:type="dxa"/>
          </w:tcPr>
          <w:p w14:paraId="65168E6D"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D55E5" w:rsidRPr="00ED55E5" w14:paraId="78A9D3CB" w14:textId="77777777">
        <w:tblPrEx>
          <w:tblCellMar>
            <w:top w:w="0" w:type="dxa"/>
            <w:bottom w:w="0" w:type="dxa"/>
          </w:tblCellMar>
        </w:tblPrEx>
        <w:tc>
          <w:tcPr>
            <w:tcW w:w="1247" w:type="dxa"/>
          </w:tcPr>
          <w:p w14:paraId="46842E93"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2 </w:t>
            </w:r>
          </w:p>
        </w:tc>
        <w:tc>
          <w:tcPr>
            <w:tcW w:w="5669" w:type="dxa"/>
          </w:tcPr>
          <w:p w14:paraId="57FBAA6C" w14:textId="77777777" w:rsidR="00ED55E5" w:rsidRPr="00ED55E5" w:rsidRDefault="00ED55E5" w:rsidP="00ED55E5">
            <w:pPr>
              <w:spacing w:line="240" w:lineRule="auto"/>
              <w:jc w:val="left"/>
              <w:rPr>
                <w:rFonts w:cs="Frankruhel" w:hint="cs"/>
                <w:sz w:val="24"/>
                <w:rtl/>
              </w:rPr>
            </w:pPr>
            <w:r>
              <w:rPr>
                <w:rFonts w:cs="Times New Roman"/>
                <w:sz w:val="24"/>
                <w:rtl/>
              </w:rPr>
              <w:t>תדירות שערוך הנכסים</w:t>
            </w:r>
          </w:p>
        </w:tc>
        <w:tc>
          <w:tcPr>
            <w:tcW w:w="567" w:type="dxa"/>
          </w:tcPr>
          <w:p w14:paraId="6CC5D616" w14:textId="77777777" w:rsidR="00ED55E5" w:rsidRPr="00ED55E5" w:rsidRDefault="00ED55E5" w:rsidP="00ED55E5">
            <w:pPr>
              <w:spacing w:line="240" w:lineRule="auto"/>
              <w:jc w:val="left"/>
              <w:rPr>
                <w:rStyle w:val="Hyperlink"/>
                <w:rFonts w:hint="cs"/>
                <w:rtl/>
              </w:rPr>
            </w:pPr>
            <w:hyperlink w:anchor="Seif2" w:tooltip="תדירות שערוך הנכסים" w:history="1">
              <w:r w:rsidRPr="00ED55E5">
                <w:rPr>
                  <w:rStyle w:val="Hyperlink"/>
                </w:rPr>
                <w:t>Go</w:t>
              </w:r>
            </w:hyperlink>
          </w:p>
        </w:tc>
        <w:tc>
          <w:tcPr>
            <w:tcW w:w="850" w:type="dxa"/>
          </w:tcPr>
          <w:p w14:paraId="7CB2F68F"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D55E5" w:rsidRPr="00ED55E5" w14:paraId="50A86923" w14:textId="77777777">
        <w:tblPrEx>
          <w:tblCellMar>
            <w:top w:w="0" w:type="dxa"/>
            <w:bottom w:w="0" w:type="dxa"/>
          </w:tblCellMar>
        </w:tblPrEx>
        <w:tc>
          <w:tcPr>
            <w:tcW w:w="1247" w:type="dxa"/>
          </w:tcPr>
          <w:p w14:paraId="262EF8BA"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3 </w:t>
            </w:r>
          </w:p>
        </w:tc>
        <w:tc>
          <w:tcPr>
            <w:tcW w:w="5669" w:type="dxa"/>
          </w:tcPr>
          <w:p w14:paraId="7308B349" w14:textId="77777777" w:rsidR="00ED55E5" w:rsidRPr="00ED55E5" w:rsidRDefault="00ED55E5" w:rsidP="00ED55E5">
            <w:pPr>
              <w:spacing w:line="240" w:lineRule="auto"/>
              <w:jc w:val="left"/>
              <w:rPr>
                <w:rFonts w:cs="Frankruhel" w:hint="cs"/>
                <w:sz w:val="24"/>
                <w:rtl/>
              </w:rPr>
            </w:pPr>
            <w:r>
              <w:rPr>
                <w:rFonts w:cs="Times New Roman"/>
                <w:sz w:val="24"/>
                <w:rtl/>
              </w:rPr>
              <w:t>שיטת חישוב שווי הנכסים</w:t>
            </w:r>
          </w:p>
        </w:tc>
        <w:tc>
          <w:tcPr>
            <w:tcW w:w="567" w:type="dxa"/>
          </w:tcPr>
          <w:p w14:paraId="2FD2EECF" w14:textId="77777777" w:rsidR="00ED55E5" w:rsidRPr="00ED55E5" w:rsidRDefault="00ED55E5" w:rsidP="00ED55E5">
            <w:pPr>
              <w:spacing w:line="240" w:lineRule="auto"/>
              <w:jc w:val="left"/>
              <w:rPr>
                <w:rStyle w:val="Hyperlink"/>
                <w:rFonts w:hint="cs"/>
                <w:rtl/>
              </w:rPr>
            </w:pPr>
            <w:hyperlink w:anchor="Seif3" w:tooltip="שיטת חישוב שווי הנכסים" w:history="1">
              <w:r w:rsidRPr="00ED55E5">
                <w:rPr>
                  <w:rStyle w:val="Hyperlink"/>
                </w:rPr>
                <w:t>Go</w:t>
              </w:r>
            </w:hyperlink>
          </w:p>
        </w:tc>
        <w:tc>
          <w:tcPr>
            <w:tcW w:w="850" w:type="dxa"/>
          </w:tcPr>
          <w:p w14:paraId="4A203545"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D55E5" w:rsidRPr="00ED55E5" w14:paraId="79E734BB" w14:textId="77777777">
        <w:tblPrEx>
          <w:tblCellMar>
            <w:top w:w="0" w:type="dxa"/>
            <w:bottom w:w="0" w:type="dxa"/>
          </w:tblCellMar>
        </w:tblPrEx>
        <w:tc>
          <w:tcPr>
            <w:tcW w:w="1247" w:type="dxa"/>
          </w:tcPr>
          <w:p w14:paraId="67D65215"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4 </w:t>
            </w:r>
          </w:p>
        </w:tc>
        <w:tc>
          <w:tcPr>
            <w:tcW w:w="5669" w:type="dxa"/>
          </w:tcPr>
          <w:p w14:paraId="2417DED3" w14:textId="77777777" w:rsidR="00ED55E5" w:rsidRPr="00ED55E5" w:rsidRDefault="00ED55E5" w:rsidP="00ED55E5">
            <w:pPr>
              <w:spacing w:line="240" w:lineRule="auto"/>
              <w:jc w:val="left"/>
              <w:rPr>
                <w:rFonts w:cs="Frankruhel" w:hint="cs"/>
                <w:sz w:val="24"/>
                <w:rtl/>
              </w:rPr>
            </w:pPr>
            <w:r>
              <w:rPr>
                <w:rFonts w:cs="Times New Roman"/>
                <w:sz w:val="24"/>
                <w:rtl/>
              </w:rPr>
              <w:t>ניכויים משווי הנכסים</w:t>
            </w:r>
          </w:p>
        </w:tc>
        <w:tc>
          <w:tcPr>
            <w:tcW w:w="567" w:type="dxa"/>
          </w:tcPr>
          <w:p w14:paraId="42CC0D68" w14:textId="77777777" w:rsidR="00ED55E5" w:rsidRPr="00ED55E5" w:rsidRDefault="00ED55E5" w:rsidP="00ED55E5">
            <w:pPr>
              <w:spacing w:line="240" w:lineRule="auto"/>
              <w:jc w:val="left"/>
              <w:rPr>
                <w:rStyle w:val="Hyperlink"/>
                <w:rFonts w:hint="cs"/>
                <w:rtl/>
              </w:rPr>
            </w:pPr>
            <w:hyperlink w:anchor="Seif4" w:tooltip="ניכויים משווי הנכסים" w:history="1">
              <w:r w:rsidRPr="00ED55E5">
                <w:rPr>
                  <w:rStyle w:val="Hyperlink"/>
                </w:rPr>
                <w:t>Go</w:t>
              </w:r>
            </w:hyperlink>
          </w:p>
        </w:tc>
        <w:tc>
          <w:tcPr>
            <w:tcW w:w="850" w:type="dxa"/>
          </w:tcPr>
          <w:p w14:paraId="292B36EF"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D55E5" w:rsidRPr="00ED55E5" w14:paraId="65218D46" w14:textId="77777777">
        <w:tblPrEx>
          <w:tblCellMar>
            <w:top w:w="0" w:type="dxa"/>
            <w:bottom w:w="0" w:type="dxa"/>
          </w:tblCellMar>
        </w:tblPrEx>
        <w:tc>
          <w:tcPr>
            <w:tcW w:w="1247" w:type="dxa"/>
          </w:tcPr>
          <w:p w14:paraId="35DED5D5"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5 </w:t>
            </w:r>
          </w:p>
        </w:tc>
        <w:tc>
          <w:tcPr>
            <w:tcW w:w="5669" w:type="dxa"/>
          </w:tcPr>
          <w:p w14:paraId="40BE156F" w14:textId="77777777" w:rsidR="00ED55E5" w:rsidRPr="00ED55E5" w:rsidRDefault="00ED55E5" w:rsidP="00ED55E5">
            <w:pPr>
              <w:spacing w:line="240" w:lineRule="auto"/>
              <w:jc w:val="left"/>
              <w:rPr>
                <w:rFonts w:cs="Frankruhel" w:hint="cs"/>
                <w:sz w:val="24"/>
                <w:rtl/>
              </w:rPr>
            </w:pPr>
            <w:r>
              <w:rPr>
                <w:rFonts w:cs="Times New Roman"/>
                <w:sz w:val="24"/>
                <w:rtl/>
              </w:rPr>
              <w:t>חישוב שוויים של נכסים מחוץ לישראל</w:t>
            </w:r>
          </w:p>
        </w:tc>
        <w:tc>
          <w:tcPr>
            <w:tcW w:w="567" w:type="dxa"/>
          </w:tcPr>
          <w:p w14:paraId="574920FC" w14:textId="77777777" w:rsidR="00ED55E5" w:rsidRPr="00ED55E5" w:rsidRDefault="00ED55E5" w:rsidP="00ED55E5">
            <w:pPr>
              <w:spacing w:line="240" w:lineRule="auto"/>
              <w:jc w:val="left"/>
              <w:rPr>
                <w:rStyle w:val="Hyperlink"/>
                <w:rFonts w:hint="cs"/>
                <w:rtl/>
              </w:rPr>
            </w:pPr>
            <w:hyperlink w:anchor="Seif5" w:tooltip="חישוב שוויים של נכסים מחוץ לישראל" w:history="1">
              <w:r w:rsidRPr="00ED55E5">
                <w:rPr>
                  <w:rStyle w:val="Hyperlink"/>
                </w:rPr>
                <w:t>Go</w:t>
              </w:r>
            </w:hyperlink>
          </w:p>
        </w:tc>
        <w:tc>
          <w:tcPr>
            <w:tcW w:w="850" w:type="dxa"/>
          </w:tcPr>
          <w:p w14:paraId="2B833F56"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D55E5" w:rsidRPr="00ED55E5" w14:paraId="560EFAEE" w14:textId="77777777">
        <w:tblPrEx>
          <w:tblCellMar>
            <w:top w:w="0" w:type="dxa"/>
            <w:bottom w:w="0" w:type="dxa"/>
          </w:tblCellMar>
        </w:tblPrEx>
        <w:tc>
          <w:tcPr>
            <w:tcW w:w="1247" w:type="dxa"/>
          </w:tcPr>
          <w:p w14:paraId="533597C3"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6 </w:t>
            </w:r>
          </w:p>
        </w:tc>
        <w:tc>
          <w:tcPr>
            <w:tcW w:w="5669" w:type="dxa"/>
          </w:tcPr>
          <w:p w14:paraId="4A0BEBCE" w14:textId="77777777" w:rsidR="00ED55E5" w:rsidRPr="00ED55E5" w:rsidRDefault="00ED55E5" w:rsidP="00ED55E5">
            <w:pPr>
              <w:spacing w:line="240" w:lineRule="auto"/>
              <w:jc w:val="left"/>
              <w:rPr>
                <w:rFonts w:cs="Frankruhel" w:hint="cs"/>
                <w:sz w:val="24"/>
                <w:rtl/>
              </w:rPr>
            </w:pPr>
            <w:r>
              <w:rPr>
                <w:rFonts w:cs="Times New Roman"/>
                <w:sz w:val="24"/>
                <w:rtl/>
              </w:rPr>
              <w:t>חישוב שוויים של נכסי קופת גמל המבטיחה תשואה</w:t>
            </w:r>
          </w:p>
        </w:tc>
        <w:tc>
          <w:tcPr>
            <w:tcW w:w="567" w:type="dxa"/>
          </w:tcPr>
          <w:p w14:paraId="4662211E" w14:textId="77777777" w:rsidR="00ED55E5" w:rsidRPr="00ED55E5" w:rsidRDefault="00ED55E5" w:rsidP="00ED55E5">
            <w:pPr>
              <w:spacing w:line="240" w:lineRule="auto"/>
              <w:jc w:val="left"/>
              <w:rPr>
                <w:rStyle w:val="Hyperlink"/>
                <w:rFonts w:hint="cs"/>
                <w:rtl/>
              </w:rPr>
            </w:pPr>
            <w:hyperlink w:anchor="Seif6" w:tooltip="חישוב שוויים של נכסי קופת גמל המבטיחה תשואה" w:history="1">
              <w:r w:rsidRPr="00ED55E5">
                <w:rPr>
                  <w:rStyle w:val="Hyperlink"/>
                </w:rPr>
                <w:t>Go</w:t>
              </w:r>
            </w:hyperlink>
          </w:p>
        </w:tc>
        <w:tc>
          <w:tcPr>
            <w:tcW w:w="850" w:type="dxa"/>
          </w:tcPr>
          <w:p w14:paraId="3D9D493A"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D55E5" w:rsidRPr="00ED55E5" w14:paraId="62819DE8" w14:textId="77777777">
        <w:tblPrEx>
          <w:tblCellMar>
            <w:top w:w="0" w:type="dxa"/>
            <w:bottom w:w="0" w:type="dxa"/>
          </w:tblCellMar>
        </w:tblPrEx>
        <w:tc>
          <w:tcPr>
            <w:tcW w:w="1247" w:type="dxa"/>
          </w:tcPr>
          <w:p w14:paraId="17BD5388"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7 </w:t>
            </w:r>
          </w:p>
        </w:tc>
        <w:tc>
          <w:tcPr>
            <w:tcW w:w="5669" w:type="dxa"/>
          </w:tcPr>
          <w:p w14:paraId="553A3E6E" w14:textId="77777777" w:rsidR="00ED55E5" w:rsidRPr="00ED55E5" w:rsidRDefault="00ED55E5" w:rsidP="00ED55E5">
            <w:pPr>
              <w:spacing w:line="240" w:lineRule="auto"/>
              <w:jc w:val="left"/>
              <w:rPr>
                <w:rFonts w:cs="Frankruhel" w:hint="cs"/>
                <w:sz w:val="24"/>
                <w:rtl/>
              </w:rPr>
            </w:pPr>
            <w:r>
              <w:rPr>
                <w:rFonts w:cs="Times New Roman"/>
                <w:sz w:val="24"/>
                <w:rtl/>
              </w:rPr>
              <w:t>חישוב שווי הנובע מעסקאות שאינן כלכליות</w:t>
            </w:r>
          </w:p>
        </w:tc>
        <w:tc>
          <w:tcPr>
            <w:tcW w:w="567" w:type="dxa"/>
          </w:tcPr>
          <w:p w14:paraId="3679DA61" w14:textId="77777777" w:rsidR="00ED55E5" w:rsidRPr="00ED55E5" w:rsidRDefault="00ED55E5" w:rsidP="00ED55E5">
            <w:pPr>
              <w:spacing w:line="240" w:lineRule="auto"/>
              <w:jc w:val="left"/>
              <w:rPr>
                <w:rStyle w:val="Hyperlink"/>
                <w:rFonts w:hint="cs"/>
                <w:rtl/>
              </w:rPr>
            </w:pPr>
            <w:hyperlink w:anchor="Seif7" w:tooltip="חישוב שווי הנובע מעסקאות שאינן כלכליות" w:history="1">
              <w:r w:rsidRPr="00ED55E5">
                <w:rPr>
                  <w:rStyle w:val="Hyperlink"/>
                </w:rPr>
                <w:t>Go</w:t>
              </w:r>
            </w:hyperlink>
          </w:p>
        </w:tc>
        <w:tc>
          <w:tcPr>
            <w:tcW w:w="850" w:type="dxa"/>
          </w:tcPr>
          <w:p w14:paraId="7BBB7B99"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D55E5" w:rsidRPr="00ED55E5" w14:paraId="235B516C" w14:textId="77777777">
        <w:tblPrEx>
          <w:tblCellMar>
            <w:top w:w="0" w:type="dxa"/>
            <w:bottom w:w="0" w:type="dxa"/>
          </w:tblCellMar>
        </w:tblPrEx>
        <w:tc>
          <w:tcPr>
            <w:tcW w:w="1247" w:type="dxa"/>
          </w:tcPr>
          <w:p w14:paraId="2193BAE7" w14:textId="77777777" w:rsidR="00ED55E5" w:rsidRPr="00ED55E5" w:rsidRDefault="00ED55E5" w:rsidP="00ED55E5">
            <w:pPr>
              <w:spacing w:line="240" w:lineRule="auto"/>
              <w:jc w:val="left"/>
              <w:rPr>
                <w:rFonts w:cs="Frankruhel" w:hint="cs"/>
                <w:sz w:val="24"/>
                <w:rtl/>
              </w:rPr>
            </w:pPr>
            <w:r>
              <w:rPr>
                <w:rFonts w:cs="Times New Roman"/>
                <w:sz w:val="24"/>
                <w:rtl/>
              </w:rPr>
              <w:t xml:space="preserve">סעיף 8 </w:t>
            </w:r>
          </w:p>
        </w:tc>
        <w:tc>
          <w:tcPr>
            <w:tcW w:w="5669" w:type="dxa"/>
          </w:tcPr>
          <w:p w14:paraId="3B75FFCB" w14:textId="77777777" w:rsidR="00ED55E5" w:rsidRPr="00ED55E5" w:rsidRDefault="00ED55E5" w:rsidP="00ED55E5">
            <w:pPr>
              <w:spacing w:line="240" w:lineRule="auto"/>
              <w:jc w:val="left"/>
              <w:rPr>
                <w:rFonts w:cs="Frankruhel" w:hint="cs"/>
                <w:sz w:val="24"/>
                <w:rtl/>
              </w:rPr>
            </w:pPr>
            <w:r>
              <w:rPr>
                <w:rFonts w:cs="Times New Roman"/>
                <w:sz w:val="24"/>
                <w:rtl/>
              </w:rPr>
              <w:t>תחילה</w:t>
            </w:r>
          </w:p>
        </w:tc>
        <w:tc>
          <w:tcPr>
            <w:tcW w:w="567" w:type="dxa"/>
          </w:tcPr>
          <w:p w14:paraId="38E2DA59" w14:textId="77777777" w:rsidR="00ED55E5" w:rsidRPr="00ED55E5" w:rsidRDefault="00ED55E5" w:rsidP="00ED55E5">
            <w:pPr>
              <w:spacing w:line="240" w:lineRule="auto"/>
              <w:jc w:val="left"/>
              <w:rPr>
                <w:rStyle w:val="Hyperlink"/>
                <w:rFonts w:hint="cs"/>
                <w:rtl/>
              </w:rPr>
            </w:pPr>
            <w:hyperlink w:anchor="Seif8" w:tooltip="תחילה" w:history="1">
              <w:r w:rsidRPr="00ED55E5">
                <w:rPr>
                  <w:rStyle w:val="Hyperlink"/>
                </w:rPr>
                <w:t>Go</w:t>
              </w:r>
            </w:hyperlink>
          </w:p>
        </w:tc>
        <w:tc>
          <w:tcPr>
            <w:tcW w:w="850" w:type="dxa"/>
          </w:tcPr>
          <w:p w14:paraId="71DF6CBC" w14:textId="77777777" w:rsidR="00ED55E5" w:rsidRPr="00ED55E5" w:rsidRDefault="00ED55E5" w:rsidP="00ED55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14F7015" w14:textId="77777777" w:rsidR="002D24EB" w:rsidRDefault="002D24EB">
      <w:pPr>
        <w:pStyle w:val="big-header"/>
        <w:ind w:left="0" w:right="1134"/>
        <w:rPr>
          <w:rFonts w:hint="cs"/>
          <w:rtl/>
        </w:rPr>
      </w:pPr>
    </w:p>
    <w:p w14:paraId="5F8B92EB" w14:textId="77777777" w:rsidR="002D24EB" w:rsidRDefault="002D24EB" w:rsidP="003662B0">
      <w:pPr>
        <w:pStyle w:val="big-header"/>
        <w:ind w:left="0" w:right="1134"/>
        <w:rPr>
          <w:rFonts w:hint="cs"/>
          <w:rtl/>
        </w:rPr>
      </w:pPr>
      <w:r>
        <w:rPr>
          <w:rtl/>
        </w:rPr>
        <w:br w:type="page"/>
      </w:r>
      <w:r w:rsidR="00C867A7">
        <w:rPr>
          <w:rFonts w:hint="cs"/>
          <w:rtl/>
        </w:rPr>
        <w:lastRenderedPageBreak/>
        <w:t>תקנות הפיקוח על שירותים פיננסיים (קופות גמל) (</w:t>
      </w:r>
      <w:r w:rsidR="005D08B8">
        <w:rPr>
          <w:rFonts w:hint="cs"/>
          <w:rtl/>
        </w:rPr>
        <w:t>חישוב שווי נכסים</w:t>
      </w:r>
      <w:r w:rsidR="00C867A7">
        <w:rPr>
          <w:rFonts w:hint="cs"/>
          <w:rtl/>
        </w:rPr>
        <w:t>)</w:t>
      </w:r>
      <w:r w:rsidR="00C867A7">
        <w:rPr>
          <w:rtl/>
        </w:rPr>
        <w:t>, תשס"</w:t>
      </w:r>
      <w:r w:rsidR="00C867A7">
        <w:rPr>
          <w:rFonts w:hint="cs"/>
          <w:rtl/>
        </w:rPr>
        <w:t>ט</w:t>
      </w:r>
      <w:r w:rsidR="00C867A7">
        <w:rPr>
          <w:rtl/>
        </w:rPr>
        <w:t>-200</w:t>
      </w:r>
      <w:r w:rsidR="00C867A7">
        <w:rPr>
          <w:rFonts w:hint="cs"/>
          <w:rtl/>
        </w:rPr>
        <w:t>9</w:t>
      </w:r>
      <w:r>
        <w:rPr>
          <w:rStyle w:val="default"/>
          <w:sz w:val="22"/>
          <w:szCs w:val="22"/>
          <w:rtl/>
        </w:rPr>
        <w:footnoteReference w:customMarkFollows="1" w:id="1"/>
        <w:t>*</w:t>
      </w:r>
    </w:p>
    <w:p w14:paraId="0890318B" w14:textId="77777777" w:rsidR="002D24EB" w:rsidRDefault="002D24EB" w:rsidP="005615C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5D08B8">
        <w:rPr>
          <w:rStyle w:val="default"/>
          <w:rFonts w:cs="FrankRuehl" w:hint="cs"/>
          <w:rtl/>
        </w:rPr>
        <w:t>33(א)</w:t>
      </w:r>
      <w:r w:rsidR="00C867A7">
        <w:rPr>
          <w:rStyle w:val="default"/>
          <w:rFonts w:cs="FrankRuehl" w:hint="cs"/>
          <w:rtl/>
        </w:rPr>
        <w:t xml:space="preserve"> ו-60 לחוק הפיקוח על שירותים פיננסיים (קופות גמל), התשס"ה-2005</w:t>
      </w:r>
      <w:r w:rsidR="00C56B49">
        <w:rPr>
          <w:rStyle w:val="default"/>
          <w:rFonts w:cs="FrankRuehl" w:hint="cs"/>
          <w:rtl/>
        </w:rPr>
        <w:t xml:space="preserve"> (להלן </w:t>
      </w:r>
      <w:r w:rsidR="00C56B49">
        <w:rPr>
          <w:rStyle w:val="default"/>
          <w:rFonts w:cs="FrankRuehl"/>
          <w:rtl/>
        </w:rPr>
        <w:t>–</w:t>
      </w:r>
      <w:r w:rsidR="00C56B49">
        <w:rPr>
          <w:rStyle w:val="default"/>
          <w:rFonts w:cs="FrankRuehl" w:hint="cs"/>
          <w:rtl/>
        </w:rPr>
        <w:t xml:space="preserve"> החוק),</w:t>
      </w:r>
      <w:r w:rsidR="005D08B8">
        <w:rPr>
          <w:rStyle w:val="default"/>
          <w:rFonts w:cs="FrankRuehl" w:hint="cs"/>
          <w:rtl/>
        </w:rPr>
        <w:t xml:space="preserve"> ולפי סעיפים 36א ו-112 לחוק הפיקוח על שירותים פיננסיים (ביטוח), התשמ"א-1981,</w:t>
      </w:r>
      <w:r w:rsidR="00C56B49">
        <w:rPr>
          <w:rStyle w:val="default"/>
          <w:rFonts w:cs="FrankRuehl" w:hint="cs"/>
          <w:rtl/>
        </w:rPr>
        <w:t xml:space="preserve"> ובאישור ועדת </w:t>
      </w:r>
      <w:r w:rsidR="00C867A7">
        <w:rPr>
          <w:rStyle w:val="default"/>
          <w:rFonts w:cs="FrankRuehl" w:hint="cs"/>
          <w:rtl/>
        </w:rPr>
        <w:t>הכספים</w:t>
      </w:r>
      <w:r w:rsidR="00C56B49">
        <w:rPr>
          <w:rStyle w:val="default"/>
          <w:rFonts w:cs="FrankRuehl" w:hint="cs"/>
          <w:rtl/>
        </w:rPr>
        <w:t xml:space="preserve"> של הכנסת</w:t>
      </w:r>
      <w:r w:rsidR="005D08B8">
        <w:rPr>
          <w:rStyle w:val="default"/>
          <w:rFonts w:cs="FrankRuehl" w:hint="cs"/>
          <w:rtl/>
        </w:rPr>
        <w:t xml:space="preserve"> לפי סעיף 21א(א) לחוק-יסוד: הכנסת, וסעיף 2(ב) לחוק העונשין, התשל"ז-1977</w:t>
      </w:r>
      <w:r w:rsidR="00C56B49">
        <w:rPr>
          <w:rStyle w:val="default"/>
          <w:rFonts w:cs="FrankRuehl" w:hint="cs"/>
          <w:rtl/>
        </w:rPr>
        <w:t>,</w:t>
      </w:r>
      <w:r>
        <w:rPr>
          <w:rStyle w:val="default"/>
          <w:rFonts w:cs="FrankRuehl" w:hint="cs"/>
          <w:rtl/>
        </w:rPr>
        <w:t xml:space="preserve"> אני מתקין תקנות אלה:</w:t>
      </w:r>
    </w:p>
    <w:p w14:paraId="1EC95D37" w14:textId="77777777" w:rsidR="002D24EB" w:rsidRDefault="002D24EB" w:rsidP="00CF0011">
      <w:pPr>
        <w:pStyle w:val="P00"/>
        <w:spacing w:before="72"/>
        <w:ind w:left="0" w:right="1134"/>
        <w:rPr>
          <w:rStyle w:val="default"/>
          <w:rFonts w:cs="FrankRuehl" w:hint="cs"/>
          <w:rtl/>
        </w:rPr>
      </w:pPr>
      <w:bookmarkStart w:id="0" w:name="Seif1"/>
      <w:bookmarkEnd w:id="0"/>
      <w:r>
        <w:rPr>
          <w:lang w:val="he-IL"/>
        </w:rPr>
        <w:pict w14:anchorId="2FAE163D">
          <v:rect id="_x0000_s1026" style="position:absolute;left:0;text-align:left;margin-left:464.5pt;margin-top:8.05pt;width:75.05pt;height:12pt;z-index:251650048" o:allowincell="f" filled="f" stroked="f" strokecolor="lime" strokeweight=".25pt">
            <v:textbox style="mso-next-textbox:#_x0000_s1026" inset="0,0,0,0">
              <w:txbxContent>
                <w:p w14:paraId="382394C4" w14:textId="77777777" w:rsidR="004F01ED" w:rsidRDefault="00CF001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CF0011">
        <w:rPr>
          <w:rStyle w:val="default"/>
          <w:rFonts w:cs="FrankRuehl" w:hint="cs"/>
          <w:rtl/>
        </w:rPr>
        <w:t>בתקנות אלה</w:t>
      </w:r>
      <w:r w:rsidR="00343405">
        <w:rPr>
          <w:rStyle w:val="default"/>
          <w:rFonts w:cs="FrankRuehl" w:hint="cs"/>
          <w:rtl/>
        </w:rPr>
        <w:t>:</w:t>
      </w:r>
    </w:p>
    <w:p w14:paraId="2E09D7E8" w14:textId="77777777" w:rsidR="00343405" w:rsidRDefault="00F912FF" w:rsidP="00F912FF">
      <w:pPr>
        <w:pStyle w:val="P00"/>
        <w:spacing w:before="72"/>
        <w:ind w:left="0" w:right="1134"/>
        <w:rPr>
          <w:rStyle w:val="default"/>
          <w:rFonts w:cs="FrankRuehl" w:hint="cs"/>
          <w:rtl/>
        </w:rPr>
      </w:pPr>
      <w:r>
        <w:rPr>
          <w:rFonts w:hint="cs"/>
          <w:rtl/>
          <w:lang w:eastAsia="en-US"/>
        </w:rPr>
        <w:pict w14:anchorId="4497FE8C">
          <v:shapetype id="_x0000_t202" coordsize="21600,21600" o:spt="202" path="m,l,21600r21600,l21600,xe">
            <v:stroke joinstyle="miter"/>
            <v:path gradientshapeok="t" o:connecttype="rect"/>
          </v:shapetype>
          <v:shape id="_x0000_s1111" type="#_x0000_t202" style="position:absolute;left:0;text-align:left;margin-left:470.25pt;margin-top:7.1pt;width:1in;height:11.2pt;z-index:251658240" filled="f" stroked="f">
            <v:textbox inset="1mm,0,1mm,0">
              <w:txbxContent>
                <w:p w14:paraId="6D97D322"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sidR="00343405">
        <w:rPr>
          <w:rStyle w:val="default"/>
          <w:rFonts w:cs="FrankRuehl" w:hint="cs"/>
          <w:rtl/>
        </w:rPr>
        <w:tab/>
        <w:t xml:space="preserve">"איגרת חוב", "בורסה", "מכירה בחסר", </w:t>
      </w:r>
      <w:r>
        <w:rPr>
          <w:rStyle w:val="default"/>
          <w:rFonts w:cs="FrankRuehl" w:hint="cs"/>
          <w:rtl/>
        </w:rPr>
        <w:t xml:space="preserve">"נייר ערך סחיר", </w:t>
      </w:r>
      <w:r w:rsidR="00343405">
        <w:rPr>
          <w:rStyle w:val="default"/>
          <w:rFonts w:cs="FrankRuehl" w:hint="cs"/>
          <w:rtl/>
        </w:rPr>
        <w:t xml:space="preserve">"נכס </w:t>
      </w:r>
      <w:r>
        <w:rPr>
          <w:rStyle w:val="default"/>
          <w:rFonts w:cs="FrankRuehl" w:hint="cs"/>
          <w:rtl/>
        </w:rPr>
        <w:t xml:space="preserve">מותר להשקעה </w:t>
      </w:r>
      <w:r w:rsidR="00343405">
        <w:rPr>
          <w:rStyle w:val="default"/>
          <w:rFonts w:cs="FrankRuehl" w:hint="cs"/>
          <w:rtl/>
        </w:rPr>
        <w:t xml:space="preserve">מחוץ לישראל", "פיקדון", "פיקדון חשכ"ל" </w:t>
      </w:r>
      <w:r>
        <w:rPr>
          <w:rStyle w:val="default"/>
          <w:rFonts w:cs="FrankRuehl" w:hint="cs"/>
          <w:rtl/>
        </w:rPr>
        <w:t>ו</w:t>
      </w:r>
      <w:r w:rsidR="00343405">
        <w:rPr>
          <w:rStyle w:val="default"/>
          <w:rFonts w:cs="FrankRuehl" w:hint="cs"/>
          <w:rtl/>
        </w:rPr>
        <w:t xml:space="preserve">"שוק מוסדר" </w:t>
      </w:r>
      <w:r w:rsidR="00343405">
        <w:rPr>
          <w:rStyle w:val="default"/>
          <w:rFonts w:cs="FrankRuehl"/>
          <w:rtl/>
        </w:rPr>
        <w:t>–</w:t>
      </w:r>
      <w:r w:rsidR="00343405">
        <w:rPr>
          <w:rStyle w:val="default"/>
          <w:rFonts w:cs="FrankRuehl" w:hint="cs"/>
          <w:rtl/>
        </w:rPr>
        <w:t xml:space="preserve"> כהגדרתם </w:t>
      </w:r>
      <w:r>
        <w:rPr>
          <w:rStyle w:val="default"/>
          <w:rFonts w:cs="FrankRuehl" w:hint="cs"/>
          <w:rtl/>
        </w:rPr>
        <w:t xml:space="preserve">בתקנות הפיקוח על שירותים פיננסיים (קופות גמל) (כללי השקעה החלים על גופים מוסדיים), התשע"ב-2012 (בתקנה זו </w:t>
      </w:r>
      <w:r>
        <w:rPr>
          <w:rStyle w:val="default"/>
          <w:rFonts w:cs="FrankRuehl"/>
          <w:rtl/>
        </w:rPr>
        <w:t>–</w:t>
      </w:r>
      <w:r>
        <w:rPr>
          <w:rStyle w:val="default"/>
          <w:rFonts w:cs="FrankRuehl" w:hint="cs"/>
          <w:rtl/>
        </w:rPr>
        <w:t xml:space="preserve"> תקנות ההשקעה)</w:t>
      </w:r>
      <w:r w:rsidR="00343405">
        <w:rPr>
          <w:rStyle w:val="default"/>
          <w:rFonts w:cs="FrankRuehl" w:hint="cs"/>
          <w:rtl/>
        </w:rPr>
        <w:t>;</w:t>
      </w:r>
    </w:p>
    <w:p w14:paraId="4AAC995A"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1" w:name="Rov9"/>
      <w:r w:rsidRPr="00E76BFE">
        <w:rPr>
          <w:rStyle w:val="default"/>
          <w:rFonts w:cs="FrankRuehl" w:hint="cs"/>
          <w:vanish/>
          <w:color w:val="FF0000"/>
          <w:szCs w:val="20"/>
          <w:shd w:val="clear" w:color="auto" w:fill="FFFF99"/>
          <w:rtl/>
        </w:rPr>
        <w:t>מיום 8.7.2012</w:t>
      </w:r>
    </w:p>
    <w:p w14:paraId="5A83E2C4"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109F6793"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6"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1215</w:t>
      </w:r>
    </w:p>
    <w:p w14:paraId="4E553B3B"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החלפת ההגדרה</w:t>
      </w:r>
    </w:p>
    <w:p w14:paraId="36CE358E" w14:textId="77777777" w:rsidR="00F912FF" w:rsidRPr="00E76BFE" w:rsidRDefault="00F912FF" w:rsidP="00F912FF">
      <w:pPr>
        <w:pStyle w:val="P00"/>
        <w:ind w:left="0" w:right="1134"/>
        <w:rPr>
          <w:rStyle w:val="default"/>
          <w:rFonts w:cs="FrankRuehl" w:hint="cs"/>
          <w:vanish/>
          <w:szCs w:val="20"/>
          <w:shd w:val="clear" w:color="auto" w:fill="FFFF99"/>
          <w:rtl/>
        </w:rPr>
      </w:pPr>
      <w:r w:rsidRPr="00E76BFE">
        <w:rPr>
          <w:rStyle w:val="default"/>
          <w:rFonts w:cs="FrankRuehl" w:hint="cs"/>
          <w:vanish/>
          <w:szCs w:val="20"/>
          <w:shd w:val="clear" w:color="auto" w:fill="FFFF99"/>
          <w:rtl/>
        </w:rPr>
        <w:t>הנוסח הקודם:</w:t>
      </w:r>
    </w:p>
    <w:p w14:paraId="1FE94A60" w14:textId="77777777" w:rsidR="00F912FF" w:rsidRPr="00F912FF" w:rsidRDefault="00F912FF" w:rsidP="00F912FF">
      <w:pPr>
        <w:pStyle w:val="P00"/>
        <w:spacing w:before="0"/>
        <w:ind w:left="0" w:right="1134"/>
        <w:rPr>
          <w:rStyle w:val="default"/>
          <w:rFonts w:cs="FrankRuehl" w:hint="cs"/>
          <w:strike/>
          <w:sz w:val="2"/>
          <w:szCs w:val="2"/>
          <w:rtl/>
        </w:rPr>
      </w:pPr>
      <w:r w:rsidRPr="00E76BFE">
        <w:rPr>
          <w:rStyle w:val="default"/>
          <w:rFonts w:cs="FrankRuehl" w:hint="cs"/>
          <w:vanish/>
          <w:sz w:val="22"/>
          <w:szCs w:val="22"/>
          <w:shd w:val="clear" w:color="auto" w:fill="FFFF99"/>
          <w:rtl/>
        </w:rPr>
        <w:tab/>
      </w:r>
      <w:r w:rsidRPr="00E76BFE">
        <w:rPr>
          <w:rStyle w:val="default"/>
          <w:rFonts w:cs="FrankRuehl" w:hint="cs"/>
          <w:strike/>
          <w:vanish/>
          <w:sz w:val="22"/>
          <w:szCs w:val="22"/>
          <w:shd w:val="clear" w:color="auto" w:fill="FFFF99"/>
          <w:rtl/>
        </w:rPr>
        <w:t xml:space="preserve">"איגרת חוב", "בורסה", "הלוואה", "הלוואה לעמית", "מכירה בחסר", "נכס מחוץ לישראל", "עלות מתואמת", "פיקדון", "פיקדון חשכ"ל", "שווי הוגן", "שוק מוסדר", "תעודת חוב מסחרית" ו"תעודת חוב מסחרית סחירה" </w:t>
      </w:r>
      <w:r w:rsidRPr="00E76BFE">
        <w:rPr>
          <w:rStyle w:val="default"/>
          <w:rFonts w:cs="FrankRuehl"/>
          <w:strike/>
          <w:vanish/>
          <w:sz w:val="22"/>
          <w:szCs w:val="22"/>
          <w:shd w:val="clear" w:color="auto" w:fill="FFFF99"/>
          <w:rtl/>
        </w:rPr>
        <w:t>–</w:t>
      </w:r>
      <w:r w:rsidRPr="00E76BFE">
        <w:rPr>
          <w:rStyle w:val="default"/>
          <w:rFonts w:cs="FrankRuehl" w:hint="cs"/>
          <w:strike/>
          <w:vanish/>
          <w:sz w:val="22"/>
          <w:szCs w:val="22"/>
          <w:shd w:val="clear" w:color="auto" w:fill="FFFF99"/>
          <w:rtl/>
        </w:rPr>
        <w:t xml:space="preserve"> כהגדרתם בתקנה 41א לתקנות מס הכנסה;</w:t>
      </w:r>
      <w:bookmarkEnd w:id="1"/>
    </w:p>
    <w:p w14:paraId="53D70AC8" w14:textId="77777777" w:rsidR="00343405" w:rsidRDefault="00F912FF" w:rsidP="00F912FF">
      <w:pPr>
        <w:pStyle w:val="P00"/>
        <w:spacing w:before="72"/>
        <w:ind w:left="0" w:right="1134"/>
        <w:rPr>
          <w:rStyle w:val="default"/>
          <w:rFonts w:cs="FrankRuehl" w:hint="cs"/>
          <w:rtl/>
        </w:rPr>
      </w:pPr>
      <w:r>
        <w:rPr>
          <w:rFonts w:hint="cs"/>
          <w:rtl/>
          <w:lang w:eastAsia="en-US"/>
        </w:rPr>
        <w:pict w14:anchorId="160D1947">
          <v:shape id="_x0000_s1114" type="#_x0000_t202" style="position:absolute;left:0;text-align:left;margin-left:470.25pt;margin-top:7.15pt;width:1in;height:11.2pt;z-index:251659264" filled="f" stroked="f">
            <v:textbox style="mso-next-textbox:#_x0000_s1114" inset="1mm,0,1mm,0">
              <w:txbxContent>
                <w:p w14:paraId="2A9672B3"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sidR="00343405">
        <w:rPr>
          <w:rStyle w:val="default"/>
          <w:rFonts w:cs="FrankRuehl" w:hint="cs"/>
          <w:rtl/>
        </w:rPr>
        <w:tab/>
        <w:t xml:space="preserve">"נייר ערך סחיר" </w:t>
      </w:r>
      <w:r w:rsidR="00343405">
        <w:rPr>
          <w:rStyle w:val="default"/>
          <w:rFonts w:cs="FrankRuehl"/>
          <w:rtl/>
        </w:rPr>
        <w:t>–</w:t>
      </w:r>
      <w:r w:rsidR="00343405">
        <w:rPr>
          <w:rStyle w:val="default"/>
          <w:rFonts w:cs="FrankRuehl" w:hint="cs"/>
          <w:rtl/>
        </w:rPr>
        <w:t xml:space="preserve"> </w:t>
      </w:r>
      <w:r>
        <w:rPr>
          <w:rStyle w:val="default"/>
          <w:rFonts w:cs="FrankRuehl" w:hint="cs"/>
          <w:rtl/>
        </w:rPr>
        <w:t>(נמחקה)</w:t>
      </w:r>
      <w:r w:rsidR="00343405">
        <w:rPr>
          <w:rStyle w:val="default"/>
          <w:rFonts w:cs="FrankRuehl" w:hint="cs"/>
          <w:rtl/>
        </w:rPr>
        <w:t>;</w:t>
      </w:r>
    </w:p>
    <w:p w14:paraId="7BC5868D"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2" w:name="Rov10"/>
      <w:r w:rsidRPr="00E76BFE">
        <w:rPr>
          <w:rStyle w:val="default"/>
          <w:rFonts w:cs="FrankRuehl" w:hint="cs"/>
          <w:vanish/>
          <w:color w:val="FF0000"/>
          <w:szCs w:val="20"/>
          <w:shd w:val="clear" w:color="auto" w:fill="FFFF99"/>
          <w:rtl/>
        </w:rPr>
        <w:t>מיום 8.7.2012</w:t>
      </w:r>
    </w:p>
    <w:p w14:paraId="63C7BEA4"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00E97751"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7"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1215</w:t>
      </w:r>
    </w:p>
    <w:p w14:paraId="17931AD2"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מחיקת הגדרת "נייר ערך סחיר"</w:t>
      </w:r>
    </w:p>
    <w:p w14:paraId="0178AD35" w14:textId="77777777" w:rsidR="00F912FF" w:rsidRPr="00E76BFE" w:rsidRDefault="00F912FF" w:rsidP="00F912FF">
      <w:pPr>
        <w:pStyle w:val="P00"/>
        <w:ind w:left="0" w:right="1134"/>
        <w:rPr>
          <w:rStyle w:val="default"/>
          <w:rFonts w:cs="FrankRuehl" w:hint="cs"/>
          <w:vanish/>
          <w:szCs w:val="20"/>
          <w:shd w:val="clear" w:color="auto" w:fill="FFFF99"/>
          <w:rtl/>
        </w:rPr>
      </w:pPr>
      <w:r w:rsidRPr="00E76BFE">
        <w:rPr>
          <w:rStyle w:val="default"/>
          <w:rFonts w:cs="FrankRuehl" w:hint="cs"/>
          <w:vanish/>
          <w:szCs w:val="20"/>
          <w:shd w:val="clear" w:color="auto" w:fill="FFFF99"/>
          <w:rtl/>
        </w:rPr>
        <w:t>הנוסח הקודם:</w:t>
      </w:r>
    </w:p>
    <w:p w14:paraId="0D996ABD" w14:textId="77777777" w:rsidR="00F912FF" w:rsidRPr="00F912FF" w:rsidRDefault="00F912FF" w:rsidP="00F912FF">
      <w:pPr>
        <w:pStyle w:val="P00"/>
        <w:spacing w:before="0"/>
        <w:ind w:left="0" w:right="1134"/>
        <w:rPr>
          <w:rStyle w:val="default"/>
          <w:rFonts w:cs="FrankRuehl" w:hint="cs"/>
          <w:strike/>
          <w:sz w:val="2"/>
          <w:szCs w:val="2"/>
          <w:rtl/>
        </w:rPr>
      </w:pPr>
      <w:r w:rsidRPr="00E76BFE">
        <w:rPr>
          <w:rStyle w:val="default"/>
          <w:rFonts w:cs="FrankRuehl" w:hint="cs"/>
          <w:vanish/>
          <w:sz w:val="22"/>
          <w:szCs w:val="22"/>
          <w:shd w:val="clear" w:color="auto" w:fill="FFFF99"/>
          <w:rtl/>
        </w:rPr>
        <w:tab/>
      </w:r>
      <w:r w:rsidRPr="00E76BFE">
        <w:rPr>
          <w:rStyle w:val="default"/>
          <w:rFonts w:cs="FrankRuehl" w:hint="cs"/>
          <w:strike/>
          <w:vanish/>
          <w:sz w:val="22"/>
          <w:szCs w:val="22"/>
          <w:shd w:val="clear" w:color="auto" w:fill="FFFF99"/>
          <w:rtl/>
        </w:rPr>
        <w:t xml:space="preserve">"נייר ערך סחיר" </w:t>
      </w:r>
      <w:r w:rsidRPr="00E76BFE">
        <w:rPr>
          <w:rStyle w:val="default"/>
          <w:rFonts w:cs="FrankRuehl"/>
          <w:strike/>
          <w:vanish/>
          <w:sz w:val="22"/>
          <w:szCs w:val="22"/>
          <w:shd w:val="clear" w:color="auto" w:fill="FFFF99"/>
          <w:rtl/>
        </w:rPr>
        <w:t>–</w:t>
      </w:r>
      <w:r w:rsidRPr="00E76BFE">
        <w:rPr>
          <w:rStyle w:val="default"/>
          <w:rFonts w:cs="FrankRuehl" w:hint="cs"/>
          <w:strike/>
          <w:vanish/>
          <w:sz w:val="22"/>
          <w:szCs w:val="22"/>
          <w:shd w:val="clear" w:color="auto" w:fill="FFFF99"/>
          <w:rtl/>
        </w:rPr>
        <w:t xml:space="preserve"> כל נייר ערך הרשום למסחר בבורסה, אשר היקף ותדירות המסחר בו הם בהתאם להוראות הממונה;</w:t>
      </w:r>
      <w:bookmarkEnd w:id="2"/>
    </w:p>
    <w:p w14:paraId="51A09164" w14:textId="77777777" w:rsidR="00F912FF" w:rsidRDefault="00F912FF" w:rsidP="00F912FF">
      <w:pPr>
        <w:pStyle w:val="P00"/>
        <w:spacing w:before="72"/>
        <w:ind w:left="0" w:right="1134"/>
        <w:rPr>
          <w:rStyle w:val="default"/>
          <w:rFonts w:cs="FrankRuehl" w:hint="cs"/>
          <w:rtl/>
        </w:rPr>
      </w:pPr>
      <w:r>
        <w:rPr>
          <w:rFonts w:hint="cs"/>
          <w:rtl/>
          <w:lang w:eastAsia="en-US"/>
        </w:rPr>
        <w:pict w14:anchorId="0F8F7929">
          <v:shape id="_x0000_s1116" type="#_x0000_t202" style="position:absolute;left:0;text-align:left;margin-left:470.25pt;margin-top:7.15pt;width:1in;height:11.2pt;z-index:251660288" filled="f" stroked="f">
            <v:textbox style="mso-next-textbox:#_x0000_s1116" inset="1mm,0,1mm,0">
              <w:txbxContent>
                <w:p w14:paraId="078CF52B"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ab/>
        <w:t xml:space="preserve">"הלוואה" </w:t>
      </w:r>
      <w:r>
        <w:rPr>
          <w:rStyle w:val="default"/>
          <w:rFonts w:cs="FrankRuehl"/>
          <w:rtl/>
        </w:rPr>
        <w:t>–</w:t>
      </w:r>
      <w:r>
        <w:rPr>
          <w:rStyle w:val="default"/>
          <w:rFonts w:cs="FrankRuehl" w:hint="cs"/>
          <w:rtl/>
        </w:rPr>
        <w:t xml:space="preserve"> לרבות איגרת חוב ותעודת חוב מסחרית, אך למעט איגרת חוב של מדינת ישראל, פיקדון והלוואה לעמית;</w:t>
      </w:r>
    </w:p>
    <w:p w14:paraId="17F683EB"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3" w:name="Rov11"/>
      <w:r w:rsidRPr="00E76BFE">
        <w:rPr>
          <w:rStyle w:val="default"/>
          <w:rFonts w:cs="FrankRuehl" w:hint="cs"/>
          <w:vanish/>
          <w:color w:val="FF0000"/>
          <w:szCs w:val="20"/>
          <w:shd w:val="clear" w:color="auto" w:fill="FFFF99"/>
          <w:rtl/>
        </w:rPr>
        <w:t>מיום 8.7.2012</w:t>
      </w:r>
    </w:p>
    <w:p w14:paraId="672F98FF"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280D6B8B"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8"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1215</w:t>
      </w:r>
    </w:p>
    <w:p w14:paraId="25E38578" w14:textId="77777777" w:rsidR="00F912FF" w:rsidRPr="00F912FF" w:rsidRDefault="00F912FF" w:rsidP="00F912FF">
      <w:pPr>
        <w:pStyle w:val="P00"/>
        <w:spacing w:before="0"/>
        <w:ind w:left="0" w:right="1134"/>
        <w:rPr>
          <w:rStyle w:val="default"/>
          <w:rFonts w:cs="FrankRuehl" w:hint="cs"/>
          <w:sz w:val="2"/>
          <w:szCs w:val="2"/>
          <w:rtl/>
        </w:rPr>
      </w:pPr>
      <w:r w:rsidRPr="00E76BFE">
        <w:rPr>
          <w:rStyle w:val="default"/>
          <w:rFonts w:cs="FrankRuehl" w:hint="cs"/>
          <w:b/>
          <w:bCs/>
          <w:vanish/>
          <w:szCs w:val="20"/>
          <w:shd w:val="clear" w:color="auto" w:fill="FFFF99"/>
          <w:rtl/>
        </w:rPr>
        <w:t>הוספת הגדרת "הלוואה"</w:t>
      </w:r>
      <w:bookmarkEnd w:id="3"/>
    </w:p>
    <w:p w14:paraId="24841B7F" w14:textId="77777777" w:rsidR="00F912FF" w:rsidRDefault="00F912FF" w:rsidP="00F912FF">
      <w:pPr>
        <w:pStyle w:val="P00"/>
        <w:spacing w:before="72"/>
        <w:ind w:left="0" w:right="1134"/>
        <w:rPr>
          <w:rStyle w:val="default"/>
          <w:rFonts w:cs="FrankRuehl" w:hint="cs"/>
          <w:rtl/>
        </w:rPr>
      </w:pPr>
      <w:r>
        <w:rPr>
          <w:rFonts w:hint="cs"/>
          <w:rtl/>
          <w:lang w:eastAsia="en-US"/>
        </w:rPr>
        <w:pict w14:anchorId="0E27CE7F">
          <v:shape id="_x0000_s1117" type="#_x0000_t202" style="position:absolute;left:0;text-align:left;margin-left:470.25pt;margin-top:7.15pt;width:1in;height:11.2pt;z-index:251661312" filled="f" stroked="f">
            <v:textbox style="mso-next-textbox:#_x0000_s1117" inset="1mm,0,1mm,0">
              <w:txbxContent>
                <w:p w14:paraId="75C3903E"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ab/>
        <w:t xml:space="preserve">"הלוואה לעמית" </w:t>
      </w:r>
      <w:r>
        <w:rPr>
          <w:rStyle w:val="default"/>
          <w:rFonts w:cs="FrankRuehl"/>
          <w:rtl/>
        </w:rPr>
        <w:t>–</w:t>
      </w:r>
      <w:r>
        <w:rPr>
          <w:rStyle w:val="default"/>
          <w:rFonts w:cs="FrankRuehl" w:hint="cs"/>
          <w:rtl/>
        </w:rPr>
        <w:t xml:space="preserve"> הלוואה שניתנה לעמית לפי תקנה 16 לתקנות ההשקעה;</w:t>
      </w:r>
    </w:p>
    <w:p w14:paraId="7B1F94E0"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4" w:name="Rov12"/>
      <w:r w:rsidRPr="00E76BFE">
        <w:rPr>
          <w:rStyle w:val="default"/>
          <w:rFonts w:cs="FrankRuehl" w:hint="cs"/>
          <w:vanish/>
          <w:color w:val="FF0000"/>
          <w:szCs w:val="20"/>
          <w:shd w:val="clear" w:color="auto" w:fill="FFFF99"/>
          <w:rtl/>
        </w:rPr>
        <w:t>מיום 8.7.2012</w:t>
      </w:r>
    </w:p>
    <w:p w14:paraId="059F48FE"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4ABFF63D"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9"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1215</w:t>
      </w:r>
    </w:p>
    <w:p w14:paraId="41566451" w14:textId="77777777" w:rsidR="00F912FF" w:rsidRPr="00F912FF" w:rsidRDefault="00F912FF" w:rsidP="00F912FF">
      <w:pPr>
        <w:pStyle w:val="P00"/>
        <w:spacing w:before="0"/>
        <w:ind w:left="0" w:right="1134"/>
        <w:rPr>
          <w:rStyle w:val="default"/>
          <w:rFonts w:cs="FrankRuehl" w:hint="cs"/>
          <w:sz w:val="2"/>
          <w:szCs w:val="2"/>
          <w:rtl/>
        </w:rPr>
      </w:pPr>
      <w:r w:rsidRPr="00E76BFE">
        <w:rPr>
          <w:rStyle w:val="default"/>
          <w:rFonts w:cs="FrankRuehl" w:hint="cs"/>
          <w:b/>
          <w:bCs/>
          <w:vanish/>
          <w:szCs w:val="20"/>
          <w:shd w:val="clear" w:color="auto" w:fill="FFFF99"/>
          <w:rtl/>
        </w:rPr>
        <w:t>הוספת הגדרת "הלוואה לעמית"</w:t>
      </w:r>
      <w:bookmarkEnd w:id="4"/>
    </w:p>
    <w:p w14:paraId="2A534F51" w14:textId="77777777" w:rsidR="00F912FF" w:rsidRDefault="00F912FF" w:rsidP="00F912FF">
      <w:pPr>
        <w:pStyle w:val="P00"/>
        <w:spacing w:before="72"/>
        <w:ind w:left="0" w:right="1134"/>
        <w:rPr>
          <w:rStyle w:val="default"/>
          <w:rFonts w:cs="FrankRuehl" w:hint="cs"/>
          <w:rtl/>
        </w:rPr>
      </w:pPr>
      <w:r>
        <w:rPr>
          <w:rFonts w:hint="cs"/>
          <w:rtl/>
          <w:lang w:eastAsia="en-US"/>
        </w:rPr>
        <w:pict w14:anchorId="2829A53F">
          <v:shape id="_x0000_s1118" type="#_x0000_t202" style="position:absolute;left:0;text-align:left;margin-left:470.25pt;margin-top:7.15pt;width:1in;height:11.2pt;z-index:251662336" filled="f" stroked="f">
            <v:textbox style="mso-next-textbox:#_x0000_s1118" inset="1mm,0,1mm,0">
              <w:txbxContent>
                <w:p w14:paraId="25F3034B"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ab/>
        <w:t xml:space="preserve">"עלות מתואמת" </w:t>
      </w:r>
      <w:r>
        <w:rPr>
          <w:rStyle w:val="default"/>
          <w:rFonts w:cs="FrankRuehl"/>
          <w:rtl/>
        </w:rPr>
        <w:t>–</w:t>
      </w:r>
      <w:r>
        <w:rPr>
          <w:rStyle w:val="default"/>
          <w:rFonts w:cs="FrankRuehl" w:hint="cs"/>
          <w:rtl/>
        </w:rPr>
        <w:t xml:space="preserve"> עלות בתוספת הפרמיה שטרם הופחתה או בניכוי הניכיון שטרם הופחת, ובתוספת ריבית שנצברה מיום תשלום הריבית האחרון ועד יום החישוב, הכל בתוספת הפרשי הצמדה או הפרשי שער עד יום החישוב, לפי תנאי הנכס;</w:t>
      </w:r>
    </w:p>
    <w:p w14:paraId="5916B2BC"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5" w:name="Rov13"/>
      <w:r w:rsidRPr="00E76BFE">
        <w:rPr>
          <w:rStyle w:val="default"/>
          <w:rFonts w:cs="FrankRuehl" w:hint="cs"/>
          <w:vanish/>
          <w:color w:val="FF0000"/>
          <w:szCs w:val="20"/>
          <w:shd w:val="clear" w:color="auto" w:fill="FFFF99"/>
          <w:rtl/>
        </w:rPr>
        <w:t>מיום 8.7.2012</w:t>
      </w:r>
    </w:p>
    <w:p w14:paraId="56D3CE1B"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1696CCA9"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10"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1215</w:t>
      </w:r>
    </w:p>
    <w:p w14:paraId="3236239F" w14:textId="77777777" w:rsidR="00F912FF" w:rsidRPr="00F912FF" w:rsidRDefault="00F912FF" w:rsidP="00F912FF">
      <w:pPr>
        <w:pStyle w:val="P00"/>
        <w:spacing w:before="0"/>
        <w:ind w:left="0" w:right="1134"/>
        <w:rPr>
          <w:rStyle w:val="default"/>
          <w:rFonts w:cs="FrankRuehl" w:hint="cs"/>
          <w:sz w:val="2"/>
          <w:szCs w:val="2"/>
          <w:rtl/>
        </w:rPr>
      </w:pPr>
      <w:r w:rsidRPr="00E76BFE">
        <w:rPr>
          <w:rStyle w:val="default"/>
          <w:rFonts w:cs="FrankRuehl" w:hint="cs"/>
          <w:b/>
          <w:bCs/>
          <w:vanish/>
          <w:szCs w:val="20"/>
          <w:shd w:val="clear" w:color="auto" w:fill="FFFF99"/>
          <w:rtl/>
        </w:rPr>
        <w:t>הוספת הגדרת "עלות מתואמת"</w:t>
      </w:r>
      <w:bookmarkEnd w:id="5"/>
    </w:p>
    <w:p w14:paraId="62015563" w14:textId="77777777" w:rsidR="00343405" w:rsidRDefault="00343405" w:rsidP="00CF0011">
      <w:pPr>
        <w:pStyle w:val="P00"/>
        <w:spacing w:before="72"/>
        <w:ind w:left="0" w:right="1134"/>
        <w:rPr>
          <w:rStyle w:val="default"/>
          <w:rFonts w:cs="FrankRuehl" w:hint="cs"/>
          <w:rtl/>
        </w:rPr>
      </w:pPr>
      <w:r>
        <w:rPr>
          <w:rStyle w:val="default"/>
          <w:rFonts w:cs="FrankRuehl" w:hint="cs"/>
          <w:rtl/>
        </w:rPr>
        <w:tab/>
        <w:t xml:space="preserve">"קופת גמל המבטיחה תשואה" </w:t>
      </w:r>
      <w:r>
        <w:rPr>
          <w:rStyle w:val="default"/>
          <w:rFonts w:cs="FrankRuehl"/>
          <w:rtl/>
        </w:rPr>
        <w:t>–</w:t>
      </w:r>
      <w:r>
        <w:rPr>
          <w:rStyle w:val="default"/>
          <w:rFonts w:cs="FrankRuehl" w:hint="cs"/>
          <w:rtl/>
        </w:rPr>
        <w:t xml:space="preserve"> קופת גמל לתגמולים או לפיצויים המבטיחה תשואה מזערית לעמיתיה והיא אחת מאלה:</w:t>
      </w:r>
    </w:p>
    <w:p w14:paraId="6835B3DE" w14:textId="77777777" w:rsidR="00343405" w:rsidRDefault="00343405" w:rsidP="00D86C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יתר </w:t>
      </w:r>
      <w:r>
        <w:rPr>
          <w:rStyle w:val="default"/>
          <w:rFonts w:cs="FrankRuehl"/>
          <w:rtl/>
        </w:rPr>
        <w:t>–</w:t>
      </w:r>
      <w:r>
        <w:rPr>
          <w:rStyle w:val="default"/>
          <w:rFonts w:cs="FrankRuehl" w:hint="cs"/>
          <w:rtl/>
        </w:rPr>
        <w:t xml:space="preserve"> קרנות לגמולים בע"מ;</w:t>
      </w:r>
    </w:p>
    <w:p w14:paraId="6F4243FB" w14:textId="77777777" w:rsidR="00343405" w:rsidRDefault="00343405" w:rsidP="00D86C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ביטחון </w:t>
      </w:r>
      <w:r>
        <w:rPr>
          <w:rStyle w:val="default"/>
          <w:rFonts w:cs="FrankRuehl"/>
          <w:rtl/>
        </w:rPr>
        <w:t>–</w:t>
      </w:r>
      <w:r>
        <w:rPr>
          <w:rStyle w:val="default"/>
          <w:rFonts w:cs="FrankRuehl" w:hint="cs"/>
          <w:rtl/>
        </w:rPr>
        <w:t xml:space="preserve"> קרן פנסיה לבעלי מלאכה, תעשיינים ועצמאים בע"מ;</w:t>
      </w:r>
    </w:p>
    <w:p w14:paraId="5C36E972" w14:textId="77777777" w:rsidR="00343405" w:rsidRDefault="00343405" w:rsidP="00D86C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פלס </w:t>
      </w:r>
      <w:r>
        <w:rPr>
          <w:rStyle w:val="default"/>
          <w:rFonts w:cs="FrankRuehl"/>
          <w:rtl/>
        </w:rPr>
        <w:t>–</w:t>
      </w:r>
      <w:r>
        <w:rPr>
          <w:rStyle w:val="default"/>
          <w:rFonts w:cs="FrankRuehl" w:hint="cs"/>
          <w:rtl/>
        </w:rPr>
        <w:t xml:space="preserve"> קרן גמולים בע"מ;</w:t>
      </w:r>
    </w:p>
    <w:p w14:paraId="41A69E98" w14:textId="77777777" w:rsidR="00343405" w:rsidRDefault="00343405" w:rsidP="00D86CC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86CC2">
        <w:rPr>
          <w:rStyle w:val="default"/>
          <w:rFonts w:cs="FrankRuehl" w:hint="cs"/>
          <w:rtl/>
        </w:rPr>
        <w:t xml:space="preserve">גמולה </w:t>
      </w:r>
      <w:r w:rsidR="00D86CC2">
        <w:rPr>
          <w:rStyle w:val="default"/>
          <w:rFonts w:cs="FrankRuehl"/>
          <w:rtl/>
        </w:rPr>
        <w:t>–</w:t>
      </w:r>
      <w:r w:rsidR="00D86CC2">
        <w:rPr>
          <w:rStyle w:val="default"/>
          <w:rFonts w:cs="FrankRuehl" w:hint="cs"/>
          <w:rtl/>
        </w:rPr>
        <w:t xml:space="preserve"> קרן פנסיה;</w:t>
      </w:r>
    </w:p>
    <w:p w14:paraId="301F0170" w14:textId="77777777" w:rsidR="00D86CC2" w:rsidRDefault="00D86CC2" w:rsidP="00D86CC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אמיר </w:t>
      </w:r>
      <w:r>
        <w:rPr>
          <w:rStyle w:val="default"/>
          <w:rFonts w:cs="FrankRuehl"/>
          <w:rtl/>
        </w:rPr>
        <w:t>–</w:t>
      </w:r>
      <w:r>
        <w:rPr>
          <w:rStyle w:val="default"/>
          <w:rFonts w:cs="FrankRuehl" w:hint="cs"/>
          <w:rtl/>
        </w:rPr>
        <w:t xml:space="preserve"> קרן גמולים בע"מ;</w:t>
      </w:r>
    </w:p>
    <w:p w14:paraId="308705D2" w14:textId="77777777" w:rsidR="00D86CC2" w:rsidRDefault="00D86CC2" w:rsidP="00D86CC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בר </w:t>
      </w:r>
      <w:r>
        <w:rPr>
          <w:rStyle w:val="default"/>
          <w:rFonts w:cs="FrankRuehl"/>
          <w:rtl/>
        </w:rPr>
        <w:t>–</w:t>
      </w:r>
      <w:r>
        <w:rPr>
          <w:rStyle w:val="default"/>
          <w:rFonts w:cs="FrankRuehl" w:hint="cs"/>
          <w:rtl/>
        </w:rPr>
        <w:t xml:space="preserve"> קרן גמולים בע"מ;</w:t>
      </w:r>
    </w:p>
    <w:p w14:paraId="46F724DA" w14:textId="77777777" w:rsidR="00D86CC2" w:rsidRDefault="00D86CC2" w:rsidP="00CF0011">
      <w:pPr>
        <w:pStyle w:val="P00"/>
        <w:spacing w:before="72"/>
        <w:ind w:left="0" w:right="1134"/>
        <w:rPr>
          <w:rStyle w:val="default"/>
          <w:rFonts w:cs="FrankRuehl" w:hint="cs"/>
          <w:rtl/>
        </w:rPr>
      </w:pPr>
      <w:r>
        <w:rPr>
          <w:rStyle w:val="default"/>
          <w:rFonts w:cs="FrankRuehl" w:hint="cs"/>
          <w:rtl/>
        </w:rPr>
        <w:tab/>
        <w:t xml:space="preserve">"קרן חדשה מקיפה" </w:t>
      </w:r>
      <w:r>
        <w:rPr>
          <w:rStyle w:val="default"/>
          <w:rFonts w:cs="FrankRuehl"/>
          <w:rtl/>
        </w:rPr>
        <w:t>–</w:t>
      </w:r>
      <w:r>
        <w:rPr>
          <w:rStyle w:val="default"/>
          <w:rFonts w:cs="FrankRuehl" w:hint="cs"/>
          <w:rtl/>
        </w:rPr>
        <w:t xml:space="preserve"> כהגדרתה בתקנה 1 לתקנות מס הכנסה;</w:t>
      </w:r>
    </w:p>
    <w:p w14:paraId="124D97B0" w14:textId="77777777" w:rsidR="00F912FF" w:rsidRDefault="00F912FF" w:rsidP="00F912FF">
      <w:pPr>
        <w:pStyle w:val="P00"/>
        <w:spacing w:before="72"/>
        <w:ind w:left="0" w:right="1134"/>
        <w:rPr>
          <w:rStyle w:val="default"/>
          <w:rFonts w:cs="FrankRuehl" w:hint="cs"/>
          <w:rtl/>
        </w:rPr>
      </w:pPr>
      <w:r>
        <w:rPr>
          <w:rFonts w:hint="cs"/>
          <w:rtl/>
          <w:lang w:eastAsia="en-US"/>
        </w:rPr>
        <w:pict w14:anchorId="60B523D2">
          <v:shape id="_x0000_s1119" type="#_x0000_t202" style="position:absolute;left:0;text-align:left;margin-left:470.25pt;margin-top:7.15pt;width:1in;height:11.2pt;z-index:251663360" filled="f" stroked="f">
            <v:textbox style="mso-next-textbox:#_x0000_s1119" inset="1mm,0,1mm,0">
              <w:txbxContent>
                <w:p w14:paraId="6B7D5EEC"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ab/>
        <w:t xml:space="preserve">"שווי הוגן" </w:t>
      </w:r>
      <w:r>
        <w:rPr>
          <w:rStyle w:val="default"/>
          <w:rFonts w:cs="FrankRuehl"/>
          <w:rtl/>
        </w:rPr>
        <w:t>–</w:t>
      </w:r>
      <w:r>
        <w:rPr>
          <w:rStyle w:val="default"/>
          <w:rFonts w:cs="FrankRuehl" w:hint="cs"/>
          <w:rtl/>
        </w:rPr>
        <w:t xml:space="preserve"> כמשמעותו בכללי חשבונאות מקובלים;</w:t>
      </w:r>
    </w:p>
    <w:p w14:paraId="45C10245"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6" w:name="Rov14"/>
      <w:r w:rsidRPr="00E76BFE">
        <w:rPr>
          <w:rStyle w:val="default"/>
          <w:rFonts w:cs="FrankRuehl" w:hint="cs"/>
          <w:vanish/>
          <w:color w:val="FF0000"/>
          <w:szCs w:val="20"/>
          <w:shd w:val="clear" w:color="auto" w:fill="FFFF99"/>
          <w:rtl/>
        </w:rPr>
        <w:t>מיום 8.7.2012</w:t>
      </w:r>
    </w:p>
    <w:p w14:paraId="1880E7E9"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244D9D21"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11"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1215</w:t>
      </w:r>
    </w:p>
    <w:p w14:paraId="5091B967" w14:textId="77777777" w:rsidR="00F912FF" w:rsidRPr="00F912FF" w:rsidRDefault="00F912FF" w:rsidP="00F912FF">
      <w:pPr>
        <w:pStyle w:val="P00"/>
        <w:spacing w:before="0"/>
        <w:ind w:left="0" w:right="1134"/>
        <w:rPr>
          <w:rStyle w:val="default"/>
          <w:rFonts w:cs="FrankRuehl" w:hint="cs"/>
          <w:sz w:val="2"/>
          <w:szCs w:val="2"/>
          <w:rtl/>
        </w:rPr>
      </w:pPr>
      <w:r w:rsidRPr="00E76BFE">
        <w:rPr>
          <w:rStyle w:val="default"/>
          <w:rFonts w:cs="FrankRuehl" w:hint="cs"/>
          <w:b/>
          <w:bCs/>
          <w:vanish/>
          <w:szCs w:val="20"/>
          <w:shd w:val="clear" w:color="auto" w:fill="FFFF99"/>
          <w:rtl/>
        </w:rPr>
        <w:t>הוספת הגדרת "שווי הוגן"</w:t>
      </w:r>
      <w:bookmarkEnd w:id="6"/>
    </w:p>
    <w:p w14:paraId="01828A06" w14:textId="77777777" w:rsidR="00D86CC2" w:rsidRDefault="00D86CC2" w:rsidP="00CF0011">
      <w:pPr>
        <w:pStyle w:val="P00"/>
        <w:spacing w:before="72"/>
        <w:ind w:left="0" w:right="1134"/>
        <w:rPr>
          <w:rStyle w:val="default"/>
          <w:rFonts w:cs="FrankRuehl" w:hint="cs"/>
          <w:rtl/>
        </w:rPr>
      </w:pPr>
      <w:r>
        <w:rPr>
          <w:rStyle w:val="default"/>
          <w:rFonts w:cs="FrankRuehl" w:hint="cs"/>
          <w:rtl/>
        </w:rPr>
        <w:tab/>
        <w:t xml:space="preserve">"שווי שוק" </w:t>
      </w:r>
      <w:r>
        <w:rPr>
          <w:rStyle w:val="default"/>
          <w:rFonts w:cs="FrankRuehl"/>
          <w:rtl/>
        </w:rPr>
        <w:t>–</w:t>
      </w:r>
      <w:r>
        <w:rPr>
          <w:rStyle w:val="default"/>
          <w:rFonts w:cs="FrankRuehl" w:hint="cs"/>
          <w:rtl/>
        </w:rPr>
        <w:t xml:space="preserve"> השווי שנקבע לנייר ערך בשוק שבו הוא מוחזק לפי השער האחרון שנקבע לו ביום המסחר האחרון שנתקיים בבורסה, בבורסה זרה או בשוק מוסדר לפי העניין;</w:t>
      </w:r>
    </w:p>
    <w:p w14:paraId="07F5C759" w14:textId="77777777" w:rsidR="00F912FF" w:rsidRDefault="00F912FF" w:rsidP="00F912FF">
      <w:pPr>
        <w:pStyle w:val="P00"/>
        <w:spacing w:before="72"/>
        <w:ind w:left="0" w:right="1134"/>
        <w:rPr>
          <w:rStyle w:val="default"/>
          <w:rFonts w:cs="FrankRuehl" w:hint="cs"/>
          <w:rtl/>
        </w:rPr>
      </w:pPr>
      <w:r>
        <w:rPr>
          <w:rFonts w:hint="cs"/>
          <w:rtl/>
          <w:lang w:eastAsia="en-US"/>
        </w:rPr>
        <w:pict w14:anchorId="202C2980">
          <v:shape id="_x0000_s1120" type="#_x0000_t202" style="position:absolute;left:0;text-align:left;margin-left:470.25pt;margin-top:7.15pt;width:1in;height:11.2pt;z-index:251664384" filled="f" stroked="f">
            <v:textbox style="mso-next-textbox:#_x0000_s1120" inset="1mm,0,1mm,0">
              <w:txbxContent>
                <w:p w14:paraId="2E85D040"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ab/>
        <w:t xml:space="preserve">"תעודת חוב מסחרית" </w:t>
      </w:r>
      <w:r>
        <w:rPr>
          <w:rStyle w:val="default"/>
          <w:rFonts w:cs="FrankRuehl"/>
          <w:rtl/>
        </w:rPr>
        <w:t>–</w:t>
      </w:r>
      <w:r>
        <w:rPr>
          <w:rStyle w:val="default"/>
          <w:rFonts w:cs="FrankRuehl" w:hint="cs"/>
          <w:rtl/>
        </w:rPr>
        <w:t xml:space="preserve"> תעודת חוב שהנפיקה חברה, ושהיא התחייבות החברה לשלם למחזיק, במועד שאינו מאוחר משנה ממועד ההנפקה את סכום ההתחייבות, בלא תוספת הפרשי הצמדה למדד;</w:t>
      </w:r>
    </w:p>
    <w:p w14:paraId="7AED5987"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7" w:name="Rov15"/>
      <w:r w:rsidRPr="00E76BFE">
        <w:rPr>
          <w:rStyle w:val="default"/>
          <w:rFonts w:cs="FrankRuehl" w:hint="cs"/>
          <w:vanish/>
          <w:color w:val="FF0000"/>
          <w:szCs w:val="20"/>
          <w:shd w:val="clear" w:color="auto" w:fill="FFFF99"/>
          <w:rtl/>
        </w:rPr>
        <w:t>מיום 8.7.2012</w:t>
      </w:r>
    </w:p>
    <w:p w14:paraId="7E907E39"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084741C7"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12"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1216</w:t>
      </w:r>
    </w:p>
    <w:p w14:paraId="30B32684" w14:textId="77777777" w:rsidR="00F912FF" w:rsidRPr="00F912FF" w:rsidRDefault="00F912FF" w:rsidP="00F912FF">
      <w:pPr>
        <w:pStyle w:val="P00"/>
        <w:spacing w:before="0"/>
        <w:ind w:left="0" w:right="1134"/>
        <w:rPr>
          <w:rStyle w:val="default"/>
          <w:rFonts w:cs="FrankRuehl" w:hint="cs"/>
          <w:sz w:val="2"/>
          <w:szCs w:val="2"/>
          <w:rtl/>
        </w:rPr>
      </w:pPr>
      <w:r w:rsidRPr="00E76BFE">
        <w:rPr>
          <w:rStyle w:val="default"/>
          <w:rFonts w:cs="FrankRuehl" w:hint="cs"/>
          <w:b/>
          <w:bCs/>
          <w:vanish/>
          <w:szCs w:val="20"/>
          <w:shd w:val="clear" w:color="auto" w:fill="FFFF99"/>
          <w:rtl/>
        </w:rPr>
        <w:t>הוספת הגדרת "תעודת חוב מסחרית"</w:t>
      </w:r>
      <w:bookmarkEnd w:id="7"/>
    </w:p>
    <w:p w14:paraId="63D96AC5" w14:textId="77777777" w:rsidR="00F912FF" w:rsidRDefault="00F912FF" w:rsidP="00F912FF">
      <w:pPr>
        <w:pStyle w:val="P00"/>
        <w:spacing w:before="72"/>
        <w:ind w:left="0" w:right="1134"/>
        <w:rPr>
          <w:rStyle w:val="default"/>
          <w:rFonts w:cs="FrankRuehl" w:hint="cs"/>
          <w:rtl/>
        </w:rPr>
      </w:pPr>
      <w:r>
        <w:rPr>
          <w:rFonts w:hint="cs"/>
          <w:rtl/>
          <w:lang w:eastAsia="en-US"/>
        </w:rPr>
        <w:pict w14:anchorId="5940D0CA">
          <v:shape id="_x0000_s1121" type="#_x0000_t202" style="position:absolute;left:0;text-align:left;margin-left:470.25pt;margin-top:7.15pt;width:1in;height:11.2pt;z-index:251665408" filled="f" stroked="f">
            <v:textbox style="mso-next-textbox:#_x0000_s1121" inset="1mm,0,1mm,0">
              <w:txbxContent>
                <w:p w14:paraId="46F9F3E9" w14:textId="77777777" w:rsidR="00F912FF" w:rsidRDefault="00F912FF" w:rsidP="00F912FF">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ab/>
        <w:t xml:space="preserve">"תעודת חוב מסחרית סחירה" </w:t>
      </w:r>
      <w:r>
        <w:rPr>
          <w:rStyle w:val="default"/>
          <w:rFonts w:cs="FrankRuehl"/>
          <w:rtl/>
        </w:rPr>
        <w:t>–</w:t>
      </w:r>
      <w:r>
        <w:rPr>
          <w:rStyle w:val="default"/>
          <w:rFonts w:cs="FrankRuehl" w:hint="cs"/>
          <w:rtl/>
        </w:rPr>
        <w:t xml:space="preserve"> תעודת חוב מסחרית הנסחרת בבורסה, בבורסת חוץ או בשוק מוסדר;</w:t>
      </w:r>
    </w:p>
    <w:p w14:paraId="26E1F916"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8" w:name="Rov16"/>
      <w:r w:rsidRPr="00E76BFE">
        <w:rPr>
          <w:rStyle w:val="default"/>
          <w:rFonts w:cs="FrankRuehl" w:hint="cs"/>
          <w:vanish/>
          <w:color w:val="FF0000"/>
          <w:szCs w:val="20"/>
          <w:shd w:val="clear" w:color="auto" w:fill="FFFF99"/>
          <w:rtl/>
        </w:rPr>
        <w:t>מיום 8.7.2012</w:t>
      </w:r>
    </w:p>
    <w:p w14:paraId="461D7B96"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741B04FA"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13"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1216</w:t>
      </w:r>
    </w:p>
    <w:p w14:paraId="4B9AE2B5" w14:textId="77777777" w:rsidR="00F912FF" w:rsidRPr="00F912FF" w:rsidRDefault="00F912FF" w:rsidP="00F912FF">
      <w:pPr>
        <w:pStyle w:val="P00"/>
        <w:spacing w:before="0"/>
        <w:ind w:left="0" w:right="1134"/>
        <w:rPr>
          <w:rStyle w:val="default"/>
          <w:rFonts w:cs="FrankRuehl" w:hint="cs"/>
          <w:sz w:val="2"/>
          <w:szCs w:val="2"/>
          <w:rtl/>
        </w:rPr>
      </w:pPr>
      <w:r w:rsidRPr="00E76BFE">
        <w:rPr>
          <w:rStyle w:val="default"/>
          <w:rFonts w:cs="FrankRuehl" w:hint="cs"/>
          <w:b/>
          <w:bCs/>
          <w:vanish/>
          <w:szCs w:val="20"/>
          <w:shd w:val="clear" w:color="auto" w:fill="FFFF99"/>
          <w:rtl/>
        </w:rPr>
        <w:t>הוספת הגדרת "תעודת חוב מסחרית סחירה"</w:t>
      </w:r>
      <w:bookmarkEnd w:id="8"/>
    </w:p>
    <w:p w14:paraId="0FF80536" w14:textId="77777777" w:rsidR="00D86CC2" w:rsidRDefault="00D86CC2" w:rsidP="00CF0011">
      <w:pPr>
        <w:pStyle w:val="P00"/>
        <w:spacing w:before="72"/>
        <w:ind w:left="0" w:right="1134"/>
        <w:rPr>
          <w:rStyle w:val="default"/>
          <w:rFonts w:cs="FrankRuehl" w:hint="cs"/>
          <w:rtl/>
        </w:rPr>
      </w:pPr>
      <w:r>
        <w:rPr>
          <w:rStyle w:val="default"/>
          <w:rFonts w:cs="FrankRuehl" w:hint="cs"/>
          <w:rtl/>
        </w:rPr>
        <w:tab/>
        <w:t xml:space="preserve">"תקנות מס הכנסה" </w:t>
      </w:r>
      <w:r>
        <w:rPr>
          <w:rStyle w:val="default"/>
          <w:rFonts w:cs="FrankRuehl"/>
          <w:rtl/>
        </w:rPr>
        <w:t>–</w:t>
      </w:r>
      <w:r>
        <w:rPr>
          <w:rStyle w:val="default"/>
          <w:rFonts w:cs="FrankRuehl" w:hint="cs"/>
          <w:rtl/>
        </w:rPr>
        <w:t xml:space="preserve"> תקנות מס הכנסה (כללים לאישור ולניהול קופות גמל), התשכ"ד-1964.</w:t>
      </w:r>
    </w:p>
    <w:p w14:paraId="38EC98B9" w14:textId="77777777" w:rsidR="002D24EB" w:rsidRDefault="002D24EB" w:rsidP="008174FC">
      <w:pPr>
        <w:pStyle w:val="P00"/>
        <w:spacing w:before="72"/>
        <w:ind w:left="0" w:right="1134"/>
        <w:rPr>
          <w:rStyle w:val="default"/>
          <w:rFonts w:cs="FrankRuehl" w:hint="cs"/>
          <w:rtl/>
        </w:rPr>
      </w:pPr>
      <w:bookmarkStart w:id="9" w:name="Seif2"/>
      <w:bookmarkEnd w:id="9"/>
      <w:r>
        <w:rPr>
          <w:lang w:val="he-IL"/>
        </w:rPr>
        <w:pict w14:anchorId="2696C58D">
          <v:rect id="_x0000_s1064" style="position:absolute;left:0;text-align:left;margin-left:464.5pt;margin-top:8.05pt;width:75.05pt;height:24.1pt;z-index:251651072" o:allowincell="f" filled="f" stroked="f" strokecolor="lime" strokeweight=".25pt">
            <v:textbox style="mso-next-textbox:#_x0000_s1064" inset="0,0,0,0">
              <w:txbxContent>
                <w:p w14:paraId="20557B73" w14:textId="77777777" w:rsidR="004F01ED" w:rsidRDefault="008174FC" w:rsidP="00B60E50">
                  <w:pPr>
                    <w:spacing w:line="160" w:lineRule="exact"/>
                    <w:jc w:val="left"/>
                    <w:rPr>
                      <w:rFonts w:cs="Miriam" w:hint="cs"/>
                      <w:noProof/>
                      <w:szCs w:val="18"/>
                      <w:rtl/>
                    </w:rPr>
                  </w:pPr>
                  <w:r>
                    <w:rPr>
                      <w:rFonts w:cs="Miriam" w:hint="cs"/>
                      <w:szCs w:val="18"/>
                      <w:rtl/>
                    </w:rPr>
                    <w:t>תדירות שערוך הנכסים</w:t>
                  </w:r>
                </w:p>
              </w:txbxContent>
            </v:textbox>
            <w10:anchorlock/>
          </v:rect>
        </w:pict>
      </w:r>
      <w:r>
        <w:rPr>
          <w:rStyle w:val="big-number"/>
          <w:rFonts w:hint="cs"/>
          <w:rtl/>
        </w:rPr>
        <w:t>2</w:t>
      </w:r>
      <w:r>
        <w:rPr>
          <w:rStyle w:val="big-number"/>
          <w:rtl/>
        </w:rPr>
        <w:t>.</w:t>
      </w:r>
      <w:r>
        <w:rPr>
          <w:rStyle w:val="big-number"/>
          <w:rtl/>
        </w:rPr>
        <w:tab/>
      </w:r>
      <w:r w:rsidR="008174FC">
        <w:rPr>
          <w:rStyle w:val="default"/>
          <w:rFonts w:cs="FrankRuehl" w:hint="cs"/>
          <w:rtl/>
        </w:rPr>
        <w:t xml:space="preserve">גוף מוסדי יחשב את שוויים של נכסי קופות הגמל שבניהולו ושל הנכסים המנוהלים בידיו לכיסוי התחייבויותיו תלויות תשואה (להלן </w:t>
      </w:r>
      <w:r w:rsidR="008174FC">
        <w:rPr>
          <w:rStyle w:val="default"/>
          <w:rFonts w:cs="FrankRuehl"/>
          <w:rtl/>
        </w:rPr>
        <w:t>–</w:t>
      </w:r>
      <w:r w:rsidR="008174FC">
        <w:rPr>
          <w:rStyle w:val="default"/>
          <w:rFonts w:cs="FrankRuehl" w:hint="cs"/>
          <w:rtl/>
        </w:rPr>
        <w:t xml:space="preserve"> הנכסים), מדי יום עסקים לגבי יום העסקים הקודם.</w:t>
      </w:r>
    </w:p>
    <w:p w14:paraId="67ABBC35" w14:textId="77777777" w:rsidR="002D24EB" w:rsidRDefault="002D24EB" w:rsidP="008174FC">
      <w:pPr>
        <w:pStyle w:val="P00"/>
        <w:spacing w:before="72"/>
        <w:ind w:left="0" w:right="1134"/>
        <w:rPr>
          <w:rStyle w:val="default"/>
          <w:rFonts w:cs="FrankRuehl" w:hint="cs"/>
          <w:rtl/>
        </w:rPr>
      </w:pPr>
      <w:bookmarkStart w:id="10" w:name="Seif3"/>
      <w:bookmarkEnd w:id="10"/>
      <w:r>
        <w:rPr>
          <w:lang w:val="he-IL"/>
        </w:rPr>
        <w:lastRenderedPageBreak/>
        <w:pict w14:anchorId="012588D8">
          <v:rect id="_x0000_s1073" style="position:absolute;left:0;text-align:left;margin-left:464.5pt;margin-top:8.05pt;width:75.05pt;height:19.75pt;z-index:251652096" o:allowincell="f" filled="f" stroked="f" strokecolor="lime" strokeweight=".25pt">
            <v:textbox style="mso-next-textbox:#_x0000_s1073" inset="0,0,0,0">
              <w:txbxContent>
                <w:p w14:paraId="22C77F2D" w14:textId="77777777" w:rsidR="004F01ED" w:rsidRDefault="008174FC" w:rsidP="0018711F">
                  <w:pPr>
                    <w:spacing w:line="160" w:lineRule="exact"/>
                    <w:jc w:val="left"/>
                    <w:rPr>
                      <w:rFonts w:cs="Miriam" w:hint="cs"/>
                      <w:noProof/>
                      <w:szCs w:val="18"/>
                      <w:rtl/>
                    </w:rPr>
                  </w:pPr>
                  <w:r>
                    <w:rPr>
                      <w:rFonts w:cs="Miriam" w:hint="cs"/>
                      <w:szCs w:val="18"/>
                      <w:rtl/>
                    </w:rPr>
                    <w:t>שיטת חישוב שווי הנכסים</w:t>
                  </w:r>
                </w:p>
              </w:txbxContent>
            </v:textbox>
            <w10:anchorlock/>
          </v:rect>
        </w:pict>
      </w:r>
      <w:r>
        <w:rPr>
          <w:rStyle w:val="big-number"/>
          <w:rFonts w:hint="cs"/>
          <w:rtl/>
        </w:rPr>
        <w:t>3</w:t>
      </w:r>
      <w:r w:rsidRPr="00D37B6E">
        <w:rPr>
          <w:rStyle w:val="default"/>
          <w:rFonts w:cs="FrankRuehl"/>
          <w:rtl/>
        </w:rPr>
        <w:t>.</w:t>
      </w:r>
      <w:r w:rsidRPr="00D37B6E">
        <w:rPr>
          <w:rStyle w:val="default"/>
          <w:rFonts w:cs="FrankRuehl"/>
          <w:rtl/>
        </w:rPr>
        <w:tab/>
      </w:r>
      <w:r w:rsidR="008174FC">
        <w:rPr>
          <w:rStyle w:val="default"/>
          <w:rFonts w:cs="FrankRuehl" w:hint="cs"/>
          <w:rtl/>
        </w:rPr>
        <w:t>גוף מוסדי יחשב את שוויים של הנכסים לפי הוראות אלה:</w:t>
      </w:r>
    </w:p>
    <w:p w14:paraId="426036A3" w14:textId="77777777" w:rsidR="008174FC" w:rsidRDefault="008174FC" w:rsidP="000F381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נייר ערך סחיר </w:t>
      </w:r>
      <w:r>
        <w:rPr>
          <w:rStyle w:val="default"/>
          <w:rFonts w:cs="FrankRuehl"/>
          <w:rtl/>
        </w:rPr>
        <w:t>–</w:t>
      </w:r>
      <w:r>
        <w:rPr>
          <w:rStyle w:val="default"/>
          <w:rFonts w:cs="FrankRuehl" w:hint="cs"/>
          <w:rtl/>
        </w:rPr>
        <w:t xml:space="preserve"> לפי שווי שוק;</w:t>
      </w:r>
    </w:p>
    <w:p w14:paraId="001CEEF3" w14:textId="77777777" w:rsidR="008174FC" w:rsidRDefault="008174FC" w:rsidP="000F381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לגבי נכס שאינו נייר ערך סחיר </w:t>
      </w:r>
      <w:r>
        <w:rPr>
          <w:rStyle w:val="default"/>
          <w:rFonts w:cs="FrankRuehl"/>
          <w:rtl/>
        </w:rPr>
        <w:t>–</w:t>
      </w:r>
      <w:r>
        <w:rPr>
          <w:rStyle w:val="default"/>
          <w:rFonts w:cs="FrankRuehl" w:hint="cs"/>
          <w:rtl/>
        </w:rPr>
        <w:t xml:space="preserve"> לפי שווי הוגן שיחושב לפי הוראות הממונה; בהוראות כאמור רשאי הממונה להורות לגוף מוסדי להתקשר עם חברה המתמחה בקביעת שיעורי הריבית להיוון תזרימי מזומנים, שנבחרה בהליך תחרותי לעניין זה, לצורך חישוב שווי הוגן של נכסים מסוימים;</w:t>
      </w:r>
    </w:p>
    <w:p w14:paraId="71078AAF" w14:textId="77777777" w:rsidR="008174FC" w:rsidRDefault="008174FC" w:rsidP="000F381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איגרת חוב מיועדת לקרן חדשה מקיפה </w:t>
      </w:r>
      <w:r>
        <w:rPr>
          <w:rStyle w:val="default"/>
          <w:rFonts w:cs="FrankRuehl"/>
          <w:rtl/>
        </w:rPr>
        <w:t>–</w:t>
      </w:r>
      <w:r>
        <w:rPr>
          <w:rStyle w:val="default"/>
          <w:rFonts w:cs="FrankRuehl" w:hint="cs"/>
          <w:rtl/>
        </w:rPr>
        <w:t xml:space="preserve"> לפי העלות המתואמת שלה;</w:t>
      </w:r>
    </w:p>
    <w:p w14:paraId="4960546F" w14:textId="77777777" w:rsidR="008174FC" w:rsidRDefault="008174FC" w:rsidP="000F381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לגבי ניירות ערך שהושאלו על ידי הגוף המוסדי </w:t>
      </w:r>
      <w:r>
        <w:rPr>
          <w:rStyle w:val="default"/>
          <w:rFonts w:cs="FrankRuehl"/>
          <w:rtl/>
        </w:rPr>
        <w:t>–</w:t>
      </w:r>
      <w:r>
        <w:rPr>
          <w:rStyle w:val="default"/>
          <w:rFonts w:cs="FrankRuehl" w:hint="cs"/>
          <w:rtl/>
        </w:rPr>
        <w:t xml:space="preserve"> כאילו ניירות הערך היו בידי הגוף המוסדי;</w:t>
      </w:r>
    </w:p>
    <w:p w14:paraId="0F940E1A" w14:textId="77777777" w:rsidR="008174FC" w:rsidRDefault="008174FC" w:rsidP="000F381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לגבי ניירות ערך שנמכרו בחסר </w:t>
      </w:r>
      <w:r>
        <w:rPr>
          <w:rStyle w:val="default"/>
          <w:rFonts w:cs="FrankRuehl"/>
          <w:rtl/>
        </w:rPr>
        <w:t>–</w:t>
      </w:r>
      <w:r>
        <w:rPr>
          <w:rStyle w:val="default"/>
          <w:rFonts w:cs="FrankRuehl" w:hint="cs"/>
          <w:rtl/>
        </w:rPr>
        <w:t xml:space="preserve"> כהתחייבות לפי שווי שוק.</w:t>
      </w:r>
    </w:p>
    <w:p w14:paraId="3DEDC4E0" w14:textId="77777777" w:rsidR="006E0F69" w:rsidRDefault="006E0F69" w:rsidP="00125E31">
      <w:pPr>
        <w:pStyle w:val="P00"/>
        <w:spacing w:before="72"/>
        <w:ind w:left="0" w:right="1134"/>
        <w:rPr>
          <w:rStyle w:val="default"/>
          <w:rFonts w:cs="FrankRuehl" w:hint="cs"/>
          <w:rtl/>
        </w:rPr>
      </w:pPr>
      <w:bookmarkStart w:id="11" w:name="Seif4"/>
      <w:bookmarkEnd w:id="11"/>
      <w:r>
        <w:rPr>
          <w:lang w:val="he-IL"/>
        </w:rPr>
        <w:pict w14:anchorId="17FF790C">
          <v:rect id="_x0000_s1097" style="position:absolute;left:0;text-align:left;margin-left:464.5pt;margin-top:8.05pt;width:75.05pt;height:16.6pt;z-index:251653120" o:allowincell="f" filled="f" stroked="f" strokecolor="lime" strokeweight=".25pt">
            <v:textbox style="mso-next-textbox:#_x0000_s1097" inset="0,0,0,0">
              <w:txbxContent>
                <w:p w14:paraId="5DC42417" w14:textId="77777777" w:rsidR="006E0F69" w:rsidRDefault="00125E31" w:rsidP="003D7E33">
                  <w:pPr>
                    <w:spacing w:line="160" w:lineRule="exact"/>
                    <w:jc w:val="left"/>
                    <w:rPr>
                      <w:rFonts w:cs="Miriam" w:hint="cs"/>
                      <w:noProof/>
                      <w:szCs w:val="18"/>
                      <w:rtl/>
                    </w:rPr>
                  </w:pPr>
                  <w:r>
                    <w:rPr>
                      <w:rFonts w:cs="Miriam" w:hint="cs"/>
                      <w:szCs w:val="18"/>
                      <w:rtl/>
                    </w:rPr>
                    <w:t>ניכויים משווי הנכסים</w:t>
                  </w:r>
                </w:p>
              </w:txbxContent>
            </v:textbox>
            <w10:anchorlock/>
          </v:rect>
        </w:pict>
      </w:r>
      <w:r w:rsidR="006E70D4">
        <w:rPr>
          <w:rStyle w:val="big-number"/>
          <w:rFonts w:hint="cs"/>
          <w:rtl/>
        </w:rPr>
        <w:t>4</w:t>
      </w:r>
      <w:r w:rsidRPr="00D37B6E">
        <w:rPr>
          <w:rStyle w:val="default"/>
          <w:rFonts w:cs="FrankRuehl"/>
          <w:rtl/>
        </w:rPr>
        <w:t>.</w:t>
      </w:r>
      <w:r w:rsidRPr="00D37B6E">
        <w:rPr>
          <w:rStyle w:val="default"/>
          <w:rFonts w:cs="FrankRuehl"/>
          <w:rtl/>
        </w:rPr>
        <w:tab/>
      </w:r>
      <w:r w:rsidR="00125E31">
        <w:rPr>
          <w:rStyle w:val="default"/>
          <w:rFonts w:cs="FrankRuehl" w:hint="cs"/>
          <w:rtl/>
        </w:rPr>
        <w:t>שוויים של הנכסים יחושב בניכוי עתודה למס, ובנכסים שאינם ניירות ערך סחירים גם בניכוי הוצאות מימוש משוערות.</w:t>
      </w:r>
    </w:p>
    <w:p w14:paraId="65A69F83" w14:textId="77777777" w:rsidR="005D08B8" w:rsidRDefault="005D08B8" w:rsidP="00125E31">
      <w:pPr>
        <w:pStyle w:val="P00"/>
        <w:spacing w:before="72"/>
        <w:ind w:left="0" w:right="1134"/>
        <w:rPr>
          <w:rStyle w:val="default"/>
          <w:rFonts w:cs="FrankRuehl" w:hint="cs"/>
          <w:rtl/>
        </w:rPr>
      </w:pPr>
      <w:bookmarkStart w:id="12" w:name="Seif5"/>
      <w:bookmarkEnd w:id="12"/>
      <w:r>
        <w:rPr>
          <w:lang w:val="he-IL"/>
        </w:rPr>
        <w:pict w14:anchorId="3ED38C24">
          <v:rect id="_x0000_s1105" style="position:absolute;left:0;text-align:left;margin-left:464.5pt;margin-top:8.05pt;width:75.05pt;height:33.95pt;z-index:251654144" o:allowincell="f" filled="f" stroked="f" strokecolor="lime" strokeweight=".25pt">
            <v:textbox style="mso-next-textbox:#_x0000_s1105" inset="0,0,0,0">
              <w:txbxContent>
                <w:p w14:paraId="3E3A6D62" w14:textId="77777777" w:rsidR="005D08B8" w:rsidRDefault="00125E31" w:rsidP="005D08B8">
                  <w:pPr>
                    <w:spacing w:line="160" w:lineRule="exact"/>
                    <w:jc w:val="left"/>
                    <w:rPr>
                      <w:rFonts w:cs="Miriam" w:hint="cs"/>
                      <w:noProof/>
                      <w:szCs w:val="18"/>
                      <w:rtl/>
                    </w:rPr>
                  </w:pPr>
                  <w:r>
                    <w:rPr>
                      <w:rFonts w:cs="Miriam" w:hint="cs"/>
                      <w:szCs w:val="18"/>
                      <w:rtl/>
                    </w:rPr>
                    <w:t xml:space="preserve">חישוב שוויים של נכסים </w:t>
                  </w:r>
                  <w:r w:rsidR="00F912FF">
                    <w:rPr>
                      <w:rFonts w:cs="Miriam" w:hint="cs"/>
                      <w:szCs w:val="18"/>
                      <w:rtl/>
                    </w:rPr>
                    <w:t xml:space="preserve">מותרים להשקעה </w:t>
                  </w:r>
                  <w:r>
                    <w:rPr>
                      <w:rFonts w:cs="Miriam" w:hint="cs"/>
                      <w:szCs w:val="18"/>
                      <w:rtl/>
                    </w:rPr>
                    <w:t>מחוץ לישראל</w:t>
                  </w:r>
                </w:p>
              </w:txbxContent>
            </v:textbox>
            <w10:anchorlock/>
          </v:rect>
        </w:pict>
      </w:r>
      <w:r w:rsidR="00125E31">
        <w:rPr>
          <w:rStyle w:val="big-number"/>
          <w:rFonts w:hint="cs"/>
          <w:rtl/>
        </w:rPr>
        <w:t>5</w:t>
      </w:r>
      <w:r w:rsidRPr="00D37B6E">
        <w:rPr>
          <w:rStyle w:val="default"/>
          <w:rFonts w:cs="FrankRuehl"/>
          <w:rtl/>
        </w:rPr>
        <w:t>.</w:t>
      </w:r>
      <w:r w:rsidRPr="00D37B6E">
        <w:rPr>
          <w:rStyle w:val="default"/>
          <w:rFonts w:cs="FrankRuehl"/>
          <w:rtl/>
        </w:rPr>
        <w:tab/>
      </w:r>
      <w:r w:rsidR="00125E31">
        <w:rPr>
          <w:rStyle w:val="default"/>
          <w:rFonts w:cs="FrankRuehl" w:hint="cs"/>
          <w:rtl/>
        </w:rPr>
        <w:t xml:space="preserve">שוויים של נכסים </w:t>
      </w:r>
      <w:r w:rsidR="00F912FF">
        <w:rPr>
          <w:rStyle w:val="default"/>
          <w:rFonts w:cs="FrankRuehl" w:hint="cs"/>
          <w:rtl/>
        </w:rPr>
        <w:t xml:space="preserve">מותרים להשקעה </w:t>
      </w:r>
      <w:r w:rsidR="00125E31">
        <w:rPr>
          <w:rStyle w:val="default"/>
          <w:rFonts w:cs="FrankRuehl" w:hint="cs"/>
          <w:rtl/>
        </w:rPr>
        <w:t>מחוץ לישראל יחושב כאמור בתקנות 2 עד 4 ויתורגם לשקלים חדשים לפי השער היציג.</w:t>
      </w:r>
    </w:p>
    <w:p w14:paraId="44425223" w14:textId="77777777" w:rsidR="00F912FF" w:rsidRPr="00E76BFE" w:rsidRDefault="00F912FF" w:rsidP="00F912FF">
      <w:pPr>
        <w:pStyle w:val="P00"/>
        <w:spacing w:before="0"/>
        <w:ind w:left="0" w:right="1134"/>
        <w:rPr>
          <w:rStyle w:val="default"/>
          <w:rFonts w:cs="FrankRuehl" w:hint="cs"/>
          <w:vanish/>
          <w:color w:val="FF0000"/>
          <w:szCs w:val="20"/>
          <w:shd w:val="clear" w:color="auto" w:fill="FFFF99"/>
          <w:rtl/>
        </w:rPr>
      </w:pPr>
      <w:bookmarkStart w:id="13" w:name="Rov17"/>
      <w:r w:rsidRPr="00E76BFE">
        <w:rPr>
          <w:rStyle w:val="default"/>
          <w:rFonts w:cs="FrankRuehl" w:hint="cs"/>
          <w:vanish/>
          <w:color w:val="FF0000"/>
          <w:szCs w:val="20"/>
          <w:shd w:val="clear" w:color="auto" w:fill="FFFF99"/>
          <w:rtl/>
        </w:rPr>
        <w:t>מיום 8.7.2012</w:t>
      </w:r>
    </w:p>
    <w:p w14:paraId="3F55D19F"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r w:rsidRPr="00E76BFE">
        <w:rPr>
          <w:rStyle w:val="default"/>
          <w:rFonts w:cs="FrankRuehl" w:hint="cs"/>
          <w:b/>
          <w:bCs/>
          <w:vanish/>
          <w:szCs w:val="20"/>
          <w:shd w:val="clear" w:color="auto" w:fill="FFFF99"/>
          <w:rtl/>
        </w:rPr>
        <w:t>תק' תשע"ב-2012</w:t>
      </w:r>
    </w:p>
    <w:p w14:paraId="5A57907C" w14:textId="77777777" w:rsidR="00F912FF" w:rsidRPr="00E76BFE" w:rsidRDefault="00F912FF" w:rsidP="00F912FF">
      <w:pPr>
        <w:pStyle w:val="P00"/>
        <w:spacing w:before="0"/>
        <w:ind w:left="0" w:right="1134"/>
        <w:rPr>
          <w:rStyle w:val="default"/>
          <w:rFonts w:cs="FrankRuehl" w:hint="cs"/>
          <w:vanish/>
          <w:szCs w:val="20"/>
          <w:shd w:val="clear" w:color="auto" w:fill="FFFF99"/>
          <w:rtl/>
        </w:rPr>
      </w:pPr>
      <w:hyperlink r:id="rId14" w:history="1">
        <w:r w:rsidRPr="00E76BFE">
          <w:rPr>
            <w:rStyle w:val="Hyperlink"/>
            <w:rFonts w:hint="cs"/>
            <w:vanish/>
            <w:szCs w:val="20"/>
            <w:shd w:val="clear" w:color="auto" w:fill="FFFF99"/>
            <w:rtl/>
          </w:rPr>
          <w:t>ק"ת תשע"ב מס' 7125</w:t>
        </w:r>
      </w:hyperlink>
      <w:r w:rsidRPr="00E76BFE">
        <w:rPr>
          <w:rStyle w:val="default"/>
          <w:rFonts w:cs="FrankRuehl" w:hint="cs"/>
          <w:vanish/>
          <w:szCs w:val="20"/>
          <w:shd w:val="clear" w:color="auto" w:fill="FFFF99"/>
          <w:rtl/>
        </w:rPr>
        <w:t xml:space="preserve"> מיום 7.6.2012 עמ' 1216</w:t>
      </w:r>
    </w:p>
    <w:p w14:paraId="6C4EC913" w14:textId="77777777" w:rsidR="00F912FF" w:rsidRPr="00E76BFE" w:rsidRDefault="00F912FF" w:rsidP="00F912FF">
      <w:pPr>
        <w:pStyle w:val="P00"/>
        <w:ind w:left="0" w:right="1134"/>
        <w:rPr>
          <w:rStyle w:val="big-number"/>
          <w:rFonts w:hint="cs"/>
          <w:vanish/>
          <w:sz w:val="16"/>
          <w:szCs w:val="16"/>
          <w:shd w:val="clear" w:color="auto" w:fill="FFFF99"/>
          <w:rtl/>
        </w:rPr>
      </w:pPr>
      <w:r w:rsidRPr="00E76BFE">
        <w:rPr>
          <w:rStyle w:val="big-number"/>
          <w:rFonts w:hint="cs"/>
          <w:vanish/>
          <w:sz w:val="16"/>
          <w:szCs w:val="16"/>
          <w:shd w:val="clear" w:color="auto" w:fill="FFFF99"/>
          <w:rtl/>
        </w:rPr>
        <w:t xml:space="preserve">חישוב שוויים של נכסים </w:t>
      </w:r>
      <w:r w:rsidRPr="00E76BFE">
        <w:rPr>
          <w:rStyle w:val="big-number"/>
          <w:rFonts w:hint="cs"/>
          <w:vanish/>
          <w:sz w:val="16"/>
          <w:szCs w:val="16"/>
          <w:u w:val="single"/>
          <w:shd w:val="clear" w:color="auto" w:fill="FFFF99"/>
          <w:rtl/>
        </w:rPr>
        <w:t>מותרים להשקעה</w:t>
      </w:r>
      <w:r w:rsidRPr="00E76BFE">
        <w:rPr>
          <w:rStyle w:val="big-number"/>
          <w:rFonts w:hint="cs"/>
          <w:vanish/>
          <w:sz w:val="16"/>
          <w:szCs w:val="16"/>
          <w:shd w:val="clear" w:color="auto" w:fill="FFFF99"/>
          <w:rtl/>
        </w:rPr>
        <w:t xml:space="preserve"> מחוץ לישראל</w:t>
      </w:r>
    </w:p>
    <w:p w14:paraId="2584CA8D" w14:textId="77777777" w:rsidR="00F912FF" w:rsidRPr="00F912FF" w:rsidRDefault="00F912FF" w:rsidP="00F912FF">
      <w:pPr>
        <w:pStyle w:val="P00"/>
        <w:spacing w:before="0"/>
        <w:ind w:left="0" w:right="1134"/>
        <w:rPr>
          <w:rStyle w:val="default"/>
          <w:rFonts w:cs="FrankRuehl" w:hint="cs"/>
          <w:sz w:val="2"/>
          <w:szCs w:val="2"/>
          <w:rtl/>
        </w:rPr>
      </w:pPr>
      <w:r w:rsidRPr="00E76BFE">
        <w:rPr>
          <w:rStyle w:val="big-number"/>
          <w:rFonts w:cs="FrankRuehl" w:hint="cs"/>
          <w:vanish/>
          <w:sz w:val="22"/>
          <w:szCs w:val="22"/>
          <w:shd w:val="clear" w:color="auto" w:fill="FFFF99"/>
          <w:rtl/>
        </w:rPr>
        <w:t>5</w:t>
      </w:r>
      <w:r w:rsidRPr="00E76BFE">
        <w:rPr>
          <w:rStyle w:val="default"/>
          <w:rFonts w:cs="FrankRuehl"/>
          <w:vanish/>
          <w:sz w:val="22"/>
          <w:szCs w:val="22"/>
          <w:shd w:val="clear" w:color="auto" w:fill="FFFF99"/>
          <w:rtl/>
        </w:rPr>
        <w:t>.</w:t>
      </w:r>
      <w:r w:rsidRPr="00E76BFE">
        <w:rPr>
          <w:rStyle w:val="default"/>
          <w:rFonts w:cs="FrankRuehl"/>
          <w:vanish/>
          <w:sz w:val="22"/>
          <w:szCs w:val="22"/>
          <w:shd w:val="clear" w:color="auto" w:fill="FFFF99"/>
          <w:rtl/>
        </w:rPr>
        <w:tab/>
      </w:r>
      <w:r w:rsidRPr="00E76BFE">
        <w:rPr>
          <w:rStyle w:val="default"/>
          <w:rFonts w:cs="FrankRuehl" w:hint="cs"/>
          <w:vanish/>
          <w:sz w:val="22"/>
          <w:szCs w:val="22"/>
          <w:shd w:val="clear" w:color="auto" w:fill="FFFF99"/>
          <w:rtl/>
        </w:rPr>
        <w:t xml:space="preserve">שוויים של נכסים </w:t>
      </w:r>
      <w:r w:rsidRPr="00E76BFE">
        <w:rPr>
          <w:rStyle w:val="default"/>
          <w:rFonts w:cs="FrankRuehl" w:hint="cs"/>
          <w:vanish/>
          <w:sz w:val="22"/>
          <w:szCs w:val="22"/>
          <w:u w:val="single"/>
          <w:shd w:val="clear" w:color="auto" w:fill="FFFF99"/>
          <w:rtl/>
        </w:rPr>
        <w:t>מותרים להשקעה</w:t>
      </w:r>
      <w:r w:rsidRPr="00E76BFE">
        <w:rPr>
          <w:rStyle w:val="default"/>
          <w:rFonts w:cs="FrankRuehl" w:hint="cs"/>
          <w:vanish/>
          <w:sz w:val="22"/>
          <w:szCs w:val="22"/>
          <w:shd w:val="clear" w:color="auto" w:fill="FFFF99"/>
          <w:rtl/>
        </w:rPr>
        <w:t xml:space="preserve"> מחוץ לישראל יחושב כאמור בתקנות 2 עד 4 ויתורגם לשקלים חדשים לפי השער היציג.</w:t>
      </w:r>
      <w:bookmarkEnd w:id="13"/>
    </w:p>
    <w:p w14:paraId="725B4562" w14:textId="77777777" w:rsidR="005D08B8" w:rsidRDefault="005D08B8" w:rsidP="005E517D">
      <w:pPr>
        <w:pStyle w:val="P00"/>
        <w:spacing w:before="72"/>
        <w:ind w:left="0" w:right="1134"/>
        <w:rPr>
          <w:rStyle w:val="default"/>
          <w:rFonts w:cs="FrankRuehl" w:hint="cs"/>
          <w:rtl/>
        </w:rPr>
      </w:pPr>
      <w:bookmarkStart w:id="14" w:name="Seif6"/>
      <w:bookmarkEnd w:id="14"/>
      <w:r>
        <w:rPr>
          <w:lang w:val="he-IL"/>
        </w:rPr>
        <w:pict w14:anchorId="54B40AB2">
          <v:rect id="_x0000_s1106" style="position:absolute;left:0;text-align:left;margin-left:464.5pt;margin-top:8.05pt;width:75.05pt;height:32.75pt;z-index:251655168" o:allowincell="f" filled="f" stroked="f" strokecolor="lime" strokeweight=".25pt">
            <v:textbox style="mso-next-textbox:#_x0000_s1106" inset="0,0,0,0">
              <w:txbxContent>
                <w:p w14:paraId="40F2CD6E" w14:textId="77777777" w:rsidR="005D08B8" w:rsidRDefault="005E517D" w:rsidP="005D08B8">
                  <w:pPr>
                    <w:spacing w:line="160" w:lineRule="exact"/>
                    <w:jc w:val="left"/>
                    <w:rPr>
                      <w:rFonts w:cs="Miriam" w:hint="cs"/>
                      <w:noProof/>
                      <w:szCs w:val="18"/>
                      <w:rtl/>
                    </w:rPr>
                  </w:pPr>
                  <w:r>
                    <w:rPr>
                      <w:rFonts w:cs="Miriam" w:hint="cs"/>
                      <w:szCs w:val="18"/>
                      <w:rtl/>
                    </w:rPr>
                    <w:t>חישוב שוויים של נכסי קופת גמל המבטיחה תשואה</w:t>
                  </w:r>
                </w:p>
              </w:txbxContent>
            </v:textbox>
            <w10:anchorlock/>
          </v:rect>
        </w:pict>
      </w:r>
      <w:r w:rsidR="00125E31">
        <w:rPr>
          <w:rStyle w:val="big-number"/>
          <w:rFonts w:hint="cs"/>
          <w:rtl/>
        </w:rPr>
        <w:t>6</w:t>
      </w:r>
      <w:r w:rsidRPr="00D37B6E">
        <w:rPr>
          <w:rStyle w:val="default"/>
          <w:rFonts w:cs="FrankRuehl"/>
          <w:rtl/>
        </w:rPr>
        <w:t>.</w:t>
      </w:r>
      <w:r w:rsidRPr="00D37B6E">
        <w:rPr>
          <w:rStyle w:val="default"/>
          <w:rFonts w:cs="FrankRuehl"/>
          <w:rtl/>
        </w:rPr>
        <w:tab/>
      </w:r>
      <w:r w:rsidR="005E517D">
        <w:rPr>
          <w:rStyle w:val="default"/>
          <w:rFonts w:cs="FrankRuehl" w:hint="cs"/>
          <w:rtl/>
        </w:rPr>
        <w:t>על אף האמור בתקנות 2 ו-3, שוויים של נכסי קופת גמל המבטיחה תשואה, המפורטים להלן, יחושב ליום האחרון של כל חודש ובהתאם להוראות האמורות לצדם:</w:t>
      </w:r>
    </w:p>
    <w:p w14:paraId="3281A95A" w14:textId="77777777" w:rsidR="005E517D" w:rsidRDefault="005E517D" w:rsidP="005E517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איגרת חוב לא סחירה, תעודת חוב מסחרית שאינה תעודת חוב מסחרית סחירה, פיקדון ופיקדון חשכ"ל </w:t>
      </w:r>
      <w:r>
        <w:rPr>
          <w:rStyle w:val="default"/>
          <w:rFonts w:cs="FrankRuehl"/>
          <w:rtl/>
        </w:rPr>
        <w:t>–</w:t>
      </w:r>
      <w:r>
        <w:rPr>
          <w:rStyle w:val="default"/>
          <w:rFonts w:cs="FrankRuehl" w:hint="cs"/>
          <w:rtl/>
        </w:rPr>
        <w:t xml:space="preserve"> לפי העלות המתואמת שלהם; הפחתת פרמיה וניכיון תיעשה בשיטת הקו הישר;</w:t>
      </w:r>
    </w:p>
    <w:p w14:paraId="334AB923" w14:textId="77777777" w:rsidR="005E517D" w:rsidRDefault="005E517D" w:rsidP="005E517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הלוואה בלתי סחירה והלוואה לעמית </w:t>
      </w:r>
      <w:r>
        <w:rPr>
          <w:rStyle w:val="default"/>
          <w:rFonts w:cs="FrankRuehl"/>
          <w:rtl/>
        </w:rPr>
        <w:t>–</w:t>
      </w:r>
      <w:r>
        <w:rPr>
          <w:rStyle w:val="default"/>
          <w:rFonts w:cs="FrankRuehl" w:hint="cs"/>
          <w:rtl/>
        </w:rPr>
        <w:t xml:space="preserve"> לפי העלות המתואמת של ההלוואה, בניכוי חובות אבודים.</w:t>
      </w:r>
    </w:p>
    <w:p w14:paraId="54AD4C94" w14:textId="77777777" w:rsidR="005D08B8" w:rsidRDefault="005D08B8" w:rsidP="005E517D">
      <w:pPr>
        <w:pStyle w:val="P00"/>
        <w:spacing w:before="72"/>
        <w:ind w:left="0" w:right="1134"/>
        <w:rPr>
          <w:rStyle w:val="default"/>
          <w:rFonts w:cs="FrankRuehl" w:hint="cs"/>
          <w:rtl/>
        </w:rPr>
      </w:pPr>
      <w:bookmarkStart w:id="15" w:name="Seif7"/>
      <w:bookmarkEnd w:id="15"/>
      <w:r>
        <w:rPr>
          <w:lang w:val="he-IL"/>
        </w:rPr>
        <w:pict w14:anchorId="1A0B2715">
          <v:rect id="_x0000_s1107" style="position:absolute;left:0;text-align:left;margin-left:464.5pt;margin-top:8.05pt;width:75.05pt;height:28.45pt;z-index:251656192" o:allowincell="f" filled="f" stroked="f" strokecolor="lime" strokeweight=".25pt">
            <v:textbox style="mso-next-textbox:#_x0000_s1107" inset="0,0,0,0">
              <w:txbxContent>
                <w:p w14:paraId="08E5917C" w14:textId="77777777" w:rsidR="005D08B8" w:rsidRDefault="005E517D" w:rsidP="005D08B8">
                  <w:pPr>
                    <w:spacing w:line="160" w:lineRule="exact"/>
                    <w:jc w:val="left"/>
                    <w:rPr>
                      <w:rFonts w:cs="Miriam" w:hint="cs"/>
                      <w:noProof/>
                      <w:szCs w:val="18"/>
                      <w:rtl/>
                    </w:rPr>
                  </w:pPr>
                  <w:r>
                    <w:rPr>
                      <w:rFonts w:cs="Miriam" w:hint="cs"/>
                      <w:szCs w:val="18"/>
                      <w:rtl/>
                    </w:rPr>
                    <w:t>חישוב שווי הנובע מעסקאות שאינן כלכליות</w:t>
                  </w:r>
                </w:p>
              </w:txbxContent>
            </v:textbox>
            <w10:anchorlock/>
          </v:rect>
        </w:pict>
      </w:r>
      <w:r w:rsidR="005E517D">
        <w:rPr>
          <w:rStyle w:val="big-number"/>
          <w:rFonts w:hint="cs"/>
          <w:rtl/>
        </w:rPr>
        <w:t>7</w:t>
      </w:r>
      <w:r w:rsidRPr="00D37B6E">
        <w:rPr>
          <w:rStyle w:val="default"/>
          <w:rFonts w:cs="FrankRuehl"/>
          <w:rtl/>
        </w:rPr>
        <w:t>.</w:t>
      </w:r>
      <w:r w:rsidRPr="00D37B6E">
        <w:rPr>
          <w:rStyle w:val="default"/>
          <w:rFonts w:cs="FrankRuehl"/>
          <w:rtl/>
        </w:rPr>
        <w:tab/>
      </w:r>
      <w:r w:rsidR="005E517D">
        <w:rPr>
          <w:rStyle w:val="default"/>
          <w:rFonts w:cs="FrankRuehl" w:hint="cs"/>
          <w:rtl/>
        </w:rPr>
        <w:t>סבר הממונה כי גוף מוסדי ביצע עסקה בנכסים מתוך שיקולים שאינם כלכליים במטרה לשפר את תוצאות פעילותו בצורה לא נאותה, אף אם העסקה מותרת לפי דין, רשאי הוא, לאחר שנתן לגוף המוסדי הזדמנות לטעון את טענותיו באופן שהורה, להורות לגוף המוסדי לחשב את שוויים של אותם נכסים באופן שיבטל באופן מלא או חלקי את שיפור התוצאות כאמור, כפי שיורה.</w:t>
      </w:r>
    </w:p>
    <w:p w14:paraId="175FB3F1" w14:textId="77777777" w:rsidR="005D08B8" w:rsidRDefault="005D08B8" w:rsidP="005E517D">
      <w:pPr>
        <w:pStyle w:val="P00"/>
        <w:spacing w:before="72"/>
        <w:ind w:left="0" w:right="1134"/>
        <w:rPr>
          <w:rStyle w:val="default"/>
          <w:rFonts w:cs="FrankRuehl" w:hint="cs"/>
          <w:rtl/>
        </w:rPr>
      </w:pPr>
      <w:bookmarkStart w:id="16" w:name="Seif8"/>
      <w:bookmarkEnd w:id="16"/>
      <w:r>
        <w:rPr>
          <w:lang w:val="he-IL"/>
        </w:rPr>
        <w:pict w14:anchorId="38E710FE">
          <v:rect id="_x0000_s1108" style="position:absolute;left:0;text-align:left;margin-left:464.5pt;margin-top:8.05pt;width:75.05pt;height:12.1pt;z-index:251657216" o:allowincell="f" filled="f" stroked="f" strokecolor="lime" strokeweight=".25pt">
            <v:textbox style="mso-next-textbox:#_x0000_s1108" inset="0,0,0,0">
              <w:txbxContent>
                <w:p w14:paraId="1207BF25" w14:textId="77777777" w:rsidR="005D08B8" w:rsidRDefault="005E517D" w:rsidP="005D08B8">
                  <w:pPr>
                    <w:spacing w:line="160" w:lineRule="exact"/>
                    <w:jc w:val="left"/>
                    <w:rPr>
                      <w:rFonts w:cs="Miriam" w:hint="cs"/>
                      <w:noProof/>
                      <w:szCs w:val="18"/>
                      <w:rtl/>
                    </w:rPr>
                  </w:pPr>
                  <w:r>
                    <w:rPr>
                      <w:rFonts w:cs="Miriam" w:hint="cs"/>
                      <w:szCs w:val="18"/>
                      <w:rtl/>
                    </w:rPr>
                    <w:t>תחילה</w:t>
                  </w:r>
                </w:p>
              </w:txbxContent>
            </v:textbox>
            <w10:anchorlock/>
          </v:rect>
        </w:pict>
      </w:r>
      <w:r w:rsidR="005E517D">
        <w:rPr>
          <w:rStyle w:val="big-number"/>
          <w:rFonts w:hint="cs"/>
          <w:rtl/>
        </w:rPr>
        <w:t>8</w:t>
      </w:r>
      <w:r w:rsidRPr="00D37B6E">
        <w:rPr>
          <w:rStyle w:val="default"/>
          <w:rFonts w:cs="FrankRuehl"/>
          <w:rtl/>
        </w:rPr>
        <w:t>.</w:t>
      </w:r>
      <w:r w:rsidRPr="00D37B6E">
        <w:rPr>
          <w:rStyle w:val="default"/>
          <w:rFonts w:cs="FrankRuehl"/>
          <w:rtl/>
        </w:rPr>
        <w:tab/>
      </w:r>
      <w:r w:rsidR="005E517D">
        <w:rPr>
          <w:rStyle w:val="default"/>
          <w:rFonts w:cs="FrankRuehl" w:hint="cs"/>
          <w:rtl/>
        </w:rPr>
        <w:t>תחילתן של תקנות אלה 30 ימים מיום פרסומן.</w:t>
      </w:r>
    </w:p>
    <w:p w14:paraId="4D86E6C9" w14:textId="77777777" w:rsidR="002D24EB" w:rsidRDefault="002D24EB">
      <w:pPr>
        <w:pStyle w:val="P00"/>
        <w:spacing w:before="72"/>
        <w:ind w:left="0" w:right="1134"/>
        <w:rPr>
          <w:rStyle w:val="default"/>
          <w:rFonts w:cs="FrankRuehl" w:hint="cs"/>
          <w:rtl/>
        </w:rPr>
      </w:pPr>
    </w:p>
    <w:p w14:paraId="4B509CBD" w14:textId="77777777" w:rsidR="002D24EB" w:rsidRDefault="002D24EB">
      <w:pPr>
        <w:pStyle w:val="P00"/>
        <w:spacing w:before="72"/>
        <w:ind w:left="0" w:right="1134"/>
        <w:rPr>
          <w:rStyle w:val="default"/>
          <w:rFonts w:cs="FrankRuehl" w:hint="cs"/>
          <w:rtl/>
        </w:rPr>
      </w:pPr>
    </w:p>
    <w:p w14:paraId="6E99D1D4" w14:textId="77777777" w:rsidR="002D24EB" w:rsidRDefault="00DF5A7F" w:rsidP="00DF5A7F">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ט"ו</w:t>
      </w:r>
      <w:r w:rsidR="00BF7FE1">
        <w:rPr>
          <w:rStyle w:val="default"/>
          <w:rFonts w:cs="FrankRuehl" w:hint="cs"/>
          <w:rtl/>
        </w:rPr>
        <w:t xml:space="preserve"> בשבט</w:t>
      </w:r>
      <w:r w:rsidR="002D24EB">
        <w:rPr>
          <w:rStyle w:val="default"/>
          <w:rFonts w:cs="FrankRuehl" w:hint="cs"/>
          <w:rtl/>
        </w:rPr>
        <w:t xml:space="preserve"> התשס"</w:t>
      </w:r>
      <w:r w:rsidR="003522DE">
        <w:rPr>
          <w:rStyle w:val="default"/>
          <w:rFonts w:cs="FrankRuehl" w:hint="cs"/>
          <w:rtl/>
        </w:rPr>
        <w:t>ט</w:t>
      </w:r>
      <w:r w:rsidR="002D24EB">
        <w:rPr>
          <w:rStyle w:val="default"/>
          <w:rFonts w:cs="FrankRuehl" w:hint="cs"/>
          <w:rtl/>
        </w:rPr>
        <w:t xml:space="preserve"> (</w:t>
      </w:r>
      <w:r>
        <w:rPr>
          <w:rStyle w:val="default"/>
          <w:rFonts w:cs="FrankRuehl" w:hint="cs"/>
          <w:rtl/>
        </w:rPr>
        <w:t>9</w:t>
      </w:r>
      <w:r w:rsidR="00BF7FE1">
        <w:rPr>
          <w:rStyle w:val="default"/>
          <w:rFonts w:cs="FrankRuehl" w:hint="cs"/>
          <w:rtl/>
        </w:rPr>
        <w:t xml:space="preserve"> בפברואר 2009</w:t>
      </w:r>
      <w:r w:rsidR="002D24EB">
        <w:rPr>
          <w:rStyle w:val="default"/>
          <w:rFonts w:cs="FrankRuehl" w:hint="cs"/>
          <w:rtl/>
        </w:rPr>
        <w:t>)</w:t>
      </w:r>
      <w:r w:rsidR="002D24EB">
        <w:rPr>
          <w:rStyle w:val="default"/>
          <w:rFonts w:cs="FrankRuehl" w:hint="cs"/>
          <w:rtl/>
        </w:rPr>
        <w:tab/>
      </w:r>
      <w:r>
        <w:rPr>
          <w:rStyle w:val="default"/>
          <w:rFonts w:cs="FrankRuehl" w:hint="cs"/>
          <w:rtl/>
        </w:rPr>
        <w:t>רוני בר-און</w:t>
      </w:r>
    </w:p>
    <w:p w14:paraId="1E13A3AF" w14:textId="77777777" w:rsidR="002D24EB" w:rsidRDefault="002D24EB" w:rsidP="00DF5A7F">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r>
      <w:r w:rsidR="00DF5A7F">
        <w:rPr>
          <w:rStyle w:val="default"/>
          <w:rFonts w:cs="FrankRuehl" w:hint="cs"/>
          <w:sz w:val="22"/>
          <w:szCs w:val="22"/>
          <w:rtl/>
        </w:rPr>
        <w:t>שר האוצר</w:t>
      </w:r>
    </w:p>
    <w:p w14:paraId="727B392D" w14:textId="77777777" w:rsidR="00C867A7" w:rsidRDefault="00C867A7">
      <w:pPr>
        <w:pStyle w:val="P00"/>
        <w:spacing w:before="72"/>
        <w:ind w:left="0" w:right="1134"/>
        <w:rPr>
          <w:rStyle w:val="default"/>
          <w:rFonts w:cs="FrankRuehl" w:hint="cs"/>
          <w:rtl/>
        </w:rPr>
      </w:pPr>
    </w:p>
    <w:p w14:paraId="7C4D73EC" w14:textId="77777777" w:rsidR="003522DE" w:rsidRDefault="003522DE">
      <w:pPr>
        <w:pStyle w:val="P00"/>
        <w:spacing w:before="72"/>
        <w:ind w:left="0" w:right="1134"/>
        <w:rPr>
          <w:rStyle w:val="default"/>
          <w:rFonts w:cs="FrankRuehl" w:hint="cs"/>
          <w:rtl/>
        </w:rPr>
      </w:pPr>
    </w:p>
    <w:p w14:paraId="42651940" w14:textId="77777777" w:rsidR="002D24EB" w:rsidRDefault="002D24EB">
      <w:pPr>
        <w:pStyle w:val="P00"/>
        <w:spacing w:before="72"/>
        <w:ind w:left="0" w:right="1134"/>
        <w:rPr>
          <w:rStyle w:val="default"/>
          <w:rFonts w:cs="FrankRuehl" w:hint="cs"/>
          <w:rtl/>
        </w:rPr>
      </w:pPr>
    </w:p>
    <w:p w14:paraId="3B86711C" w14:textId="77777777" w:rsidR="002D24EB" w:rsidRDefault="002D24EB">
      <w:pPr>
        <w:pStyle w:val="P00"/>
        <w:spacing w:before="72"/>
        <w:ind w:left="0" w:right="1134"/>
        <w:rPr>
          <w:rStyle w:val="default"/>
          <w:rFonts w:cs="FrankRuehl" w:hint="cs"/>
          <w:rtl/>
        </w:rPr>
      </w:pPr>
    </w:p>
    <w:sectPr w:rsidR="002D24EB">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89E8" w14:textId="77777777" w:rsidR="001D0D38" w:rsidRPr="00482E6A" w:rsidRDefault="001D0D38">
      <w:pPr>
        <w:rPr>
          <w:rFonts w:cs="Times New Roman"/>
        </w:rPr>
      </w:pPr>
      <w:r>
        <w:separator/>
      </w:r>
    </w:p>
  </w:endnote>
  <w:endnote w:type="continuationSeparator" w:id="0">
    <w:p w14:paraId="1E300779" w14:textId="77777777" w:rsidR="001D0D38" w:rsidRPr="00482E6A" w:rsidRDefault="001D0D38">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144D" w14:textId="77777777" w:rsidR="004F01ED" w:rsidRDefault="004F0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40A86A" w14:textId="77777777" w:rsidR="004F01ED" w:rsidRDefault="004F0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A89A734" w14:textId="77777777" w:rsidR="004F01ED" w:rsidRDefault="004F0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55E5">
      <w:rPr>
        <w:rFonts w:cs="TopType Jerushalmi"/>
        <w:noProof/>
        <w:color w:val="000000"/>
        <w:sz w:val="14"/>
        <w:szCs w:val="14"/>
      </w:rPr>
      <w:t>Z:\000000000000-law\yael\09-03-02\tav\500_093.doc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844A" w14:textId="77777777" w:rsidR="004F01ED" w:rsidRDefault="004F0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5C11">
      <w:rPr>
        <w:rFonts w:hAnsi="FrankRuehl" w:cs="FrankRuehl"/>
        <w:noProof/>
        <w:sz w:val="24"/>
        <w:szCs w:val="24"/>
        <w:rtl/>
      </w:rPr>
      <w:t>3</w:t>
    </w:r>
    <w:r>
      <w:rPr>
        <w:rFonts w:hAnsi="FrankRuehl" w:cs="FrankRuehl"/>
        <w:sz w:val="24"/>
        <w:szCs w:val="24"/>
        <w:rtl/>
      </w:rPr>
      <w:fldChar w:fldCharType="end"/>
    </w:r>
  </w:p>
  <w:p w14:paraId="7AA8BA76" w14:textId="77777777" w:rsidR="004F01ED" w:rsidRDefault="004F0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60627D2" w14:textId="77777777" w:rsidR="004F01ED" w:rsidRDefault="004F0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55E5">
      <w:rPr>
        <w:rFonts w:cs="TopType Jerushalmi"/>
        <w:noProof/>
        <w:color w:val="000000"/>
        <w:sz w:val="14"/>
        <w:szCs w:val="14"/>
      </w:rPr>
      <w:t>Z:\000000000000-law\yael\09-03-02\tav\500_093.doc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BB3D" w14:textId="77777777" w:rsidR="001D0D38" w:rsidRDefault="001D0D38">
      <w:pPr>
        <w:spacing w:before="60" w:line="240" w:lineRule="auto"/>
        <w:ind w:right="1134"/>
      </w:pPr>
      <w:r>
        <w:separator/>
      </w:r>
    </w:p>
  </w:footnote>
  <w:footnote w:type="continuationSeparator" w:id="0">
    <w:p w14:paraId="4B6C4B01" w14:textId="77777777" w:rsidR="001D0D38" w:rsidRPr="00482E6A" w:rsidRDefault="001D0D38">
      <w:pPr>
        <w:rPr>
          <w:rFonts w:cs="Times New Roman"/>
        </w:rPr>
      </w:pPr>
      <w:r>
        <w:continuationSeparator/>
      </w:r>
    </w:p>
  </w:footnote>
  <w:footnote w:id="1">
    <w:p w14:paraId="460FD067" w14:textId="77777777" w:rsidR="005C0BE1" w:rsidRDefault="004F01ED" w:rsidP="005C0B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5C0BE1">
          <w:rPr>
            <w:rStyle w:val="Hyperlink"/>
            <w:rFonts w:hint="cs"/>
            <w:sz w:val="20"/>
            <w:rtl/>
          </w:rPr>
          <w:t>ק"ת תשס"ט מס' 675</w:t>
        </w:r>
        <w:r w:rsidR="00C867A7" w:rsidRPr="005C0BE1">
          <w:rPr>
            <w:rStyle w:val="Hyperlink"/>
            <w:rFonts w:hint="cs"/>
            <w:sz w:val="20"/>
            <w:rtl/>
          </w:rPr>
          <w:t>8</w:t>
        </w:r>
      </w:hyperlink>
      <w:r>
        <w:rPr>
          <w:rFonts w:hint="cs"/>
          <w:sz w:val="20"/>
          <w:rtl/>
        </w:rPr>
        <w:t xml:space="preserve"> מיום 2</w:t>
      </w:r>
      <w:r w:rsidR="00C867A7">
        <w:rPr>
          <w:rFonts w:hint="cs"/>
          <w:sz w:val="20"/>
          <w:rtl/>
        </w:rPr>
        <w:t>5</w:t>
      </w:r>
      <w:r>
        <w:rPr>
          <w:rFonts w:hint="cs"/>
          <w:sz w:val="20"/>
          <w:rtl/>
        </w:rPr>
        <w:t xml:space="preserve">.2.2009 עמ' </w:t>
      </w:r>
      <w:r w:rsidR="00C867A7">
        <w:rPr>
          <w:rFonts w:hint="cs"/>
          <w:sz w:val="20"/>
          <w:rtl/>
        </w:rPr>
        <w:t>55</w:t>
      </w:r>
      <w:r w:rsidR="005D08B8">
        <w:rPr>
          <w:rFonts w:hint="cs"/>
          <w:sz w:val="20"/>
          <w:rtl/>
        </w:rPr>
        <w:t>1</w:t>
      </w:r>
      <w:r>
        <w:rPr>
          <w:rFonts w:hint="cs"/>
          <w:sz w:val="20"/>
          <w:rtl/>
        </w:rPr>
        <w:t>.</w:t>
      </w:r>
    </w:p>
    <w:p w14:paraId="67BAC972" w14:textId="77777777" w:rsidR="00625C11" w:rsidRDefault="00BD4C09" w:rsidP="00625C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625C11">
          <w:rPr>
            <w:rStyle w:val="Hyperlink"/>
            <w:rFonts w:hint="cs"/>
            <w:sz w:val="20"/>
            <w:rtl/>
          </w:rPr>
          <w:t>ק"ת תשע"ב מס' 7125</w:t>
        </w:r>
      </w:hyperlink>
      <w:r>
        <w:rPr>
          <w:rFonts w:hint="cs"/>
          <w:sz w:val="20"/>
          <w:rtl/>
        </w:rPr>
        <w:t xml:space="preserve"> מיום 7.6.2012 עמ' 1215 </w:t>
      </w:r>
      <w:r>
        <w:rPr>
          <w:sz w:val="20"/>
          <w:rtl/>
        </w:rPr>
        <w:t>–</w:t>
      </w:r>
      <w:r>
        <w:rPr>
          <w:rFonts w:hint="cs"/>
          <w:sz w:val="20"/>
          <w:rtl/>
        </w:rPr>
        <w:t xml:space="preserve"> תק' תשע"ב-2012; תחילתן ביום 8.7.2012.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2985" w14:textId="77777777" w:rsidR="004F01ED" w:rsidRDefault="004F0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31DB82C"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2F3657"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BF1F" w14:textId="77777777" w:rsidR="004F01ED" w:rsidRDefault="00964969" w:rsidP="005D08B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1E5271">
      <w:rPr>
        <w:rFonts w:hAnsi="FrankRuehl" w:cs="FrankRuehl" w:hint="cs"/>
        <w:color w:val="000000"/>
        <w:sz w:val="28"/>
        <w:szCs w:val="28"/>
        <w:rtl/>
      </w:rPr>
      <w:t>הפיקוח על שירותים פיננסיים (קופות גמל) (</w:t>
    </w:r>
    <w:r w:rsidR="005D08B8">
      <w:rPr>
        <w:rFonts w:hAnsi="FrankRuehl" w:cs="FrankRuehl" w:hint="cs"/>
        <w:color w:val="000000"/>
        <w:sz w:val="28"/>
        <w:szCs w:val="28"/>
        <w:rtl/>
      </w:rPr>
      <w:t>חישוב שווי נכסים</w:t>
    </w:r>
    <w:r w:rsidR="001E5271">
      <w:rPr>
        <w:rFonts w:hAnsi="FrankRuehl" w:cs="FrankRuehl" w:hint="cs"/>
        <w:color w:val="000000"/>
        <w:sz w:val="28"/>
        <w:szCs w:val="28"/>
        <w:rtl/>
      </w:rPr>
      <w:t>)</w:t>
    </w:r>
    <w:r w:rsidR="004F01ED">
      <w:rPr>
        <w:rFonts w:hAnsi="FrankRuehl" w:cs="FrankRuehl"/>
        <w:color w:val="000000"/>
        <w:sz w:val="28"/>
        <w:szCs w:val="28"/>
        <w:rtl/>
      </w:rPr>
      <w:t>, תשס"</w:t>
    </w:r>
    <w:r w:rsidR="004F01ED">
      <w:rPr>
        <w:rFonts w:hAnsi="FrankRuehl" w:cs="FrankRuehl" w:hint="cs"/>
        <w:color w:val="000000"/>
        <w:sz w:val="28"/>
        <w:szCs w:val="28"/>
        <w:rtl/>
      </w:rPr>
      <w:t>ט-</w:t>
    </w:r>
    <w:r w:rsidR="004F01ED">
      <w:rPr>
        <w:rFonts w:hAnsi="FrankRuehl" w:cs="FrankRuehl"/>
        <w:color w:val="000000"/>
        <w:sz w:val="28"/>
        <w:szCs w:val="28"/>
        <w:rtl/>
      </w:rPr>
      <w:t>200</w:t>
    </w:r>
    <w:r w:rsidR="004F01ED">
      <w:rPr>
        <w:rFonts w:hAnsi="FrankRuehl" w:cs="FrankRuehl" w:hint="cs"/>
        <w:color w:val="000000"/>
        <w:sz w:val="28"/>
        <w:szCs w:val="28"/>
        <w:rtl/>
      </w:rPr>
      <w:t>9</w:t>
    </w:r>
  </w:p>
  <w:p w14:paraId="7A33CFBD"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B590CE"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03747"/>
    <w:rsid w:val="000526A7"/>
    <w:rsid w:val="00083748"/>
    <w:rsid w:val="00087646"/>
    <w:rsid w:val="00095C17"/>
    <w:rsid w:val="000E418A"/>
    <w:rsid w:val="000F381E"/>
    <w:rsid w:val="00125E31"/>
    <w:rsid w:val="0018711F"/>
    <w:rsid w:val="001932C1"/>
    <w:rsid w:val="001C4378"/>
    <w:rsid w:val="001D0D38"/>
    <w:rsid w:val="001D7632"/>
    <w:rsid w:val="001E0003"/>
    <w:rsid w:val="001E282C"/>
    <w:rsid w:val="001E5271"/>
    <w:rsid w:val="001E7813"/>
    <w:rsid w:val="002A363F"/>
    <w:rsid w:val="002B4EFD"/>
    <w:rsid w:val="002D24EB"/>
    <w:rsid w:val="002E7B76"/>
    <w:rsid w:val="003002A4"/>
    <w:rsid w:val="003009FA"/>
    <w:rsid w:val="00320AC4"/>
    <w:rsid w:val="00343405"/>
    <w:rsid w:val="00343D08"/>
    <w:rsid w:val="003522DE"/>
    <w:rsid w:val="003662B0"/>
    <w:rsid w:val="0037126D"/>
    <w:rsid w:val="003829EE"/>
    <w:rsid w:val="00382E1F"/>
    <w:rsid w:val="003961C0"/>
    <w:rsid w:val="003A0A0C"/>
    <w:rsid w:val="003D4215"/>
    <w:rsid w:val="003D7E33"/>
    <w:rsid w:val="003E2224"/>
    <w:rsid w:val="004073A6"/>
    <w:rsid w:val="00412B0D"/>
    <w:rsid w:val="0042349C"/>
    <w:rsid w:val="004B1D62"/>
    <w:rsid w:val="004F013D"/>
    <w:rsid w:val="004F01ED"/>
    <w:rsid w:val="005045F5"/>
    <w:rsid w:val="00520EE3"/>
    <w:rsid w:val="00522DBB"/>
    <w:rsid w:val="00550632"/>
    <w:rsid w:val="005615CB"/>
    <w:rsid w:val="005619B4"/>
    <w:rsid w:val="005B5EE5"/>
    <w:rsid w:val="005C0BE1"/>
    <w:rsid w:val="005D08B8"/>
    <w:rsid w:val="005D108B"/>
    <w:rsid w:val="005E517D"/>
    <w:rsid w:val="005F104F"/>
    <w:rsid w:val="00605E3E"/>
    <w:rsid w:val="0062185C"/>
    <w:rsid w:val="00625C11"/>
    <w:rsid w:val="00692682"/>
    <w:rsid w:val="006A4D26"/>
    <w:rsid w:val="006D6824"/>
    <w:rsid w:val="006D7502"/>
    <w:rsid w:val="006E0F69"/>
    <w:rsid w:val="006E70D4"/>
    <w:rsid w:val="007068A9"/>
    <w:rsid w:val="0077742C"/>
    <w:rsid w:val="007873B0"/>
    <w:rsid w:val="007C7755"/>
    <w:rsid w:val="007E2D65"/>
    <w:rsid w:val="008174FC"/>
    <w:rsid w:val="00856456"/>
    <w:rsid w:val="008813A2"/>
    <w:rsid w:val="008A763E"/>
    <w:rsid w:val="008D1DAF"/>
    <w:rsid w:val="008F70AF"/>
    <w:rsid w:val="00950981"/>
    <w:rsid w:val="00964969"/>
    <w:rsid w:val="00965CCC"/>
    <w:rsid w:val="009E514D"/>
    <w:rsid w:val="00A20561"/>
    <w:rsid w:val="00A3622A"/>
    <w:rsid w:val="00A43FDF"/>
    <w:rsid w:val="00A64F6F"/>
    <w:rsid w:val="00A923A7"/>
    <w:rsid w:val="00AD73EB"/>
    <w:rsid w:val="00AF4799"/>
    <w:rsid w:val="00B05982"/>
    <w:rsid w:val="00B178FD"/>
    <w:rsid w:val="00B470A4"/>
    <w:rsid w:val="00B60E50"/>
    <w:rsid w:val="00BB0ACF"/>
    <w:rsid w:val="00BD06D5"/>
    <w:rsid w:val="00BD4C09"/>
    <w:rsid w:val="00BE1320"/>
    <w:rsid w:val="00BE32E9"/>
    <w:rsid w:val="00BF7FE1"/>
    <w:rsid w:val="00C0388B"/>
    <w:rsid w:val="00C20C25"/>
    <w:rsid w:val="00C210E1"/>
    <w:rsid w:val="00C341A2"/>
    <w:rsid w:val="00C4180C"/>
    <w:rsid w:val="00C50B9D"/>
    <w:rsid w:val="00C56B49"/>
    <w:rsid w:val="00C62D35"/>
    <w:rsid w:val="00C7017F"/>
    <w:rsid w:val="00C867A7"/>
    <w:rsid w:val="00C95706"/>
    <w:rsid w:val="00CC3F0E"/>
    <w:rsid w:val="00CC5033"/>
    <w:rsid w:val="00CC5EAD"/>
    <w:rsid w:val="00CF0011"/>
    <w:rsid w:val="00CF416F"/>
    <w:rsid w:val="00D271D9"/>
    <w:rsid w:val="00D37B6E"/>
    <w:rsid w:val="00D72A48"/>
    <w:rsid w:val="00D86CC2"/>
    <w:rsid w:val="00DA38E8"/>
    <w:rsid w:val="00DA44A0"/>
    <w:rsid w:val="00DC45B4"/>
    <w:rsid w:val="00DF4E16"/>
    <w:rsid w:val="00DF5A7F"/>
    <w:rsid w:val="00DF7A99"/>
    <w:rsid w:val="00E06533"/>
    <w:rsid w:val="00E06B33"/>
    <w:rsid w:val="00E25E9F"/>
    <w:rsid w:val="00E277B5"/>
    <w:rsid w:val="00E32C73"/>
    <w:rsid w:val="00E63082"/>
    <w:rsid w:val="00E76BFE"/>
    <w:rsid w:val="00E848EB"/>
    <w:rsid w:val="00ED55E5"/>
    <w:rsid w:val="00EE617E"/>
    <w:rsid w:val="00EF7B90"/>
    <w:rsid w:val="00F10FB5"/>
    <w:rsid w:val="00F53C58"/>
    <w:rsid w:val="00F75D83"/>
    <w:rsid w:val="00F912FF"/>
    <w:rsid w:val="00FA31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1D6176"/>
  <w15:chartTrackingRefBased/>
  <w15:docId w15:val="{A2F89E9D-D8D4-4628-AF35-61A5609F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25.pdf" TargetMode="External"/><Relationship Id="rId13" Type="http://schemas.openxmlformats.org/officeDocument/2006/relationships/hyperlink" Target="http://www.nevo.co.il/Law_word/law06/tak-7125.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125.pdf" TargetMode="External"/><Relationship Id="rId12" Type="http://schemas.openxmlformats.org/officeDocument/2006/relationships/hyperlink" Target="http://www.nevo.co.il/Law_word/law06/tak-7125.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125.pdf" TargetMode="External"/><Relationship Id="rId11" Type="http://schemas.openxmlformats.org/officeDocument/2006/relationships/hyperlink" Target="http://www.nevo.co.il/Law_word/law06/tak-712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7125.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125.pdf" TargetMode="External"/><Relationship Id="rId14" Type="http://schemas.openxmlformats.org/officeDocument/2006/relationships/hyperlink" Target="http://www.nevo.co.il/Law_word/law06/tak-7125.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25.pdf" TargetMode="External"/><Relationship Id="rId1" Type="http://schemas.openxmlformats.org/officeDocument/2006/relationships/hyperlink" Target="http://www.nevo.co.il/Law_word/law06/tak-67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6768</CharactersWithSpaces>
  <SharedDoc>false</SharedDoc>
  <HLinks>
    <vt:vector size="114" baseType="variant">
      <vt:variant>
        <vt:i4>8126476</vt:i4>
      </vt:variant>
      <vt:variant>
        <vt:i4>72</vt:i4>
      </vt:variant>
      <vt:variant>
        <vt:i4>0</vt:i4>
      </vt:variant>
      <vt:variant>
        <vt:i4>5</vt:i4>
      </vt:variant>
      <vt:variant>
        <vt:lpwstr>http://www.nevo.co.il/Law_word/law06/tak-7125.pdf</vt:lpwstr>
      </vt:variant>
      <vt:variant>
        <vt:lpwstr/>
      </vt:variant>
      <vt:variant>
        <vt:i4>8126476</vt:i4>
      </vt:variant>
      <vt:variant>
        <vt:i4>69</vt:i4>
      </vt:variant>
      <vt:variant>
        <vt:i4>0</vt:i4>
      </vt:variant>
      <vt:variant>
        <vt:i4>5</vt:i4>
      </vt:variant>
      <vt:variant>
        <vt:lpwstr>http://www.nevo.co.il/Law_word/law06/tak-7125.pdf</vt:lpwstr>
      </vt:variant>
      <vt:variant>
        <vt:lpwstr/>
      </vt:variant>
      <vt:variant>
        <vt:i4>8126476</vt:i4>
      </vt:variant>
      <vt:variant>
        <vt:i4>66</vt:i4>
      </vt:variant>
      <vt:variant>
        <vt:i4>0</vt:i4>
      </vt:variant>
      <vt:variant>
        <vt:i4>5</vt:i4>
      </vt:variant>
      <vt:variant>
        <vt:lpwstr>http://www.nevo.co.il/Law_word/law06/tak-7125.pdf</vt:lpwstr>
      </vt:variant>
      <vt:variant>
        <vt:lpwstr/>
      </vt:variant>
      <vt:variant>
        <vt:i4>8126476</vt:i4>
      </vt:variant>
      <vt:variant>
        <vt:i4>63</vt:i4>
      </vt:variant>
      <vt:variant>
        <vt:i4>0</vt:i4>
      </vt:variant>
      <vt:variant>
        <vt:i4>5</vt:i4>
      </vt:variant>
      <vt:variant>
        <vt:lpwstr>http://www.nevo.co.il/Law_word/law06/tak-7125.pdf</vt:lpwstr>
      </vt:variant>
      <vt:variant>
        <vt:lpwstr/>
      </vt:variant>
      <vt:variant>
        <vt:i4>8126476</vt:i4>
      </vt:variant>
      <vt:variant>
        <vt:i4>60</vt:i4>
      </vt:variant>
      <vt:variant>
        <vt:i4>0</vt:i4>
      </vt:variant>
      <vt:variant>
        <vt:i4>5</vt:i4>
      </vt:variant>
      <vt:variant>
        <vt:lpwstr>http://www.nevo.co.il/Law_word/law06/tak-7125.pdf</vt:lpwstr>
      </vt:variant>
      <vt:variant>
        <vt:lpwstr/>
      </vt:variant>
      <vt:variant>
        <vt:i4>8126476</vt:i4>
      </vt:variant>
      <vt:variant>
        <vt:i4>57</vt:i4>
      </vt:variant>
      <vt:variant>
        <vt:i4>0</vt:i4>
      </vt:variant>
      <vt:variant>
        <vt:i4>5</vt:i4>
      </vt:variant>
      <vt:variant>
        <vt:lpwstr>http://www.nevo.co.il/Law_word/law06/tak-7125.pdf</vt:lpwstr>
      </vt:variant>
      <vt:variant>
        <vt:lpwstr/>
      </vt:variant>
      <vt:variant>
        <vt:i4>8126476</vt:i4>
      </vt:variant>
      <vt:variant>
        <vt:i4>54</vt:i4>
      </vt:variant>
      <vt:variant>
        <vt:i4>0</vt:i4>
      </vt:variant>
      <vt:variant>
        <vt:i4>5</vt:i4>
      </vt:variant>
      <vt:variant>
        <vt:lpwstr>http://www.nevo.co.il/Law_word/law06/tak-7125.pdf</vt:lpwstr>
      </vt:variant>
      <vt:variant>
        <vt:lpwstr/>
      </vt:variant>
      <vt:variant>
        <vt:i4>8126476</vt:i4>
      </vt:variant>
      <vt:variant>
        <vt:i4>51</vt:i4>
      </vt:variant>
      <vt:variant>
        <vt:i4>0</vt:i4>
      </vt:variant>
      <vt:variant>
        <vt:i4>5</vt:i4>
      </vt:variant>
      <vt:variant>
        <vt:lpwstr>http://www.nevo.co.il/Law_word/law06/tak-7125.pdf</vt:lpwstr>
      </vt:variant>
      <vt:variant>
        <vt:lpwstr/>
      </vt:variant>
      <vt:variant>
        <vt:i4>8126476</vt:i4>
      </vt:variant>
      <vt:variant>
        <vt:i4>48</vt:i4>
      </vt:variant>
      <vt:variant>
        <vt:i4>0</vt:i4>
      </vt:variant>
      <vt:variant>
        <vt:i4>5</vt:i4>
      </vt:variant>
      <vt:variant>
        <vt:lpwstr>http://www.nevo.co.il/Law_word/law06/tak-7125.pdf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3</vt:i4>
      </vt:variant>
      <vt:variant>
        <vt:i4>0</vt:i4>
      </vt:variant>
      <vt:variant>
        <vt:i4>5</vt:i4>
      </vt:variant>
      <vt:variant>
        <vt:lpwstr>http://www.nevo.co.il/Law_word/law06/tak-7125.pdf</vt:lpwstr>
      </vt:variant>
      <vt:variant>
        <vt:lpwstr/>
      </vt:variant>
      <vt:variant>
        <vt:i4>7995399</vt:i4>
      </vt:variant>
      <vt:variant>
        <vt:i4>0</vt:i4>
      </vt:variant>
      <vt:variant>
        <vt:i4>0</vt:i4>
      </vt:variant>
      <vt:variant>
        <vt:i4>5</vt:i4>
      </vt:variant>
      <vt:variant>
        <vt:lpwstr>http://www.nevo.co.il/Law_word/law06/tak-6758.pdf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tali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שירותים פיננסיים</vt:lpwstr>
  </property>
  <property fmtid="{D5CDD505-2E9C-101B-9397-08002B2CF9AE}" pid="4" name="LAWNAME">
    <vt:lpwstr>תקנות הפיקוח על שירותים פיננסיים (קופות גמל) (חישוב שווי נכסים), תשס"ט-2009</vt:lpwstr>
  </property>
  <property fmtid="{D5CDD505-2E9C-101B-9397-08002B2CF9AE}" pid="5" name="LAWNUMBER">
    <vt:lpwstr>0093</vt:lpwstr>
  </property>
  <property fmtid="{D5CDD505-2E9C-101B-9397-08002B2CF9AE}" pid="6" name="TYPE">
    <vt:lpwstr>01</vt:lpwstr>
  </property>
  <property fmtid="{D5CDD505-2E9C-101B-9397-08002B2CF9AE}" pid="7" name="LINKK2">
    <vt:lpwstr>http://www.nevo.co.il/Law_word/law06/tak-7125.pdf;‎רשומות - תקנות כלליות#תוקנו ק"ת תשע"ב מס' ‏‏7125 #מיום 7.6.2012 עמ' 1215 – תק' תשע"ב-2012; תחילתן ביום 8.7.2012‏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http://www.nevo.co.il/Law_word/law06/tak-6758.pdf;‎רשומות - תקנות כלליות#פורסמו ק"ת תשס"ט ‏מס' 6758 #מיום 25.2.2009 עמ' 551‏</vt:lpwstr>
  </property>
  <property fmtid="{D5CDD505-2E9C-101B-9397-08002B2CF9AE}" pid="24" name="NOSE11">
    <vt:lpwstr>משפט פרטי וכלכלה</vt:lpwstr>
  </property>
  <property fmtid="{D5CDD505-2E9C-101B-9397-08002B2CF9AE}" pid="25" name="NOSE21">
    <vt:lpwstr>כספים</vt:lpwstr>
  </property>
  <property fmtid="{D5CDD505-2E9C-101B-9397-08002B2CF9AE}" pid="26" name="NOSE31">
    <vt:lpwstr>שירותים פיננסיים</vt:lpwstr>
  </property>
  <property fmtid="{D5CDD505-2E9C-101B-9397-08002B2CF9AE}" pid="27" name="NOSE41">
    <vt:lpwstr>קופות גמל</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קופות גמל</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NAME1">
    <vt:lpwstr>חוק הפיקוח על שירותים פיננסיים (קופות גמל)</vt:lpwstr>
  </property>
  <property fmtid="{D5CDD505-2E9C-101B-9397-08002B2CF9AE}" pid="65" name="MEKOR_SAIF1">
    <vt:lpwstr>33XאX;60X</vt:lpwstr>
  </property>
  <property fmtid="{D5CDD505-2E9C-101B-9397-08002B2CF9AE}" pid="66" name="MEKOR_NAME2">
    <vt:lpwstr>חוק הפיקוח על שירותים פיננסיים (ביטוח)</vt:lpwstr>
  </property>
  <property fmtid="{D5CDD505-2E9C-101B-9397-08002B2CF9AE}" pid="67" name="MEKOR_SAIF2">
    <vt:lpwstr>36אX;112X</vt:lpwstr>
  </property>
  <property fmtid="{D5CDD505-2E9C-101B-9397-08002B2CF9AE}" pid="68" name="MEKOR_NAME3">
    <vt:lpwstr>חוק-יסוד: הכנסת</vt:lpwstr>
  </property>
  <property fmtid="{D5CDD505-2E9C-101B-9397-08002B2CF9AE}" pid="69" name="MEKOR_SAIF3">
    <vt:lpwstr>21אXאX</vt:lpwstr>
  </property>
  <property fmtid="{D5CDD505-2E9C-101B-9397-08002B2CF9AE}" pid="70" name="MEKOR_NAME4">
    <vt:lpwstr>חוק העונשין</vt:lpwstr>
  </property>
  <property fmtid="{D5CDD505-2E9C-101B-9397-08002B2CF9AE}" pid="71" name="MEKOR_SAIF4">
    <vt:lpwstr>2XבX</vt:lpwstr>
  </property>
</Properties>
</file>