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DB8FF" w14:textId="77777777" w:rsidR="00567FB0" w:rsidRDefault="00960AC9" w:rsidP="005678B7">
      <w:pPr>
        <w:pStyle w:val="big-header"/>
        <w:ind w:left="0" w:right="1134"/>
        <w:rPr>
          <w:rFonts w:hint="cs"/>
          <w:rtl/>
          <w:lang w:eastAsia="en-US"/>
        </w:rPr>
      </w:pPr>
      <w:r>
        <w:rPr>
          <w:rFonts w:hint="cs"/>
          <w:rtl/>
          <w:lang w:eastAsia="en-US"/>
        </w:rPr>
        <w:t>תקנות הפיקוח על שירותים פיננסיים (קופות גמל) (משיכת כספים חלקית מקרן השתלמות</w:t>
      </w:r>
      <w:r w:rsidR="008C30A6">
        <w:rPr>
          <w:rFonts w:hint="cs"/>
          <w:rtl/>
          <w:lang w:eastAsia="en-US"/>
        </w:rPr>
        <w:t>)</w:t>
      </w:r>
      <w:r w:rsidR="00567FB0">
        <w:rPr>
          <w:rFonts w:hint="cs"/>
          <w:rtl/>
          <w:lang w:eastAsia="en-US"/>
        </w:rPr>
        <w:t xml:space="preserve">, </w:t>
      </w:r>
      <w:r w:rsidR="005678B7">
        <w:rPr>
          <w:rFonts w:hint="cs"/>
          <w:rtl/>
          <w:lang w:eastAsia="en-US"/>
        </w:rPr>
        <w:t>תשע"א-2011</w:t>
      </w:r>
    </w:p>
    <w:p w14:paraId="172F0B9F" w14:textId="77777777" w:rsidR="00960AC9" w:rsidRPr="00960AC9" w:rsidRDefault="00960AC9" w:rsidP="00960AC9">
      <w:pPr>
        <w:spacing w:line="320" w:lineRule="auto"/>
        <w:jc w:val="left"/>
        <w:rPr>
          <w:rFonts w:cs="FrankRuehl"/>
          <w:szCs w:val="26"/>
          <w:rtl/>
          <w:lang w:eastAsia="en-US"/>
        </w:rPr>
      </w:pPr>
    </w:p>
    <w:p w14:paraId="02DD90CE" w14:textId="77777777" w:rsidR="00960AC9" w:rsidRDefault="00960AC9" w:rsidP="00960AC9">
      <w:pPr>
        <w:spacing w:line="320" w:lineRule="auto"/>
        <w:jc w:val="left"/>
        <w:rPr>
          <w:rtl/>
          <w:lang w:eastAsia="en-US"/>
        </w:rPr>
      </w:pPr>
    </w:p>
    <w:p w14:paraId="0908F19A" w14:textId="77777777" w:rsidR="00960AC9" w:rsidRDefault="00960AC9" w:rsidP="00960AC9">
      <w:pPr>
        <w:spacing w:line="320" w:lineRule="auto"/>
        <w:jc w:val="left"/>
        <w:rPr>
          <w:rFonts w:cs="Miriam"/>
          <w:szCs w:val="22"/>
          <w:lang w:eastAsia="en-US"/>
        </w:rPr>
      </w:pPr>
      <w:r w:rsidRPr="00960AC9">
        <w:rPr>
          <w:rFonts w:cs="Miriam"/>
          <w:szCs w:val="22"/>
          <w:rtl/>
          <w:lang w:eastAsia="en-US"/>
        </w:rPr>
        <w:t>משפט פרטי וכלכלה</w:t>
      </w:r>
      <w:r w:rsidRPr="00960AC9">
        <w:rPr>
          <w:rFonts w:cs="FrankRuehl"/>
          <w:szCs w:val="26"/>
          <w:lang w:eastAsia="en-US"/>
        </w:rPr>
        <w:t xml:space="preserve"> – </w:t>
      </w:r>
      <w:r w:rsidRPr="00960AC9">
        <w:rPr>
          <w:rFonts w:cs="FrankRuehl"/>
          <w:szCs w:val="26"/>
          <w:rtl/>
          <w:lang w:eastAsia="en-US"/>
        </w:rPr>
        <w:t>כספים</w:t>
      </w:r>
      <w:r w:rsidRPr="00960AC9">
        <w:rPr>
          <w:rFonts w:cs="FrankRuehl"/>
          <w:szCs w:val="26"/>
          <w:lang w:eastAsia="en-US"/>
        </w:rPr>
        <w:t xml:space="preserve"> – </w:t>
      </w:r>
      <w:r w:rsidRPr="00960AC9">
        <w:rPr>
          <w:rFonts w:cs="FrankRuehl"/>
          <w:szCs w:val="26"/>
          <w:rtl/>
          <w:lang w:eastAsia="en-US"/>
        </w:rPr>
        <w:t>שירותים פיננסיים</w:t>
      </w:r>
      <w:r w:rsidRPr="00960AC9">
        <w:rPr>
          <w:rFonts w:cs="FrankRuehl"/>
          <w:szCs w:val="26"/>
          <w:lang w:eastAsia="en-US"/>
        </w:rPr>
        <w:t xml:space="preserve"> – </w:t>
      </w:r>
      <w:r w:rsidRPr="00960AC9">
        <w:rPr>
          <w:rFonts w:cs="FrankRuehl"/>
          <w:szCs w:val="26"/>
          <w:rtl/>
          <w:lang w:eastAsia="en-US"/>
        </w:rPr>
        <w:t>קופות גמל</w:t>
      </w:r>
    </w:p>
    <w:p w14:paraId="37294E5B" w14:textId="77777777" w:rsidR="00960AC9" w:rsidRPr="00960AC9" w:rsidRDefault="00960AC9" w:rsidP="00960AC9">
      <w:pPr>
        <w:spacing w:line="320" w:lineRule="auto"/>
        <w:jc w:val="left"/>
        <w:rPr>
          <w:rFonts w:cs="Miriam"/>
          <w:szCs w:val="22"/>
          <w:lang w:eastAsia="en-US"/>
        </w:rPr>
      </w:pPr>
      <w:r w:rsidRPr="00960AC9">
        <w:rPr>
          <w:rFonts w:cs="Miriam"/>
          <w:szCs w:val="22"/>
          <w:rtl/>
          <w:lang w:eastAsia="en-US"/>
        </w:rPr>
        <w:t>משפט פרטי וכלכלה</w:t>
      </w:r>
      <w:r w:rsidRPr="00960AC9">
        <w:rPr>
          <w:rFonts w:cs="FrankRuehl"/>
          <w:szCs w:val="26"/>
          <w:lang w:eastAsia="en-US"/>
        </w:rPr>
        <w:t xml:space="preserve"> – </w:t>
      </w:r>
      <w:r w:rsidRPr="00960AC9">
        <w:rPr>
          <w:rFonts w:cs="FrankRuehl"/>
          <w:szCs w:val="26"/>
          <w:rtl/>
          <w:lang w:eastAsia="en-US"/>
        </w:rPr>
        <w:t>תאגידים וניירות ערך</w:t>
      </w:r>
      <w:r w:rsidRPr="00960AC9">
        <w:rPr>
          <w:rFonts w:cs="FrankRuehl"/>
          <w:szCs w:val="26"/>
          <w:lang w:eastAsia="en-US"/>
        </w:rPr>
        <w:t xml:space="preserve"> – </w:t>
      </w:r>
      <w:r w:rsidRPr="00960AC9">
        <w:rPr>
          <w:rFonts w:cs="FrankRuehl"/>
          <w:szCs w:val="26"/>
          <w:rtl/>
          <w:lang w:eastAsia="en-US"/>
        </w:rPr>
        <w:t>קופות גמל</w:t>
      </w:r>
    </w:p>
    <w:p w14:paraId="46AFC660" w14:textId="77777777"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AF4D59" w:rsidRPr="00AF4D59" w14:paraId="251B3D4E" w14:textId="77777777">
        <w:tblPrEx>
          <w:tblCellMar>
            <w:top w:w="0" w:type="dxa"/>
            <w:bottom w:w="0" w:type="dxa"/>
          </w:tblCellMar>
        </w:tblPrEx>
        <w:tc>
          <w:tcPr>
            <w:tcW w:w="1247" w:type="dxa"/>
          </w:tcPr>
          <w:p w14:paraId="605A2CCF" w14:textId="77777777" w:rsidR="00AF4D59" w:rsidRPr="00AF4D59" w:rsidRDefault="00AF4D59" w:rsidP="00AF4D59">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14:paraId="7E75FC87" w14:textId="77777777" w:rsidR="00AF4D59" w:rsidRPr="00AF4D59" w:rsidRDefault="00AF4D59" w:rsidP="00AF4D59">
            <w:pPr>
              <w:spacing w:line="240" w:lineRule="auto"/>
              <w:jc w:val="left"/>
              <w:rPr>
                <w:rFonts w:cs="Frankruhel" w:hint="cs"/>
                <w:sz w:val="24"/>
                <w:rtl/>
                <w:lang w:eastAsia="en-US"/>
              </w:rPr>
            </w:pPr>
            <w:r>
              <w:rPr>
                <w:rFonts w:cs="Times New Roman"/>
                <w:sz w:val="24"/>
                <w:rtl/>
                <w:lang w:eastAsia="en-US"/>
              </w:rPr>
              <w:t>הגדרות</w:t>
            </w:r>
          </w:p>
        </w:tc>
        <w:tc>
          <w:tcPr>
            <w:tcW w:w="567" w:type="dxa"/>
          </w:tcPr>
          <w:p w14:paraId="0F65C680" w14:textId="77777777" w:rsidR="00AF4D59" w:rsidRPr="00AF4D59" w:rsidRDefault="00AF4D59" w:rsidP="00AF4D59">
            <w:pPr>
              <w:spacing w:line="240" w:lineRule="auto"/>
              <w:jc w:val="left"/>
              <w:rPr>
                <w:rStyle w:val="Hyperlink"/>
                <w:rFonts w:hint="cs"/>
                <w:rtl/>
              </w:rPr>
            </w:pPr>
            <w:hyperlink w:anchor="Seif1" w:tooltip="הגדרות" w:history="1">
              <w:r w:rsidRPr="00AF4D59">
                <w:rPr>
                  <w:rStyle w:val="Hyperlink"/>
                </w:rPr>
                <w:t>Go</w:t>
              </w:r>
            </w:hyperlink>
          </w:p>
        </w:tc>
        <w:tc>
          <w:tcPr>
            <w:tcW w:w="850" w:type="dxa"/>
          </w:tcPr>
          <w:p w14:paraId="4E7CCEED" w14:textId="77777777" w:rsidR="00AF4D59" w:rsidRPr="00AF4D59" w:rsidRDefault="00AF4D59" w:rsidP="00AF4D5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F4D59" w:rsidRPr="00AF4D59" w14:paraId="48BDF57F" w14:textId="77777777">
        <w:tblPrEx>
          <w:tblCellMar>
            <w:top w:w="0" w:type="dxa"/>
            <w:bottom w:w="0" w:type="dxa"/>
          </w:tblCellMar>
        </w:tblPrEx>
        <w:tc>
          <w:tcPr>
            <w:tcW w:w="1247" w:type="dxa"/>
          </w:tcPr>
          <w:p w14:paraId="210B9FB2" w14:textId="77777777" w:rsidR="00AF4D59" w:rsidRPr="00AF4D59" w:rsidRDefault="00AF4D59" w:rsidP="00AF4D59">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14:paraId="55FA38A5" w14:textId="77777777" w:rsidR="00AF4D59" w:rsidRPr="00AF4D59" w:rsidRDefault="00AF4D59" w:rsidP="00AF4D59">
            <w:pPr>
              <w:spacing w:line="240" w:lineRule="auto"/>
              <w:jc w:val="left"/>
              <w:rPr>
                <w:rFonts w:cs="Frankruhel" w:hint="cs"/>
                <w:sz w:val="24"/>
                <w:rtl/>
                <w:lang w:eastAsia="en-US"/>
              </w:rPr>
            </w:pPr>
            <w:r>
              <w:rPr>
                <w:rFonts w:cs="Times New Roman"/>
                <w:sz w:val="24"/>
                <w:rtl/>
                <w:lang w:eastAsia="en-US"/>
              </w:rPr>
              <w:t>משיכה חלקית מקרן השתלמות</w:t>
            </w:r>
          </w:p>
        </w:tc>
        <w:tc>
          <w:tcPr>
            <w:tcW w:w="567" w:type="dxa"/>
          </w:tcPr>
          <w:p w14:paraId="7B5BE8A1" w14:textId="77777777" w:rsidR="00AF4D59" w:rsidRPr="00AF4D59" w:rsidRDefault="00AF4D59" w:rsidP="00AF4D59">
            <w:pPr>
              <w:spacing w:line="240" w:lineRule="auto"/>
              <w:jc w:val="left"/>
              <w:rPr>
                <w:rStyle w:val="Hyperlink"/>
                <w:rFonts w:hint="cs"/>
                <w:rtl/>
              </w:rPr>
            </w:pPr>
            <w:hyperlink w:anchor="Seif2" w:tooltip="משיכה חלקית מקרן השתלמות" w:history="1">
              <w:r w:rsidRPr="00AF4D59">
                <w:rPr>
                  <w:rStyle w:val="Hyperlink"/>
                </w:rPr>
                <w:t>Go</w:t>
              </w:r>
            </w:hyperlink>
          </w:p>
        </w:tc>
        <w:tc>
          <w:tcPr>
            <w:tcW w:w="850" w:type="dxa"/>
          </w:tcPr>
          <w:p w14:paraId="0FF86EC3" w14:textId="77777777" w:rsidR="00AF4D59" w:rsidRPr="00AF4D59" w:rsidRDefault="00AF4D59" w:rsidP="00AF4D5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AF4D59" w:rsidRPr="00AF4D59" w14:paraId="71AADE0A" w14:textId="77777777">
        <w:tblPrEx>
          <w:tblCellMar>
            <w:top w:w="0" w:type="dxa"/>
            <w:bottom w:w="0" w:type="dxa"/>
          </w:tblCellMar>
        </w:tblPrEx>
        <w:tc>
          <w:tcPr>
            <w:tcW w:w="1247" w:type="dxa"/>
          </w:tcPr>
          <w:p w14:paraId="3A7FEDFE" w14:textId="77777777" w:rsidR="00AF4D59" w:rsidRPr="00AF4D59" w:rsidRDefault="00AF4D59" w:rsidP="00AF4D59">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14:paraId="58D9EF7B" w14:textId="77777777" w:rsidR="00AF4D59" w:rsidRPr="00AF4D59" w:rsidRDefault="00AF4D59" w:rsidP="00AF4D59">
            <w:pPr>
              <w:spacing w:line="240" w:lineRule="auto"/>
              <w:jc w:val="left"/>
              <w:rPr>
                <w:rFonts w:cs="Frankruhel" w:hint="cs"/>
                <w:sz w:val="24"/>
                <w:rtl/>
                <w:lang w:eastAsia="en-US"/>
              </w:rPr>
            </w:pPr>
            <w:r>
              <w:rPr>
                <w:rFonts w:cs="Times New Roman"/>
                <w:sz w:val="24"/>
                <w:rtl/>
                <w:lang w:eastAsia="en-US"/>
              </w:rPr>
              <w:t>תחילה</w:t>
            </w:r>
          </w:p>
        </w:tc>
        <w:tc>
          <w:tcPr>
            <w:tcW w:w="567" w:type="dxa"/>
          </w:tcPr>
          <w:p w14:paraId="3BC52317" w14:textId="77777777" w:rsidR="00AF4D59" w:rsidRPr="00AF4D59" w:rsidRDefault="00AF4D59" w:rsidP="00AF4D59">
            <w:pPr>
              <w:spacing w:line="240" w:lineRule="auto"/>
              <w:jc w:val="left"/>
              <w:rPr>
                <w:rStyle w:val="Hyperlink"/>
                <w:rFonts w:hint="cs"/>
                <w:rtl/>
              </w:rPr>
            </w:pPr>
            <w:hyperlink w:anchor="Seif3" w:tooltip="תחילה" w:history="1">
              <w:r w:rsidRPr="00AF4D59">
                <w:rPr>
                  <w:rStyle w:val="Hyperlink"/>
                </w:rPr>
                <w:t>Go</w:t>
              </w:r>
            </w:hyperlink>
          </w:p>
        </w:tc>
        <w:tc>
          <w:tcPr>
            <w:tcW w:w="850" w:type="dxa"/>
          </w:tcPr>
          <w:p w14:paraId="14E0084B" w14:textId="77777777" w:rsidR="00AF4D59" w:rsidRPr="00AF4D59" w:rsidRDefault="00AF4D59" w:rsidP="00AF4D59">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bl>
    <w:p w14:paraId="431519B2" w14:textId="77777777" w:rsidR="00567FB0" w:rsidRDefault="00567FB0">
      <w:pPr>
        <w:pStyle w:val="P00"/>
        <w:spacing w:before="72"/>
        <w:ind w:left="0" w:right="1134"/>
        <w:rPr>
          <w:rFonts w:hint="cs"/>
          <w:rtl/>
          <w:lang w:eastAsia="en-US"/>
        </w:rPr>
      </w:pPr>
    </w:p>
    <w:p w14:paraId="1B87A971" w14:textId="77777777" w:rsidR="00567FB0" w:rsidRDefault="00567FB0" w:rsidP="00960AC9">
      <w:pPr>
        <w:pStyle w:val="big-header"/>
        <w:ind w:left="0" w:right="1134"/>
        <w:rPr>
          <w:rStyle w:val="default"/>
          <w:rFonts w:hint="cs"/>
          <w:sz w:val="22"/>
          <w:szCs w:val="22"/>
          <w:rtl/>
          <w:lang w:eastAsia="en-US"/>
        </w:rPr>
      </w:pPr>
      <w:r>
        <w:rPr>
          <w:rtl/>
          <w:lang w:eastAsia="en-US"/>
        </w:rPr>
        <w:br w:type="page"/>
      </w:r>
      <w:r w:rsidR="00960AC9">
        <w:rPr>
          <w:rFonts w:hint="cs"/>
          <w:rtl/>
          <w:lang w:eastAsia="en-US"/>
        </w:rPr>
        <w:lastRenderedPageBreak/>
        <w:t>תקנות הפיקוח על שירותים פיננסיים (קופות גמל) (משיכת כספים חלקית מקרן השתלמות), תשע"א-2011</w:t>
      </w:r>
      <w:r>
        <w:rPr>
          <w:rStyle w:val="default"/>
          <w:sz w:val="22"/>
          <w:szCs w:val="22"/>
          <w:rtl/>
          <w:lang w:eastAsia="en-US"/>
        </w:rPr>
        <w:footnoteReference w:customMarkFollows="1" w:id="1"/>
        <w:t>*</w:t>
      </w:r>
    </w:p>
    <w:p w14:paraId="3E7C1D7B" w14:textId="77777777" w:rsidR="00567FB0" w:rsidRDefault="00567FB0" w:rsidP="00960AC9">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8C30A6">
        <w:rPr>
          <w:rStyle w:val="default"/>
          <w:rFonts w:cs="FrankRuehl" w:hint="cs"/>
          <w:rtl/>
          <w:lang w:eastAsia="en-US"/>
        </w:rPr>
        <w:t>סמכות</w:t>
      </w:r>
      <w:r w:rsidR="00960AC9">
        <w:rPr>
          <w:rStyle w:val="default"/>
          <w:rFonts w:cs="FrankRuehl" w:hint="cs"/>
          <w:rtl/>
          <w:lang w:eastAsia="en-US"/>
        </w:rPr>
        <w:t>י</w:t>
      </w:r>
      <w:r w:rsidR="008C30A6">
        <w:rPr>
          <w:rStyle w:val="default"/>
          <w:rFonts w:cs="FrankRuehl" w:hint="cs"/>
          <w:rtl/>
          <w:lang w:eastAsia="en-US"/>
        </w:rPr>
        <w:t xml:space="preserve"> לפי </w:t>
      </w:r>
      <w:r w:rsidR="00960AC9">
        <w:rPr>
          <w:rStyle w:val="default"/>
          <w:rFonts w:cs="FrankRuehl" w:hint="cs"/>
          <w:rtl/>
          <w:lang w:eastAsia="en-US"/>
        </w:rPr>
        <w:t xml:space="preserve">סעיפים 23 ו-60 לחוק הפיקוח על שירותים פיננסיים (קופות גמל), התשס"ה-2005 (להלן </w:t>
      </w:r>
      <w:r w:rsidR="00960AC9">
        <w:rPr>
          <w:rStyle w:val="default"/>
          <w:rFonts w:cs="FrankRuehl"/>
          <w:rtl/>
          <w:lang w:eastAsia="en-US"/>
        </w:rPr>
        <w:t>–</w:t>
      </w:r>
      <w:r w:rsidR="00960AC9">
        <w:rPr>
          <w:rStyle w:val="default"/>
          <w:rFonts w:cs="FrankRuehl" w:hint="cs"/>
          <w:rtl/>
          <w:lang w:eastAsia="en-US"/>
        </w:rPr>
        <w:t xml:space="preserve"> חוק הפיקוח על קופות גמל), ובאישור ועדת הכספים של הכנסת, אני מתקין תקנות אלה</w:t>
      </w:r>
      <w:r>
        <w:rPr>
          <w:rStyle w:val="default"/>
          <w:rFonts w:cs="FrankRuehl"/>
          <w:rtl/>
          <w:lang w:eastAsia="en-US"/>
        </w:rPr>
        <w:t>:</w:t>
      </w:r>
    </w:p>
    <w:p w14:paraId="3A83D1D3" w14:textId="77777777" w:rsidR="00567FB0" w:rsidRDefault="00567FB0" w:rsidP="00960AC9">
      <w:pPr>
        <w:pStyle w:val="P00"/>
        <w:spacing w:before="72"/>
        <w:ind w:left="0" w:right="1134"/>
        <w:rPr>
          <w:rStyle w:val="default"/>
          <w:rFonts w:cs="FrankRuehl" w:hint="cs"/>
          <w:rtl/>
          <w:lang w:eastAsia="en-US"/>
        </w:rPr>
      </w:pPr>
      <w:bookmarkStart w:id="0" w:name="Seif1"/>
      <w:bookmarkEnd w:id="0"/>
      <w:r>
        <w:rPr>
          <w:lang w:val="he-IL"/>
        </w:rPr>
        <w:pict w14:anchorId="20CFADC3">
          <v:rect id="_x0000_s1026" style="position:absolute;left:0;text-align:left;margin-left:464.5pt;margin-top:8.05pt;width:75.05pt;height:11.6pt;z-index:251656704" o:allowincell="f" filled="f" stroked="f" strokecolor="lime" strokeweight=".25pt">
            <v:textbox style="mso-next-textbox:#_x0000_s1026" inset="0,0,0,0">
              <w:txbxContent>
                <w:p w14:paraId="4E3249AF" w14:textId="77777777" w:rsidR="00567FB0" w:rsidRDefault="00960AC9">
                  <w:pPr>
                    <w:spacing w:line="160" w:lineRule="exact"/>
                    <w:jc w:val="left"/>
                    <w:rPr>
                      <w:rFonts w:cs="Miriam" w:hint="cs"/>
                      <w:noProof/>
                      <w:szCs w:val="18"/>
                      <w:rtl/>
                      <w:lang w:eastAsia="en-US"/>
                    </w:rPr>
                  </w:pPr>
                  <w:r>
                    <w:rPr>
                      <w:rFonts w:cs="Miriam" w:hint="cs"/>
                      <w:szCs w:val="18"/>
                      <w:rtl/>
                      <w:lang w:eastAsia="en-US"/>
                    </w:rPr>
                    <w:t>הגדרות</w:t>
                  </w:r>
                </w:p>
              </w:txbxContent>
            </v:textbox>
            <w10:anchorlock/>
          </v:rect>
        </w:pict>
      </w:r>
      <w:r>
        <w:rPr>
          <w:rStyle w:val="big-number"/>
          <w:rtl/>
          <w:lang w:eastAsia="en-US"/>
        </w:rPr>
        <w:t>1</w:t>
      </w:r>
      <w:r>
        <w:rPr>
          <w:rStyle w:val="default"/>
          <w:rFonts w:cs="FrankRuehl"/>
          <w:rtl/>
        </w:rPr>
        <w:t>.</w:t>
      </w:r>
      <w:r>
        <w:rPr>
          <w:rStyle w:val="default"/>
          <w:rFonts w:cs="FrankRuehl"/>
          <w:rtl/>
        </w:rPr>
        <w:tab/>
      </w:r>
      <w:r w:rsidR="00960AC9">
        <w:rPr>
          <w:rStyle w:val="default"/>
          <w:rFonts w:cs="FrankRuehl" w:hint="cs"/>
          <w:rtl/>
          <w:lang w:eastAsia="en-US"/>
        </w:rPr>
        <w:t xml:space="preserve">בתקנות אלה </w:t>
      </w:r>
      <w:r w:rsidR="00960AC9">
        <w:rPr>
          <w:rStyle w:val="default"/>
          <w:rFonts w:cs="FrankRuehl"/>
          <w:rtl/>
          <w:lang w:eastAsia="en-US"/>
        </w:rPr>
        <w:t>–</w:t>
      </w:r>
    </w:p>
    <w:p w14:paraId="6E1552D5" w14:textId="77777777" w:rsidR="00960AC9" w:rsidRDefault="00960AC9" w:rsidP="00960AC9">
      <w:pPr>
        <w:pStyle w:val="P00"/>
        <w:spacing w:before="72"/>
        <w:ind w:left="0" w:right="1134"/>
        <w:rPr>
          <w:rStyle w:val="default"/>
          <w:rFonts w:cs="FrankRuehl" w:hint="cs"/>
          <w:rtl/>
          <w:lang w:eastAsia="en-US"/>
        </w:rPr>
      </w:pPr>
      <w:r>
        <w:rPr>
          <w:rStyle w:val="default"/>
          <w:rFonts w:cs="FrankRuehl" w:hint="cs"/>
          <w:rtl/>
          <w:lang w:eastAsia="en-US"/>
        </w:rPr>
        <w:tab/>
        <w:t xml:space="preserve">"המועד הקובע" </w:t>
      </w:r>
      <w:r>
        <w:rPr>
          <w:rStyle w:val="default"/>
          <w:rFonts w:cs="FrankRuehl"/>
          <w:rtl/>
          <w:lang w:eastAsia="en-US"/>
        </w:rPr>
        <w:t>–</w:t>
      </w:r>
      <w:r>
        <w:rPr>
          <w:rStyle w:val="default"/>
          <w:rFonts w:cs="FrankRuehl" w:hint="cs"/>
          <w:rtl/>
          <w:lang w:eastAsia="en-US"/>
        </w:rPr>
        <w:t xml:space="preserve"> כ"ו בטבת התשס"ג (31 בדצמבר 2002), ובקרן השתלמות לעצמאים </w:t>
      </w:r>
      <w:r>
        <w:rPr>
          <w:rStyle w:val="default"/>
          <w:rFonts w:cs="FrankRuehl"/>
          <w:rtl/>
          <w:lang w:eastAsia="en-US"/>
        </w:rPr>
        <w:t>–</w:t>
      </w:r>
      <w:r>
        <w:rPr>
          <w:rStyle w:val="default"/>
          <w:rFonts w:cs="FrankRuehl" w:hint="cs"/>
          <w:rtl/>
          <w:lang w:eastAsia="en-US"/>
        </w:rPr>
        <w:t xml:space="preserve"> כ"ה בכסלו התשס"ג (30 בנובמבר 2002);</w:t>
      </w:r>
    </w:p>
    <w:p w14:paraId="4317A4A6" w14:textId="77777777" w:rsidR="00960AC9" w:rsidRDefault="00960AC9" w:rsidP="00960AC9">
      <w:pPr>
        <w:pStyle w:val="P00"/>
        <w:spacing w:before="72"/>
        <w:ind w:left="0" w:right="1134"/>
        <w:rPr>
          <w:rStyle w:val="default"/>
          <w:rFonts w:cs="FrankRuehl" w:hint="cs"/>
          <w:rtl/>
          <w:lang w:eastAsia="en-US"/>
        </w:rPr>
      </w:pPr>
      <w:r>
        <w:rPr>
          <w:rStyle w:val="default"/>
          <w:rFonts w:cs="FrankRuehl" w:hint="cs"/>
          <w:rtl/>
          <w:lang w:eastAsia="en-US"/>
        </w:rPr>
        <w:tab/>
        <w:t xml:space="preserve">"הפקודה" </w:t>
      </w:r>
      <w:r>
        <w:rPr>
          <w:rStyle w:val="default"/>
          <w:rFonts w:cs="FrankRuehl"/>
          <w:rtl/>
          <w:lang w:eastAsia="en-US"/>
        </w:rPr>
        <w:t>–</w:t>
      </w:r>
      <w:r>
        <w:rPr>
          <w:rStyle w:val="default"/>
          <w:rFonts w:cs="FrankRuehl" w:hint="cs"/>
          <w:rtl/>
          <w:lang w:eastAsia="en-US"/>
        </w:rPr>
        <w:t xml:space="preserve"> פקודת מס הכנסה;</w:t>
      </w:r>
    </w:p>
    <w:p w14:paraId="7D14441A" w14:textId="77777777" w:rsidR="00960AC9" w:rsidRDefault="00960AC9" w:rsidP="00960AC9">
      <w:pPr>
        <w:pStyle w:val="P00"/>
        <w:spacing w:before="72"/>
        <w:ind w:left="0" w:right="1134"/>
        <w:rPr>
          <w:rStyle w:val="default"/>
          <w:rFonts w:cs="FrankRuehl" w:hint="cs"/>
          <w:rtl/>
          <w:lang w:eastAsia="en-US"/>
        </w:rPr>
      </w:pPr>
      <w:r>
        <w:rPr>
          <w:rStyle w:val="default"/>
          <w:rFonts w:cs="FrankRuehl" w:hint="cs"/>
          <w:rtl/>
          <w:lang w:eastAsia="en-US"/>
        </w:rPr>
        <w:tab/>
        <w:t xml:space="preserve">"מרכיבי חשבון קרן השתלמות" </w:t>
      </w:r>
      <w:r>
        <w:rPr>
          <w:rStyle w:val="default"/>
          <w:rFonts w:cs="FrankRuehl"/>
          <w:rtl/>
          <w:lang w:eastAsia="en-US"/>
        </w:rPr>
        <w:t>–</w:t>
      </w:r>
      <w:r>
        <w:rPr>
          <w:rStyle w:val="default"/>
          <w:rFonts w:cs="FrankRuehl" w:hint="cs"/>
          <w:rtl/>
          <w:lang w:eastAsia="en-US"/>
        </w:rPr>
        <w:t xml:space="preserve"> מרכיב תשלומי המעביד ומרכיב תשלומי העובד;</w:t>
      </w:r>
    </w:p>
    <w:p w14:paraId="0D858472" w14:textId="77777777" w:rsidR="00960AC9" w:rsidRDefault="00960AC9" w:rsidP="00960AC9">
      <w:pPr>
        <w:pStyle w:val="P00"/>
        <w:spacing w:before="72"/>
        <w:ind w:left="0" w:right="1134"/>
        <w:rPr>
          <w:rStyle w:val="default"/>
          <w:rFonts w:cs="FrankRuehl" w:hint="cs"/>
          <w:rtl/>
          <w:lang w:eastAsia="en-US"/>
        </w:rPr>
      </w:pPr>
      <w:r>
        <w:rPr>
          <w:rStyle w:val="default"/>
          <w:rFonts w:cs="FrankRuehl" w:hint="cs"/>
          <w:rtl/>
          <w:lang w:eastAsia="en-US"/>
        </w:rPr>
        <w:tab/>
        <w:t xml:space="preserve">"תשלומי ההפקדה המוטבת" </w:t>
      </w:r>
      <w:r>
        <w:rPr>
          <w:rStyle w:val="default"/>
          <w:rFonts w:cs="FrankRuehl"/>
          <w:rtl/>
          <w:lang w:eastAsia="en-US"/>
        </w:rPr>
        <w:t>–</w:t>
      </w:r>
      <w:r>
        <w:rPr>
          <w:rStyle w:val="default"/>
          <w:rFonts w:cs="FrankRuehl" w:hint="cs"/>
          <w:rtl/>
          <w:lang w:eastAsia="en-US"/>
        </w:rPr>
        <w:t xml:space="preserve"> תשלומים ששולמו לקרן ההשתלמות מהמועד הקובע ואילך שהם: תשלומי ההפקדה המוטבת, כהגדרתה בסעיף 9(16א)(ג) או (16ב) לפקודה;</w:t>
      </w:r>
    </w:p>
    <w:p w14:paraId="5636CB93" w14:textId="77777777" w:rsidR="00960AC9" w:rsidRDefault="00960AC9" w:rsidP="00960AC9">
      <w:pPr>
        <w:pStyle w:val="P00"/>
        <w:spacing w:before="72"/>
        <w:ind w:left="0" w:right="1134"/>
        <w:rPr>
          <w:rStyle w:val="default"/>
          <w:rFonts w:cs="FrankRuehl" w:hint="cs"/>
          <w:rtl/>
          <w:lang w:eastAsia="en-US"/>
        </w:rPr>
      </w:pPr>
      <w:r>
        <w:rPr>
          <w:rStyle w:val="default"/>
          <w:rFonts w:cs="FrankRuehl" w:hint="cs"/>
          <w:rtl/>
          <w:lang w:eastAsia="en-US"/>
        </w:rPr>
        <w:tab/>
        <w:t xml:space="preserve">"תשלומים חייבים" </w:t>
      </w:r>
      <w:r>
        <w:rPr>
          <w:rStyle w:val="default"/>
          <w:rFonts w:cs="FrankRuehl"/>
          <w:rtl/>
          <w:lang w:eastAsia="en-US"/>
        </w:rPr>
        <w:t>–</w:t>
      </w:r>
      <w:r>
        <w:rPr>
          <w:rStyle w:val="default"/>
          <w:rFonts w:cs="FrankRuehl" w:hint="cs"/>
          <w:rtl/>
          <w:lang w:eastAsia="en-US"/>
        </w:rPr>
        <w:t xml:space="preserve"> תשלומים ששולמו לקרן ההשתלמות מהמועד הקובע ואילך שאינם תשלומי ההפקדה המוטבת.</w:t>
      </w:r>
    </w:p>
    <w:p w14:paraId="0F2CAF28" w14:textId="77777777" w:rsidR="00567FB0" w:rsidRDefault="00567FB0" w:rsidP="00960AC9">
      <w:pPr>
        <w:pStyle w:val="P00"/>
        <w:spacing w:before="72"/>
        <w:ind w:left="0" w:right="1134"/>
        <w:rPr>
          <w:rStyle w:val="default"/>
          <w:rFonts w:cs="FrankRuehl" w:hint="cs"/>
          <w:rtl/>
          <w:lang w:eastAsia="en-US"/>
        </w:rPr>
      </w:pPr>
      <w:bookmarkStart w:id="1" w:name="Seif2"/>
      <w:bookmarkEnd w:id="1"/>
      <w:r>
        <w:rPr>
          <w:rFonts w:cs="Miriam"/>
          <w:szCs w:val="32"/>
          <w:rtl/>
          <w:lang w:val="he-IL"/>
        </w:rPr>
        <w:pict w14:anchorId="5A49C3F7">
          <v:shapetype id="_x0000_t202" coordsize="21600,21600" o:spt="202" path="m,l,21600r21600,l21600,xe">
            <v:stroke joinstyle="miter"/>
            <v:path gradientshapeok="t" o:connecttype="rect"/>
          </v:shapetype>
          <v:shape id="_x0000_s1147" type="#_x0000_t202" style="position:absolute;left:0;text-align:left;margin-left:470.25pt;margin-top:7.1pt;width:1in;height:21.85pt;z-index:251657728" filled="f" stroked="f">
            <v:textbox inset="1mm,0,1mm,0">
              <w:txbxContent>
                <w:p w14:paraId="28EAA4A4" w14:textId="77777777" w:rsidR="00567FB0" w:rsidRDefault="00960AC9">
                  <w:pPr>
                    <w:spacing w:line="160" w:lineRule="exact"/>
                    <w:jc w:val="left"/>
                    <w:rPr>
                      <w:rFonts w:cs="Miriam" w:hint="cs"/>
                      <w:szCs w:val="18"/>
                      <w:rtl/>
                      <w:lang w:eastAsia="en-US"/>
                    </w:rPr>
                  </w:pPr>
                  <w:r>
                    <w:rPr>
                      <w:rFonts w:cs="Miriam" w:hint="cs"/>
                      <w:szCs w:val="18"/>
                      <w:rtl/>
                      <w:lang w:eastAsia="en-US"/>
                    </w:rPr>
                    <w:t>משיכה חלקית מקרן השתלמות</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960AC9">
        <w:rPr>
          <w:rStyle w:val="default"/>
          <w:rFonts w:cs="FrankRuehl" w:hint="cs"/>
          <w:rtl/>
          <w:lang w:eastAsia="en-US"/>
        </w:rPr>
        <w:t>(א)</w:t>
      </w:r>
      <w:r w:rsidR="00960AC9">
        <w:rPr>
          <w:rStyle w:val="default"/>
          <w:rFonts w:cs="FrankRuehl" w:hint="cs"/>
          <w:rtl/>
          <w:lang w:eastAsia="en-US"/>
        </w:rPr>
        <w:tab/>
        <w:t>עמית בקרן השתלמות המבקש למשוך חלק מן הכספים מחשבונו בקרן ההשתלמות, תשלם לו החברה המנהלת של קרן ההשתלמות את הכספים מכל אחד ממרכיבי חשבון קרן ההשתלמות, לפי סדר זה:</w:t>
      </w:r>
    </w:p>
    <w:p w14:paraId="40484276" w14:textId="77777777" w:rsidR="00960AC9" w:rsidRDefault="00960AC9" w:rsidP="0061318C">
      <w:pPr>
        <w:pStyle w:val="P00"/>
        <w:spacing w:before="72"/>
        <w:ind w:left="1021" w:right="1134"/>
        <w:rPr>
          <w:rStyle w:val="default"/>
          <w:rFonts w:cs="FrankRuehl" w:hint="cs"/>
          <w:rtl/>
          <w:lang w:eastAsia="en-US"/>
        </w:rPr>
      </w:pPr>
      <w:r>
        <w:rPr>
          <w:rStyle w:val="default"/>
          <w:rFonts w:cs="FrankRuehl" w:hint="cs"/>
          <w:rtl/>
          <w:lang w:eastAsia="en-US"/>
        </w:rPr>
        <w:t>(1)</w:t>
      </w:r>
      <w:r>
        <w:rPr>
          <w:rStyle w:val="default"/>
          <w:rFonts w:cs="FrankRuehl" w:hint="cs"/>
          <w:rtl/>
          <w:lang w:eastAsia="en-US"/>
        </w:rPr>
        <w:tab/>
        <w:t>מחלק מרכיב חשבון קרן ההשתלמות של התשלומים החייבים;</w:t>
      </w:r>
    </w:p>
    <w:p w14:paraId="2F2A73CC" w14:textId="77777777" w:rsidR="00960AC9" w:rsidRDefault="00960AC9" w:rsidP="0061318C">
      <w:pPr>
        <w:pStyle w:val="P00"/>
        <w:spacing w:before="72"/>
        <w:ind w:left="1021" w:right="1134"/>
        <w:rPr>
          <w:rStyle w:val="default"/>
          <w:rFonts w:cs="FrankRuehl" w:hint="cs"/>
          <w:rtl/>
          <w:lang w:eastAsia="en-US"/>
        </w:rPr>
      </w:pPr>
      <w:r>
        <w:rPr>
          <w:rStyle w:val="default"/>
          <w:rFonts w:cs="FrankRuehl" w:hint="cs"/>
          <w:rtl/>
          <w:lang w:eastAsia="en-US"/>
        </w:rPr>
        <w:t>(2)</w:t>
      </w:r>
      <w:r>
        <w:rPr>
          <w:rStyle w:val="default"/>
          <w:rFonts w:cs="FrankRuehl" w:hint="cs"/>
          <w:rtl/>
          <w:lang w:eastAsia="en-US"/>
        </w:rPr>
        <w:tab/>
        <w:t>מחלק מרכיב חשבון קרן ההשתלמות</w:t>
      </w:r>
      <w:r w:rsidR="0061318C">
        <w:rPr>
          <w:rStyle w:val="default"/>
          <w:rFonts w:cs="FrankRuehl" w:hint="cs"/>
          <w:rtl/>
          <w:lang w:eastAsia="en-US"/>
        </w:rPr>
        <w:t xml:space="preserve"> של תשלומים עד המועד הקובע;</w:t>
      </w:r>
    </w:p>
    <w:p w14:paraId="0AA9252A" w14:textId="77777777" w:rsidR="0061318C" w:rsidRDefault="0061318C" w:rsidP="0061318C">
      <w:pPr>
        <w:pStyle w:val="P00"/>
        <w:spacing w:before="72"/>
        <w:ind w:left="1021" w:right="1134"/>
        <w:rPr>
          <w:rStyle w:val="default"/>
          <w:rFonts w:cs="FrankRuehl" w:hint="cs"/>
          <w:rtl/>
          <w:lang w:eastAsia="en-US"/>
        </w:rPr>
      </w:pPr>
      <w:r>
        <w:rPr>
          <w:rStyle w:val="default"/>
          <w:rFonts w:cs="FrankRuehl" w:hint="cs"/>
          <w:rtl/>
          <w:lang w:eastAsia="en-US"/>
        </w:rPr>
        <w:t>(3)</w:t>
      </w:r>
      <w:r>
        <w:rPr>
          <w:rStyle w:val="default"/>
          <w:rFonts w:cs="FrankRuehl" w:hint="cs"/>
          <w:rtl/>
          <w:lang w:eastAsia="en-US"/>
        </w:rPr>
        <w:tab/>
        <w:t>מחלק מרכיב חשבון קרן ההשתלמות של תשלומי ההפקדה המוטבת.</w:t>
      </w:r>
    </w:p>
    <w:p w14:paraId="16037DBF" w14:textId="77777777" w:rsidR="0061318C" w:rsidRDefault="0061318C" w:rsidP="00960AC9">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על אף האמור בתקנת משנה (א), ביקש העמית מן החברה המנהלת של קרן ההשתלמות למשוך את הכספים מחשבונו בקרן ההשתלמות באופן שונה מן הסדר שנקבע בתקנת משנה (א), תשלם לו החברה המנהלת את הכספים לפי בקשתו.</w:t>
      </w:r>
    </w:p>
    <w:p w14:paraId="1EFBD8CA" w14:textId="77777777" w:rsidR="00567FB0" w:rsidRDefault="00567FB0" w:rsidP="0061318C">
      <w:pPr>
        <w:pStyle w:val="P00"/>
        <w:spacing w:before="72"/>
        <w:ind w:left="0" w:right="1134"/>
        <w:rPr>
          <w:rStyle w:val="default"/>
          <w:rFonts w:cs="FrankRuehl" w:hint="cs"/>
          <w:rtl/>
          <w:lang w:eastAsia="en-US"/>
        </w:rPr>
      </w:pPr>
      <w:bookmarkStart w:id="2" w:name="Seif3"/>
      <w:bookmarkEnd w:id="2"/>
      <w:r>
        <w:rPr>
          <w:lang w:val="he-IL"/>
        </w:rPr>
        <w:pict w14:anchorId="5AEFC86D">
          <v:rect id="_x0000_s1254" style="position:absolute;left:0;text-align:left;margin-left:464.5pt;margin-top:8.05pt;width:75.05pt;height:16.35pt;z-index:251658752" o:allowincell="f" filled="f" stroked="f" strokecolor="lime" strokeweight=".25pt">
            <v:textbox style="mso-next-textbox:#_x0000_s1254" inset="0,0,0,0">
              <w:txbxContent>
                <w:p w14:paraId="1100F4B0" w14:textId="77777777" w:rsidR="00567FB0" w:rsidRDefault="0061318C" w:rsidP="0061318C">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61318C">
        <w:rPr>
          <w:rStyle w:val="default"/>
          <w:rFonts w:cs="FrankRuehl" w:hint="cs"/>
          <w:rtl/>
          <w:lang w:eastAsia="en-US"/>
        </w:rPr>
        <w:t>תחילתן של תקנות אלה 90 ימים מיום פרסומן</w:t>
      </w:r>
      <w:r w:rsidR="008C30A6">
        <w:rPr>
          <w:rStyle w:val="default"/>
          <w:rFonts w:cs="FrankRuehl" w:hint="cs"/>
          <w:rtl/>
          <w:lang w:eastAsia="en-US"/>
        </w:rPr>
        <w:t>.</w:t>
      </w:r>
    </w:p>
    <w:p w14:paraId="3EB86D0A" w14:textId="77777777" w:rsidR="00556F5C" w:rsidRDefault="00556F5C">
      <w:pPr>
        <w:pStyle w:val="P00"/>
        <w:spacing w:before="72"/>
        <w:ind w:left="0" w:right="1134"/>
        <w:rPr>
          <w:rFonts w:hint="cs"/>
          <w:rtl/>
          <w:lang w:eastAsia="en-US"/>
        </w:rPr>
      </w:pPr>
    </w:p>
    <w:p w14:paraId="443BE030" w14:textId="77777777" w:rsidR="00567FB0" w:rsidRDefault="00567FB0">
      <w:pPr>
        <w:pStyle w:val="P00"/>
        <w:spacing w:before="72"/>
        <w:ind w:left="0" w:right="1134"/>
        <w:rPr>
          <w:rFonts w:hint="cs"/>
          <w:rtl/>
          <w:lang w:eastAsia="en-US"/>
        </w:rPr>
      </w:pPr>
    </w:p>
    <w:p w14:paraId="48147D2F" w14:textId="77777777" w:rsidR="00567FB0" w:rsidRDefault="0061318C" w:rsidP="0061318C">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כ"ג באדר א' התשע"א (27 בפברואר</w:t>
      </w:r>
      <w:r w:rsidR="005678B7">
        <w:rPr>
          <w:rFonts w:hint="cs"/>
          <w:rtl/>
          <w:lang w:eastAsia="en-US"/>
        </w:rPr>
        <w:t xml:space="preserve"> 2011</w:t>
      </w:r>
      <w:r w:rsidR="00567FB0">
        <w:rPr>
          <w:rFonts w:hint="cs"/>
          <w:rtl/>
          <w:lang w:eastAsia="en-US"/>
        </w:rPr>
        <w:t>)</w:t>
      </w:r>
      <w:r w:rsidR="00567FB0">
        <w:rPr>
          <w:rFonts w:hint="cs"/>
          <w:rtl/>
          <w:lang w:eastAsia="en-US"/>
        </w:rPr>
        <w:tab/>
      </w:r>
      <w:r>
        <w:rPr>
          <w:rFonts w:hint="cs"/>
          <w:rtl/>
          <w:lang w:eastAsia="en-US"/>
        </w:rPr>
        <w:t>יובל שטייניץ</w:t>
      </w:r>
    </w:p>
    <w:p w14:paraId="5513558E" w14:textId="77777777" w:rsidR="00567FB0" w:rsidRDefault="00567FB0" w:rsidP="0061318C">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61318C">
        <w:rPr>
          <w:rFonts w:hint="cs"/>
          <w:sz w:val="22"/>
          <w:szCs w:val="22"/>
          <w:rtl/>
          <w:lang w:eastAsia="en-US"/>
        </w:rPr>
        <w:t>שר האוצר</w:t>
      </w:r>
    </w:p>
    <w:p w14:paraId="61C60E7D" w14:textId="77777777" w:rsidR="00960AC9" w:rsidRDefault="00960AC9">
      <w:pPr>
        <w:pStyle w:val="P00"/>
        <w:spacing w:before="72"/>
        <w:ind w:left="0" w:right="1134"/>
        <w:rPr>
          <w:rStyle w:val="default"/>
          <w:rFonts w:cs="FrankRuehl" w:hint="cs"/>
          <w:rtl/>
          <w:lang w:eastAsia="en-US"/>
        </w:rPr>
      </w:pPr>
    </w:p>
    <w:p w14:paraId="0626AC74" w14:textId="77777777" w:rsidR="00567FB0" w:rsidRDefault="00567FB0">
      <w:pPr>
        <w:pStyle w:val="P00"/>
        <w:spacing w:before="72"/>
        <w:ind w:left="0" w:right="1134"/>
        <w:rPr>
          <w:rStyle w:val="default"/>
          <w:rFonts w:cs="FrankRuehl" w:hint="cs"/>
          <w:rtl/>
          <w:lang w:eastAsia="en-US"/>
        </w:rPr>
      </w:pPr>
    </w:p>
    <w:p w14:paraId="14B285DB" w14:textId="77777777" w:rsidR="00AF4D59" w:rsidRDefault="00AF4D59">
      <w:pPr>
        <w:pStyle w:val="P00"/>
        <w:spacing w:before="72"/>
        <w:ind w:left="0" w:right="1134"/>
        <w:rPr>
          <w:rStyle w:val="default"/>
          <w:rFonts w:cs="FrankRuehl"/>
          <w:rtl/>
          <w:lang w:eastAsia="en-US"/>
        </w:rPr>
      </w:pPr>
    </w:p>
    <w:p w14:paraId="1FC5E060" w14:textId="77777777" w:rsidR="00AF4D59" w:rsidRDefault="00AF4D59">
      <w:pPr>
        <w:pStyle w:val="P00"/>
        <w:spacing w:before="72"/>
        <w:ind w:left="0" w:right="1134"/>
        <w:rPr>
          <w:rStyle w:val="default"/>
          <w:rFonts w:cs="FrankRuehl"/>
          <w:rtl/>
          <w:lang w:eastAsia="en-US"/>
        </w:rPr>
      </w:pPr>
    </w:p>
    <w:p w14:paraId="053D9719" w14:textId="77777777" w:rsidR="00AF4D59" w:rsidRDefault="00AF4D59" w:rsidP="00AF4D59">
      <w:pPr>
        <w:pStyle w:val="P00"/>
        <w:spacing w:before="72"/>
        <w:ind w:left="0" w:right="1134"/>
        <w:jc w:val="center"/>
        <w:rPr>
          <w:rStyle w:val="default"/>
          <w:rFonts w:cs="David"/>
          <w:color w:val="0000FF"/>
          <w:szCs w:val="24"/>
          <w:u w:val="single"/>
          <w:rtl/>
          <w:lang w:eastAsia="en-US"/>
        </w:rPr>
      </w:pPr>
      <w:hyperlink r:id="rId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14:paraId="26DA53DB" w14:textId="77777777" w:rsidR="001F57C0" w:rsidRPr="00AF4D59" w:rsidRDefault="001F57C0" w:rsidP="00AF4D59">
      <w:pPr>
        <w:pStyle w:val="P00"/>
        <w:spacing w:before="72"/>
        <w:ind w:left="0" w:right="1134"/>
        <w:jc w:val="center"/>
        <w:rPr>
          <w:rStyle w:val="default"/>
          <w:rFonts w:cs="David"/>
          <w:color w:val="0000FF"/>
          <w:szCs w:val="24"/>
          <w:u w:val="single"/>
          <w:rtl/>
          <w:lang w:eastAsia="en-US"/>
        </w:rPr>
      </w:pPr>
    </w:p>
    <w:sectPr w:rsidR="001F57C0" w:rsidRPr="00AF4D59">
      <w:headerReference w:type="even" r:id="rId7"/>
      <w:headerReference w:type="default" r:id="rId8"/>
      <w:footerReference w:type="even" r:id="rId9"/>
      <w:footerReference w:type="default" r:id="rId1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FB7A52" w14:textId="77777777" w:rsidR="00E35934" w:rsidRDefault="00E35934">
      <w:r>
        <w:separator/>
      </w:r>
    </w:p>
  </w:endnote>
  <w:endnote w:type="continuationSeparator" w:id="0">
    <w:p w14:paraId="181FC61A" w14:textId="77777777" w:rsidR="00E35934" w:rsidRDefault="00E359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90BAB" w14:textId="77777777"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14:paraId="1EE15512" w14:textId="77777777"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458964FC" w14:textId="77777777"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AF4D59">
      <w:rPr>
        <w:rFonts w:cs="TopType Jerushalmi"/>
        <w:noProof/>
        <w:color w:val="000000"/>
        <w:sz w:val="14"/>
        <w:szCs w:val="14"/>
        <w:lang w:eastAsia="en-US"/>
      </w:rPr>
      <w:t>Z:\000-law\yael\2011\11-03-17\tav\500_460.doc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CB748" w14:textId="77777777"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B86A17">
      <w:rPr>
        <w:noProof/>
        <w:sz w:val="24"/>
        <w:szCs w:val="24"/>
        <w:rtl/>
        <w:lang w:eastAsia="en-US"/>
      </w:rPr>
      <w:t>2</w:t>
    </w:r>
    <w:r>
      <w:rPr>
        <w:rFonts w:hAnsi="FrankRuehl"/>
        <w:sz w:val="24"/>
        <w:szCs w:val="24"/>
        <w:rtl/>
      </w:rPr>
      <w:fldChar w:fldCharType="end"/>
    </w:r>
  </w:p>
  <w:p w14:paraId="50E00FC9" w14:textId="77777777"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14:paraId="3ECA6890" w14:textId="77777777"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AF4D59">
      <w:rPr>
        <w:rFonts w:cs="TopType Jerushalmi"/>
        <w:noProof/>
        <w:color w:val="000000"/>
        <w:sz w:val="14"/>
        <w:szCs w:val="14"/>
        <w:lang w:eastAsia="en-US"/>
      </w:rPr>
      <w:t>Z:\000-law\yael\2011\11-03-17\tav\500_460.doc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E8D471" w14:textId="77777777" w:rsidR="00E35934" w:rsidRDefault="00E35934">
      <w:pPr>
        <w:spacing w:before="60" w:line="240" w:lineRule="auto"/>
        <w:ind w:right="1134"/>
      </w:pPr>
      <w:r>
        <w:separator/>
      </w:r>
    </w:p>
  </w:footnote>
  <w:footnote w:type="continuationSeparator" w:id="0">
    <w:p w14:paraId="7842D82F" w14:textId="77777777" w:rsidR="00E35934" w:rsidRDefault="00E35934">
      <w:pPr>
        <w:spacing w:before="60" w:line="240" w:lineRule="auto"/>
        <w:ind w:right="1134"/>
      </w:pPr>
      <w:r>
        <w:separator/>
      </w:r>
    </w:p>
  </w:footnote>
  <w:footnote w:id="1">
    <w:p w14:paraId="599B6E0D" w14:textId="77777777" w:rsidR="00606378" w:rsidRDefault="00567FB0" w:rsidP="0060637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sidR="00960AC9">
        <w:rPr>
          <w:rFonts w:hint="cs"/>
          <w:sz w:val="20"/>
          <w:rtl/>
          <w:lang w:eastAsia="en-US"/>
        </w:rPr>
        <w:t xml:space="preserve"> פורסמו</w:t>
      </w:r>
      <w:r>
        <w:rPr>
          <w:rFonts w:hint="cs"/>
          <w:sz w:val="20"/>
          <w:rtl/>
          <w:lang w:eastAsia="en-US"/>
        </w:rPr>
        <w:t xml:space="preserve"> </w:t>
      </w:r>
      <w:hyperlink r:id="rId1" w:history="1">
        <w:r w:rsidRPr="00606378">
          <w:rPr>
            <w:rStyle w:val="Hyperlink"/>
            <w:rFonts w:hint="eastAsia"/>
            <w:rtl/>
            <w:lang w:eastAsia="en-US"/>
          </w:rPr>
          <w:t>ק</w:t>
        </w:r>
        <w:r w:rsidRPr="00606378">
          <w:rPr>
            <w:rStyle w:val="Hyperlink"/>
            <w:rtl/>
            <w:lang w:eastAsia="en-US"/>
          </w:rPr>
          <w:t xml:space="preserve">"ת </w:t>
        </w:r>
        <w:r w:rsidR="00DC32A8" w:rsidRPr="00606378">
          <w:rPr>
            <w:rStyle w:val="Hyperlink"/>
            <w:rFonts w:hint="cs"/>
            <w:rtl/>
            <w:lang w:eastAsia="en-US"/>
          </w:rPr>
          <w:t>תשע</w:t>
        </w:r>
        <w:r w:rsidR="005678B7" w:rsidRPr="00606378">
          <w:rPr>
            <w:rStyle w:val="Hyperlink"/>
            <w:rFonts w:hint="cs"/>
            <w:rtl/>
            <w:lang w:eastAsia="en-US"/>
          </w:rPr>
          <w:t>"א</w:t>
        </w:r>
        <w:r w:rsidRPr="00606378">
          <w:rPr>
            <w:rStyle w:val="Hyperlink"/>
            <w:rtl/>
            <w:lang w:eastAsia="en-US"/>
          </w:rPr>
          <w:t xml:space="preserve"> מס' </w:t>
        </w:r>
        <w:r w:rsidR="005678B7" w:rsidRPr="00606378">
          <w:rPr>
            <w:rStyle w:val="Hyperlink"/>
            <w:rFonts w:hint="cs"/>
            <w:rtl/>
            <w:lang w:eastAsia="en-US"/>
          </w:rPr>
          <w:t>698</w:t>
        </w:r>
        <w:r w:rsidR="00960AC9" w:rsidRPr="00606378">
          <w:rPr>
            <w:rStyle w:val="Hyperlink"/>
            <w:rFonts w:hint="cs"/>
            <w:rtl/>
            <w:lang w:eastAsia="en-US"/>
          </w:rPr>
          <w:t>4</w:t>
        </w:r>
      </w:hyperlink>
      <w:r w:rsidR="00CC30A4">
        <w:rPr>
          <w:rFonts w:hint="cs"/>
          <w:rtl/>
          <w:lang w:eastAsia="en-US"/>
        </w:rPr>
        <w:t xml:space="preserve"> מיום </w:t>
      </w:r>
      <w:r w:rsidR="00960AC9">
        <w:rPr>
          <w:rFonts w:hint="cs"/>
          <w:rtl/>
          <w:lang w:eastAsia="en-US"/>
        </w:rPr>
        <w:t>14</w:t>
      </w:r>
      <w:r w:rsidR="005678B7">
        <w:rPr>
          <w:rFonts w:hint="cs"/>
          <w:rtl/>
          <w:lang w:eastAsia="en-US"/>
        </w:rPr>
        <w:t>.3.2011</w:t>
      </w:r>
      <w:r w:rsidR="00CC30A4">
        <w:rPr>
          <w:rFonts w:hint="cs"/>
          <w:rtl/>
          <w:lang w:eastAsia="en-US"/>
        </w:rPr>
        <w:t xml:space="preserve"> עמ' </w:t>
      </w:r>
      <w:r w:rsidR="00960AC9">
        <w:rPr>
          <w:rFonts w:hint="cs"/>
          <w:rtl/>
          <w:lang w:eastAsia="en-US"/>
        </w:rPr>
        <w:t>748</w:t>
      </w:r>
      <w:r w:rsidR="00556F5C">
        <w:rPr>
          <w:rFonts w:hint="cs"/>
          <w:rtl/>
          <w:lang w:eastAsia="en-US"/>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F43A" w14:textId="77777777" w:rsidR="00567FB0" w:rsidRDefault="00567FB0">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14:paraId="1DAD1669"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4417C9C"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5BBD9" w14:textId="77777777" w:rsidR="00567FB0" w:rsidRDefault="00960AC9" w:rsidP="005678B7">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הפיקוח על שירותים פיננסיים (קופות גמל) (משיכת כספים חלקית מקרן השתלמות</w:t>
    </w:r>
    <w:r w:rsidR="00DC32A8">
      <w:rPr>
        <w:rFonts w:hint="cs"/>
        <w:color w:val="000000"/>
        <w:sz w:val="28"/>
        <w:szCs w:val="28"/>
        <w:rtl/>
        <w:lang w:eastAsia="en-US"/>
      </w:rPr>
      <w:t xml:space="preserve">), </w:t>
    </w:r>
    <w:r w:rsidR="005678B7">
      <w:rPr>
        <w:rFonts w:hint="cs"/>
        <w:color w:val="000000"/>
        <w:sz w:val="28"/>
        <w:szCs w:val="28"/>
        <w:rtl/>
        <w:lang w:eastAsia="en-US"/>
      </w:rPr>
      <w:t>תשע"א-2011</w:t>
    </w:r>
  </w:p>
  <w:p w14:paraId="3AC44042"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14:paraId="15E2084F" w14:textId="77777777"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F4CE7"/>
    <w:rsid w:val="001F57C0"/>
    <w:rsid w:val="00224F76"/>
    <w:rsid w:val="0023140C"/>
    <w:rsid w:val="002E5F69"/>
    <w:rsid w:val="003E4AF7"/>
    <w:rsid w:val="00403899"/>
    <w:rsid w:val="004853B3"/>
    <w:rsid w:val="005209AF"/>
    <w:rsid w:val="00556F5C"/>
    <w:rsid w:val="005678B7"/>
    <w:rsid w:val="00567FB0"/>
    <w:rsid w:val="00571EC3"/>
    <w:rsid w:val="005750C8"/>
    <w:rsid w:val="005A76F3"/>
    <w:rsid w:val="00606378"/>
    <w:rsid w:val="0061318C"/>
    <w:rsid w:val="00674DC3"/>
    <w:rsid w:val="006D0958"/>
    <w:rsid w:val="00700185"/>
    <w:rsid w:val="008B4216"/>
    <w:rsid w:val="008C30A6"/>
    <w:rsid w:val="008F0091"/>
    <w:rsid w:val="00960AC9"/>
    <w:rsid w:val="009C2338"/>
    <w:rsid w:val="00AF4D59"/>
    <w:rsid w:val="00B86A17"/>
    <w:rsid w:val="00CB18F1"/>
    <w:rsid w:val="00CC30A4"/>
    <w:rsid w:val="00CC79BA"/>
    <w:rsid w:val="00D97210"/>
    <w:rsid w:val="00DC32A8"/>
    <w:rsid w:val="00DF42A6"/>
    <w:rsid w:val="00E35934"/>
    <w:rsid w:val="00F11BFE"/>
    <w:rsid w:val="00F50FE4"/>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01BECD38"/>
  <w15:chartTrackingRefBased/>
  <w15:docId w15:val="{F981D787-84B1-4F67-98CA-5FD4A886D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8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2005</CharactersWithSpaces>
  <SharedDoc>false</SharedDoc>
  <HLinks>
    <vt:vector size="30" baseType="variant">
      <vt:variant>
        <vt:i4>393283</vt:i4>
      </vt:variant>
      <vt:variant>
        <vt:i4>18</vt:i4>
      </vt:variant>
      <vt:variant>
        <vt:i4>0</vt:i4>
      </vt:variant>
      <vt:variant>
        <vt:i4>5</vt:i4>
      </vt:variant>
      <vt:variant>
        <vt:lpwstr>http://www.nevo.co.il/advertisements/nevo-100.doc</vt:lpwstr>
      </vt:variant>
      <vt:variant>
        <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7798789</vt:i4>
      </vt:variant>
      <vt:variant>
        <vt:i4>0</vt:i4>
      </vt:variant>
      <vt:variant>
        <vt:i4>0</vt:i4>
      </vt:variant>
      <vt:variant>
        <vt:i4>5</vt:i4>
      </vt:variant>
      <vt:variant>
        <vt:lpwstr>http://www.nevo.co.il/Law_word/law06/TAK-6984.pdf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2023-06-05T20:30:00Z</dcterms:created>
  <dcterms:modified xsi:type="dcterms:W3CDTF">2023-06-05T20:30:00Z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פיקוח על שירותים פיננסיים</vt:lpwstr>
  </property>
  <property fmtid="{D5CDD505-2E9C-101B-9397-08002B2CF9AE}" pid="4" name="LAWNAME">
    <vt:lpwstr>תקנות הפיקוח על שירותים פיננסיים (קופות גמל) (משיכת כספים חלקית מקרן השתלמות), תשע"א-2011</vt:lpwstr>
  </property>
  <property fmtid="{D5CDD505-2E9C-101B-9397-08002B2CF9AE}" pid="5" name="LAWNUMBER">
    <vt:lpwstr>0460</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משפט פרטי וכלכלה</vt:lpwstr>
  </property>
  <property fmtid="{D5CDD505-2E9C-101B-9397-08002B2CF9AE}" pid="23" name="NOSE21">
    <vt:lpwstr>כספים</vt:lpwstr>
  </property>
  <property fmtid="{D5CDD505-2E9C-101B-9397-08002B2CF9AE}" pid="24" name="NOSE31">
    <vt:lpwstr>שירותים פיננסיים</vt:lpwstr>
  </property>
  <property fmtid="{D5CDD505-2E9C-101B-9397-08002B2CF9AE}" pid="25" name="NOSE41">
    <vt:lpwstr>קופות גמל</vt:lpwstr>
  </property>
  <property fmtid="{D5CDD505-2E9C-101B-9397-08002B2CF9AE}" pid="26" name="NOSE12">
    <vt:lpwstr>משפט פרטי וכלכלה</vt:lpwstr>
  </property>
  <property fmtid="{D5CDD505-2E9C-101B-9397-08002B2CF9AE}" pid="27" name="NOSE22">
    <vt:lpwstr>תאגידים וניירות ערך</vt:lpwstr>
  </property>
  <property fmtid="{D5CDD505-2E9C-101B-9397-08002B2CF9AE}" pid="28" name="NOSE32">
    <vt:lpwstr>קופות גמל</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LINKK1">
    <vt:lpwstr>http://www.nevo.co.il/Law_word/law06/TAK-6984.pdf;‎רשומות - תקנות כלליות#פורסמו ק"ת ‏תשע"א מס' 6984 #מיום 14.3.2011 עמ' 748‏</vt:lpwstr>
  </property>
  <property fmtid="{D5CDD505-2E9C-101B-9397-08002B2CF9AE}" pid="63" name="MEKOR_NAME1">
    <vt:lpwstr>חוק הפיקוח על שירותים פיננסיים (קופות גמל)</vt:lpwstr>
  </property>
  <property fmtid="{D5CDD505-2E9C-101B-9397-08002B2CF9AE}" pid="64" name="MEKOR_SAIF1">
    <vt:lpwstr>23X;60X</vt:lpwstr>
  </property>
</Properties>
</file>