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56E0" w14:textId="77777777" w:rsidR="002551E8" w:rsidRDefault="002551E8">
      <w:pPr>
        <w:pStyle w:val="big-header"/>
        <w:ind w:left="0" w:right="1134"/>
        <w:rPr>
          <w:rFonts w:cs="FrankRuehl" w:hint="cs"/>
          <w:sz w:val="32"/>
          <w:rtl/>
        </w:rPr>
      </w:pPr>
      <w:r>
        <w:rPr>
          <w:rFonts w:cs="FrankRuehl" w:hint="cs"/>
          <w:sz w:val="32"/>
          <w:rtl/>
        </w:rPr>
        <w:t xml:space="preserve">תקנות הפיקוח על שירותים פיננסיים (קופות גמל) (עמלות הפצה), </w:t>
      </w:r>
      <w:r>
        <w:rPr>
          <w:rFonts w:cs="FrankRuehl"/>
          <w:sz w:val="32"/>
          <w:rtl/>
        </w:rPr>
        <w:br/>
      </w:r>
      <w:r>
        <w:rPr>
          <w:rFonts w:cs="FrankRuehl" w:hint="cs"/>
          <w:sz w:val="32"/>
          <w:rtl/>
        </w:rPr>
        <w:t>תשס"ו-2006</w:t>
      </w:r>
    </w:p>
    <w:p w14:paraId="37B9803B" w14:textId="77777777" w:rsidR="00E515F1" w:rsidRPr="00E515F1" w:rsidRDefault="00E515F1" w:rsidP="00E515F1">
      <w:pPr>
        <w:spacing w:line="320" w:lineRule="auto"/>
        <w:rPr>
          <w:rFonts w:cs="FrankRuehl"/>
          <w:szCs w:val="26"/>
          <w:rtl/>
        </w:rPr>
      </w:pPr>
    </w:p>
    <w:p w14:paraId="62791B64" w14:textId="77777777" w:rsidR="00E515F1" w:rsidRDefault="00E515F1" w:rsidP="00E515F1">
      <w:pPr>
        <w:spacing w:line="320" w:lineRule="auto"/>
        <w:rPr>
          <w:rtl/>
        </w:rPr>
      </w:pPr>
    </w:p>
    <w:p w14:paraId="5B1CC1DD" w14:textId="77777777" w:rsidR="00E515F1" w:rsidRDefault="00E515F1" w:rsidP="00E515F1">
      <w:pPr>
        <w:spacing w:line="320" w:lineRule="auto"/>
        <w:rPr>
          <w:rFonts w:cs="FrankRuehl"/>
          <w:szCs w:val="26"/>
          <w:rtl/>
        </w:rPr>
      </w:pPr>
      <w:r w:rsidRPr="00E515F1">
        <w:rPr>
          <w:rFonts w:cs="Miriam"/>
          <w:szCs w:val="22"/>
          <w:rtl/>
        </w:rPr>
        <w:t>משפט פרטי וכלכלה</w:t>
      </w:r>
      <w:r w:rsidRPr="00E515F1">
        <w:rPr>
          <w:rFonts w:cs="FrankRuehl"/>
          <w:szCs w:val="26"/>
          <w:rtl/>
        </w:rPr>
        <w:t xml:space="preserve"> – כספים – שירותים פיננסיים – קופות גמל</w:t>
      </w:r>
    </w:p>
    <w:p w14:paraId="794622C2" w14:textId="77777777" w:rsidR="002551E8" w:rsidRPr="00E515F1" w:rsidRDefault="00E515F1" w:rsidP="00E515F1">
      <w:pPr>
        <w:spacing w:line="320" w:lineRule="auto"/>
        <w:rPr>
          <w:rFonts w:cs="Miriam"/>
          <w:szCs w:val="22"/>
          <w:rtl/>
        </w:rPr>
      </w:pPr>
      <w:r w:rsidRPr="00E515F1">
        <w:rPr>
          <w:rFonts w:cs="Miriam"/>
          <w:szCs w:val="22"/>
          <w:rtl/>
        </w:rPr>
        <w:t>משפט פרטי וכלכלה</w:t>
      </w:r>
      <w:r w:rsidRPr="00E515F1">
        <w:rPr>
          <w:rFonts w:cs="FrankRuehl"/>
          <w:szCs w:val="26"/>
          <w:rtl/>
        </w:rPr>
        <w:t xml:space="preserve"> – תאגידים וניירות ערך – קופות גמל</w:t>
      </w:r>
    </w:p>
    <w:p w14:paraId="12B066C3" w14:textId="77777777" w:rsidR="002551E8" w:rsidRDefault="002551E8">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551E8" w14:paraId="6F35B47B" w14:textId="77777777">
        <w:tblPrEx>
          <w:tblCellMar>
            <w:top w:w="0" w:type="dxa"/>
            <w:bottom w:w="0" w:type="dxa"/>
          </w:tblCellMar>
        </w:tblPrEx>
        <w:trPr>
          <w:jc w:val="right"/>
        </w:trPr>
        <w:tc>
          <w:tcPr>
            <w:tcW w:w="850" w:type="dxa"/>
          </w:tcPr>
          <w:p w14:paraId="14630B1A" w14:textId="77777777" w:rsidR="002551E8" w:rsidRDefault="002551E8">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36ADAA21" w14:textId="77777777" w:rsidR="002551E8" w:rsidRDefault="002551E8">
            <w:hyperlink w:anchor="Seif0" w:tooltip="הגדרות" w:history="1">
              <w:r>
                <w:rPr>
                  <w:rStyle w:val="Hyperlink"/>
                </w:rPr>
                <w:t>Go</w:t>
              </w:r>
            </w:hyperlink>
          </w:p>
        </w:tc>
        <w:tc>
          <w:tcPr>
            <w:tcW w:w="5669" w:type="dxa"/>
          </w:tcPr>
          <w:p w14:paraId="3F648AFB" w14:textId="77777777" w:rsidR="002551E8" w:rsidRDefault="002551E8">
            <w:pPr>
              <w:rPr>
                <w:rtl/>
              </w:rPr>
            </w:pPr>
            <w:r>
              <w:rPr>
                <w:rtl/>
              </w:rPr>
              <w:t>הגדרות</w:t>
            </w:r>
          </w:p>
        </w:tc>
        <w:tc>
          <w:tcPr>
            <w:tcW w:w="1247" w:type="dxa"/>
          </w:tcPr>
          <w:p w14:paraId="0F34949B" w14:textId="77777777" w:rsidR="002551E8" w:rsidRDefault="002551E8">
            <w:r>
              <w:rPr>
                <w:rtl/>
              </w:rPr>
              <w:t xml:space="preserve">סעיף 1 </w:t>
            </w:r>
          </w:p>
        </w:tc>
      </w:tr>
      <w:tr w:rsidR="002551E8" w14:paraId="437F9B04" w14:textId="77777777">
        <w:tblPrEx>
          <w:tblCellMar>
            <w:top w:w="0" w:type="dxa"/>
            <w:bottom w:w="0" w:type="dxa"/>
          </w:tblCellMar>
        </w:tblPrEx>
        <w:trPr>
          <w:jc w:val="right"/>
        </w:trPr>
        <w:tc>
          <w:tcPr>
            <w:tcW w:w="850" w:type="dxa"/>
          </w:tcPr>
          <w:p w14:paraId="7A59B908" w14:textId="77777777" w:rsidR="002551E8" w:rsidRDefault="002551E8">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5F1C6CE7" w14:textId="77777777" w:rsidR="002551E8" w:rsidRDefault="002551E8">
            <w:hyperlink w:anchor="Seif1" w:tooltip="הסכם הפצה" w:history="1">
              <w:r>
                <w:rPr>
                  <w:rStyle w:val="Hyperlink"/>
                </w:rPr>
                <w:t>Go</w:t>
              </w:r>
            </w:hyperlink>
          </w:p>
        </w:tc>
        <w:tc>
          <w:tcPr>
            <w:tcW w:w="5669" w:type="dxa"/>
          </w:tcPr>
          <w:p w14:paraId="608AC3A4" w14:textId="77777777" w:rsidR="002551E8" w:rsidRDefault="002551E8">
            <w:pPr>
              <w:rPr>
                <w:rtl/>
              </w:rPr>
            </w:pPr>
            <w:r>
              <w:rPr>
                <w:rtl/>
              </w:rPr>
              <w:t>הסכם הפצה</w:t>
            </w:r>
          </w:p>
        </w:tc>
        <w:tc>
          <w:tcPr>
            <w:tcW w:w="1247" w:type="dxa"/>
          </w:tcPr>
          <w:p w14:paraId="46804FBB" w14:textId="77777777" w:rsidR="002551E8" w:rsidRDefault="002551E8">
            <w:r>
              <w:rPr>
                <w:rtl/>
              </w:rPr>
              <w:t xml:space="preserve">סעיף 2 </w:t>
            </w:r>
          </w:p>
        </w:tc>
      </w:tr>
      <w:tr w:rsidR="002551E8" w14:paraId="2EC4FE18" w14:textId="77777777">
        <w:tblPrEx>
          <w:tblCellMar>
            <w:top w:w="0" w:type="dxa"/>
            <w:bottom w:w="0" w:type="dxa"/>
          </w:tblCellMar>
        </w:tblPrEx>
        <w:trPr>
          <w:jc w:val="right"/>
        </w:trPr>
        <w:tc>
          <w:tcPr>
            <w:tcW w:w="850" w:type="dxa"/>
          </w:tcPr>
          <w:p w14:paraId="116AB961" w14:textId="77777777" w:rsidR="002551E8" w:rsidRDefault="002551E8">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4656784F" w14:textId="77777777" w:rsidR="002551E8" w:rsidRDefault="002551E8">
            <w:hyperlink w:anchor="Seif2" w:tooltip="שיעור עמלת הפצה" w:history="1">
              <w:r>
                <w:rPr>
                  <w:rStyle w:val="Hyperlink"/>
                </w:rPr>
                <w:t>Go</w:t>
              </w:r>
            </w:hyperlink>
          </w:p>
        </w:tc>
        <w:tc>
          <w:tcPr>
            <w:tcW w:w="5669" w:type="dxa"/>
          </w:tcPr>
          <w:p w14:paraId="7E523FC5" w14:textId="77777777" w:rsidR="002551E8" w:rsidRDefault="002551E8">
            <w:pPr>
              <w:rPr>
                <w:rtl/>
              </w:rPr>
            </w:pPr>
            <w:r>
              <w:rPr>
                <w:rtl/>
              </w:rPr>
              <w:t>שיעור עמלת הפצה</w:t>
            </w:r>
          </w:p>
        </w:tc>
        <w:tc>
          <w:tcPr>
            <w:tcW w:w="1247" w:type="dxa"/>
          </w:tcPr>
          <w:p w14:paraId="346556F0" w14:textId="77777777" w:rsidR="002551E8" w:rsidRDefault="002551E8">
            <w:r>
              <w:rPr>
                <w:rtl/>
              </w:rPr>
              <w:t xml:space="preserve">סעיף 3 </w:t>
            </w:r>
          </w:p>
        </w:tc>
      </w:tr>
      <w:tr w:rsidR="002551E8" w14:paraId="744EF1A1" w14:textId="77777777">
        <w:tblPrEx>
          <w:tblCellMar>
            <w:top w:w="0" w:type="dxa"/>
            <w:bottom w:w="0" w:type="dxa"/>
          </w:tblCellMar>
        </w:tblPrEx>
        <w:trPr>
          <w:jc w:val="right"/>
        </w:trPr>
        <w:tc>
          <w:tcPr>
            <w:tcW w:w="850" w:type="dxa"/>
          </w:tcPr>
          <w:p w14:paraId="5654AE71" w14:textId="77777777" w:rsidR="002551E8" w:rsidRDefault="002551E8">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3</w:t>
            </w:r>
            <w:r>
              <w:rPr>
                <w:rtl/>
              </w:rPr>
              <w:fldChar w:fldCharType="end"/>
            </w:r>
          </w:p>
        </w:tc>
        <w:tc>
          <w:tcPr>
            <w:tcW w:w="567" w:type="dxa"/>
          </w:tcPr>
          <w:p w14:paraId="09B50915" w14:textId="77777777" w:rsidR="002551E8" w:rsidRDefault="002551E8">
            <w:hyperlink w:anchor="Seif3" w:tooltip="סייג לתשלום עמלת הפצה" w:history="1">
              <w:r>
                <w:rPr>
                  <w:rStyle w:val="Hyperlink"/>
                </w:rPr>
                <w:t>Go</w:t>
              </w:r>
            </w:hyperlink>
          </w:p>
        </w:tc>
        <w:tc>
          <w:tcPr>
            <w:tcW w:w="5669" w:type="dxa"/>
          </w:tcPr>
          <w:p w14:paraId="012A30EA" w14:textId="77777777" w:rsidR="002551E8" w:rsidRDefault="002551E8">
            <w:pPr>
              <w:rPr>
                <w:rtl/>
              </w:rPr>
            </w:pPr>
            <w:r>
              <w:rPr>
                <w:rtl/>
              </w:rPr>
              <w:t>סייג לתשלום עמלת הפצה</w:t>
            </w:r>
          </w:p>
        </w:tc>
        <w:tc>
          <w:tcPr>
            <w:tcW w:w="1247" w:type="dxa"/>
          </w:tcPr>
          <w:p w14:paraId="4AA34305" w14:textId="77777777" w:rsidR="002551E8" w:rsidRDefault="002551E8">
            <w:r>
              <w:rPr>
                <w:rtl/>
              </w:rPr>
              <w:t xml:space="preserve">סעיף 4 </w:t>
            </w:r>
          </w:p>
        </w:tc>
      </w:tr>
      <w:tr w:rsidR="002551E8" w14:paraId="60AE3DC6" w14:textId="77777777">
        <w:tblPrEx>
          <w:tblCellMar>
            <w:top w:w="0" w:type="dxa"/>
            <w:bottom w:w="0" w:type="dxa"/>
          </w:tblCellMar>
        </w:tblPrEx>
        <w:trPr>
          <w:jc w:val="right"/>
        </w:trPr>
        <w:tc>
          <w:tcPr>
            <w:tcW w:w="850" w:type="dxa"/>
          </w:tcPr>
          <w:p w14:paraId="1398987D" w14:textId="77777777" w:rsidR="002551E8" w:rsidRDefault="002551E8">
            <w:r>
              <w:rPr>
                <w:rtl/>
              </w:rPr>
              <w:fldChar w:fldCharType="begin"/>
            </w:r>
            <w:r>
              <w:rPr>
                <w:rtl/>
              </w:rPr>
              <w:instrText xml:space="preserve"> </w:instrText>
            </w:r>
            <w:r>
              <w:instrText>PAGEREF Seif4</w:instrText>
            </w:r>
            <w:r>
              <w:rPr>
                <w:rtl/>
              </w:rPr>
              <w:instrText xml:space="preserve"> </w:instrText>
            </w:r>
            <w:r>
              <w:rPr>
                <w:rtl/>
              </w:rPr>
              <w:fldChar w:fldCharType="separate"/>
            </w:r>
            <w:r>
              <w:rPr>
                <w:rtl/>
              </w:rPr>
              <w:t>3</w:t>
            </w:r>
            <w:r>
              <w:rPr>
                <w:rtl/>
              </w:rPr>
              <w:fldChar w:fldCharType="end"/>
            </w:r>
          </w:p>
        </w:tc>
        <w:tc>
          <w:tcPr>
            <w:tcW w:w="567" w:type="dxa"/>
          </w:tcPr>
          <w:p w14:paraId="601EB592" w14:textId="77777777" w:rsidR="002551E8" w:rsidRDefault="002551E8">
            <w:hyperlink w:anchor="Seif4" w:tooltip="תחילה ותחולה" w:history="1">
              <w:r>
                <w:rPr>
                  <w:rStyle w:val="Hyperlink"/>
                </w:rPr>
                <w:t>Go</w:t>
              </w:r>
            </w:hyperlink>
          </w:p>
        </w:tc>
        <w:tc>
          <w:tcPr>
            <w:tcW w:w="5669" w:type="dxa"/>
          </w:tcPr>
          <w:p w14:paraId="15288ACB" w14:textId="77777777" w:rsidR="002551E8" w:rsidRDefault="002551E8">
            <w:pPr>
              <w:rPr>
                <w:rtl/>
              </w:rPr>
            </w:pPr>
            <w:r>
              <w:rPr>
                <w:rtl/>
              </w:rPr>
              <w:t>תחילה ותחולה</w:t>
            </w:r>
          </w:p>
        </w:tc>
        <w:tc>
          <w:tcPr>
            <w:tcW w:w="1247" w:type="dxa"/>
          </w:tcPr>
          <w:p w14:paraId="4F613EAC" w14:textId="77777777" w:rsidR="002551E8" w:rsidRDefault="002551E8">
            <w:r>
              <w:rPr>
                <w:rtl/>
              </w:rPr>
              <w:t xml:space="preserve">סעיף 5 </w:t>
            </w:r>
          </w:p>
        </w:tc>
      </w:tr>
      <w:tr w:rsidR="002551E8" w14:paraId="672C318F" w14:textId="77777777">
        <w:tblPrEx>
          <w:tblCellMar>
            <w:top w:w="0" w:type="dxa"/>
            <w:bottom w:w="0" w:type="dxa"/>
          </w:tblCellMar>
        </w:tblPrEx>
        <w:trPr>
          <w:jc w:val="right"/>
        </w:trPr>
        <w:tc>
          <w:tcPr>
            <w:tcW w:w="850" w:type="dxa"/>
          </w:tcPr>
          <w:p w14:paraId="1784C759" w14:textId="77777777" w:rsidR="002551E8" w:rsidRDefault="002551E8">
            <w:r>
              <w:rPr>
                <w:rtl/>
              </w:rPr>
              <w:fldChar w:fldCharType="begin"/>
            </w:r>
            <w:r>
              <w:rPr>
                <w:rtl/>
              </w:rPr>
              <w:instrText xml:space="preserve"> </w:instrText>
            </w:r>
            <w:r>
              <w:instrText>PAGEREF Seif5</w:instrText>
            </w:r>
            <w:r>
              <w:rPr>
                <w:rtl/>
              </w:rPr>
              <w:instrText xml:space="preserve"> </w:instrText>
            </w:r>
            <w:r>
              <w:rPr>
                <w:rtl/>
              </w:rPr>
              <w:fldChar w:fldCharType="separate"/>
            </w:r>
            <w:r>
              <w:rPr>
                <w:rtl/>
              </w:rPr>
              <w:t>3</w:t>
            </w:r>
            <w:r>
              <w:rPr>
                <w:rtl/>
              </w:rPr>
              <w:fldChar w:fldCharType="end"/>
            </w:r>
          </w:p>
        </w:tc>
        <w:tc>
          <w:tcPr>
            <w:tcW w:w="567" w:type="dxa"/>
          </w:tcPr>
          <w:p w14:paraId="5BE062D1" w14:textId="77777777" w:rsidR="002551E8" w:rsidRDefault="002551E8">
            <w:hyperlink w:anchor="Seif5" w:tooltip="הוראת מעבר" w:history="1">
              <w:r>
                <w:rPr>
                  <w:rStyle w:val="Hyperlink"/>
                </w:rPr>
                <w:t>Go</w:t>
              </w:r>
            </w:hyperlink>
          </w:p>
        </w:tc>
        <w:tc>
          <w:tcPr>
            <w:tcW w:w="5669" w:type="dxa"/>
          </w:tcPr>
          <w:p w14:paraId="4A3BE2B0" w14:textId="77777777" w:rsidR="002551E8" w:rsidRDefault="002551E8">
            <w:pPr>
              <w:rPr>
                <w:rtl/>
              </w:rPr>
            </w:pPr>
            <w:r>
              <w:rPr>
                <w:rtl/>
              </w:rPr>
              <w:t>הוראת מעבר</w:t>
            </w:r>
          </w:p>
        </w:tc>
        <w:tc>
          <w:tcPr>
            <w:tcW w:w="1247" w:type="dxa"/>
          </w:tcPr>
          <w:p w14:paraId="76744FF4" w14:textId="77777777" w:rsidR="002551E8" w:rsidRDefault="002551E8">
            <w:r>
              <w:rPr>
                <w:rtl/>
              </w:rPr>
              <w:t xml:space="preserve">סעיף 6 </w:t>
            </w:r>
          </w:p>
        </w:tc>
      </w:tr>
    </w:tbl>
    <w:p w14:paraId="257626C6" w14:textId="77777777" w:rsidR="002551E8" w:rsidRDefault="002551E8" w:rsidP="002551E8">
      <w:pPr>
        <w:pStyle w:val="big-header"/>
        <w:ind w:left="0" w:right="1134"/>
        <w:rPr>
          <w:rFonts w:cs="FrankRuehl" w:hint="cs"/>
          <w:sz w:val="32"/>
          <w:rtl/>
        </w:rPr>
      </w:pPr>
      <w:r>
        <w:rPr>
          <w:rFonts w:cs="FrankRuehl"/>
          <w:sz w:val="32"/>
          <w:rtl/>
        </w:rPr>
        <w:br w:type="page"/>
      </w:r>
      <w:r>
        <w:rPr>
          <w:rFonts w:cs="FrankRuehl" w:hint="cs"/>
          <w:sz w:val="32"/>
          <w:rtl/>
        </w:rPr>
        <w:lastRenderedPageBreak/>
        <w:t xml:space="preserve">תקנות הפיקוח על שירותים פיננסיים (קופות גמל) (עמלות הפצה), </w:t>
      </w:r>
      <w:r>
        <w:rPr>
          <w:rFonts w:cs="FrankRuehl"/>
          <w:sz w:val="32"/>
          <w:rtl/>
        </w:rPr>
        <w:br/>
      </w:r>
      <w:r>
        <w:rPr>
          <w:rFonts w:cs="FrankRuehl" w:hint="cs"/>
          <w:sz w:val="32"/>
          <w:rtl/>
        </w:rPr>
        <w:t>תשס"ו-2006</w:t>
      </w:r>
      <w:r>
        <w:rPr>
          <w:rStyle w:val="default"/>
          <w:sz w:val="22"/>
          <w:szCs w:val="22"/>
          <w:rtl/>
        </w:rPr>
        <w:footnoteReference w:customMarkFollows="1" w:id="1"/>
        <w:t>*</w:t>
      </w:r>
    </w:p>
    <w:p w14:paraId="40BA3C04" w14:textId="77777777" w:rsidR="002551E8" w:rsidRDefault="002551E8">
      <w:pPr>
        <w:pStyle w:val="P00"/>
        <w:spacing w:before="72"/>
        <w:ind w:left="0" w:right="1134"/>
        <w:rPr>
          <w:rStyle w:val="default"/>
          <w:rFonts w:cs="FrankRuehl" w:hint="cs"/>
          <w:rtl/>
        </w:rPr>
      </w:pPr>
      <w:r>
        <w:rPr>
          <w:rFonts w:cs="FrankRuehl"/>
          <w:sz w:val="26"/>
          <w:rtl/>
        </w:rPr>
        <w:tab/>
      </w:r>
      <w:r>
        <w:rPr>
          <w:rStyle w:val="default"/>
          <w:rFonts w:cs="FrankRuehl"/>
          <w:rtl/>
        </w:rPr>
        <w:t>בתוקף סמכותי לפי סעיפים 32(ה)(2) ו</w:t>
      </w:r>
      <w:r>
        <w:rPr>
          <w:rStyle w:val="default"/>
          <w:rFonts w:cs="FrankRuehl" w:hint="cs"/>
          <w:rtl/>
        </w:rPr>
        <w:t>-</w:t>
      </w:r>
      <w:r>
        <w:rPr>
          <w:rStyle w:val="default"/>
          <w:rFonts w:cs="FrankRuehl"/>
          <w:rtl/>
        </w:rPr>
        <w:t>60 לחוק הפיקוח על שירותים פיננסיים (קופות גמל), התשס"ה</w:t>
      </w:r>
      <w:r>
        <w:rPr>
          <w:rStyle w:val="default"/>
          <w:rFonts w:cs="FrankRuehl" w:hint="cs"/>
          <w:rtl/>
        </w:rPr>
        <w:t>-2005</w:t>
      </w:r>
      <w:r>
        <w:rPr>
          <w:rStyle w:val="default"/>
          <w:rFonts w:cs="FrankRuehl"/>
          <w:rtl/>
        </w:rPr>
        <w:t xml:space="preserve"> (להלן – החוק), ובאישור ועדת הכספים של הכנסת, אני מתקין תקנות אלה:</w:t>
      </w:r>
    </w:p>
    <w:p w14:paraId="439D473C" w14:textId="77777777" w:rsidR="002551E8" w:rsidRDefault="002551E8">
      <w:pPr>
        <w:pStyle w:val="P00"/>
        <w:spacing w:before="72"/>
        <w:ind w:left="0" w:right="1134"/>
        <w:rPr>
          <w:rStyle w:val="default"/>
          <w:rFonts w:cs="FrankRuehl" w:hint="cs"/>
          <w:rtl/>
        </w:rPr>
      </w:pPr>
      <w:bookmarkStart w:id="0" w:name="Seif0"/>
      <w:bookmarkEnd w:id="0"/>
      <w:r>
        <w:rPr>
          <w:rFonts w:cs="Miriam"/>
          <w:lang w:val="he-IL"/>
        </w:rPr>
        <w:pict w14:anchorId="76F83B7D">
          <v:rect id="_x0000_s1026" style="position:absolute;left:0;text-align:left;margin-left:464.5pt;margin-top:8.05pt;width:75.05pt;height:9.5pt;z-index:251655168" o:allowincell="f" filled="f" stroked="f" strokecolor="lime" strokeweight=".25pt">
            <v:textbox inset="0,0,0,0">
              <w:txbxContent>
                <w:p w14:paraId="72675002" w14:textId="77777777" w:rsidR="002551E8" w:rsidRDefault="002551E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03C2A437"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"המשך חברות בקופה" – השארת כספים בקופת גמל בהתאם לייעוץ שנתן היועץ בקשר עם אותה קופה;</w:t>
      </w:r>
    </w:p>
    <w:p w14:paraId="5D22762B"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"הסכם ייעוץ" – הסכם נפרד לפי סעיף 27 לחוק הייעוץ והשיווק הפנסיוני או לפי סעיף 13 לחוק הסדרת העיסוק, לפי הענין;</w:t>
      </w:r>
    </w:p>
    <w:p w14:paraId="0E1C4590"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הייעוץ והשיווק הפנסיוני" – חוק הפיקוח על שירותים פיננסיים (עיסוק בייעוץ פנסיוני ושיווק פנסיוני), התשס"ה</w:t>
      </w:r>
      <w:r>
        <w:rPr>
          <w:rStyle w:val="default"/>
          <w:rFonts w:cs="FrankRuehl" w:hint="cs"/>
          <w:rtl/>
        </w:rPr>
        <w:t>-2005</w:t>
      </w:r>
      <w:r>
        <w:rPr>
          <w:rStyle w:val="default"/>
          <w:rFonts w:cs="FrankRuehl"/>
          <w:rtl/>
        </w:rPr>
        <w:t>;</w:t>
      </w:r>
    </w:p>
    <w:p w14:paraId="6DA5550A"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הסדרת העיסוק" – חוק הסדרת העיסוק בייעוץ השקעות, בשיווק השקעות ובניהול תיקי השקעות, התשנ"ה</w:t>
      </w:r>
      <w:r>
        <w:rPr>
          <w:rStyle w:val="default"/>
          <w:rFonts w:cs="FrankRuehl" w:hint="cs"/>
          <w:rtl/>
        </w:rPr>
        <w:t>-1995</w:t>
      </w:r>
      <w:r>
        <w:rPr>
          <w:rStyle w:val="default"/>
          <w:rFonts w:cs="FrankRuehl"/>
          <w:rtl/>
        </w:rPr>
        <w:t>;</w:t>
      </w:r>
    </w:p>
    <w:p w14:paraId="7ABC5585"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"יועץ" – יועץ פנסיוני או יועץ השקעות המייעץ ללקוח בקשר עם קופת גמל על פי הסכם ייעוץ, לתקופה שנקבעה בהסכם;</w:t>
      </w:r>
    </w:p>
    <w:p w14:paraId="2629B6F2"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"יועץ השקעות" – כהגדרתו בחוק הסדרת העיסוק;</w:t>
      </w:r>
    </w:p>
    <w:p w14:paraId="295C1D7C"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"יועץ פנסיוני", "לקוח", "מוצר פנסיוני", "סוג מוצר פנסיוני" – כהגדרתם בחוק הייעוץ והשיווק הפנסיוני;</w:t>
      </w:r>
    </w:p>
    <w:p w14:paraId="4DE3E108"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"עסקה" – עסקה, כהגדרתה בחוק הייעוץ והשיווק הפנסיוני, שענינה הפקדת כספים בקופת</w:t>
      </w:r>
      <w:r>
        <w:rPr>
          <w:rStyle w:val="default"/>
          <w:rFonts w:cs="FrankRuehl" w:hint="cs"/>
          <w:rtl/>
        </w:rPr>
        <w:t xml:space="preserve"> </w:t>
      </w:r>
      <w:r>
        <w:rPr>
          <w:rStyle w:val="default"/>
          <w:rFonts w:cs="FrankRuehl"/>
          <w:rtl/>
        </w:rPr>
        <w:t>הגמל באמצעות היועץ לזכותו של לקוח או העברת כספים מקופת גמל אחת לאחרת באמצעות היועץ;</w:t>
      </w:r>
    </w:p>
    <w:p w14:paraId="3A3CD895"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"קופת גמל" – קופת גמל, לגבי יועץ פנסיוני – הכלולה בסוגי המוצר הפנסיוני שבפסקאות</w:t>
      </w:r>
      <w:r>
        <w:rPr>
          <w:rStyle w:val="default"/>
          <w:rFonts w:cs="FrankRuehl" w:hint="cs"/>
          <w:rtl/>
        </w:rPr>
        <w:t xml:space="preserve"> </w:t>
      </w:r>
      <w:r>
        <w:rPr>
          <w:rStyle w:val="default"/>
          <w:rFonts w:cs="FrankRuehl"/>
          <w:rtl/>
        </w:rPr>
        <w:t>(1) עד (3) ו</w:t>
      </w:r>
      <w:r>
        <w:rPr>
          <w:rStyle w:val="default"/>
          <w:rFonts w:cs="FrankRuehl" w:hint="cs"/>
          <w:rtl/>
        </w:rPr>
        <w:t>-</w:t>
      </w:r>
      <w:r>
        <w:rPr>
          <w:rStyle w:val="default"/>
          <w:rFonts w:cs="FrankRuehl"/>
          <w:rtl/>
        </w:rPr>
        <w:t>(7) להגדרה "סוג מוצר פנסיוני" שבחוק הייעוץ והשיווק הפנסיוני, ואינה קרן</w:t>
      </w:r>
      <w:r>
        <w:rPr>
          <w:rStyle w:val="default"/>
          <w:rFonts w:cs="FrankRuehl" w:hint="cs"/>
          <w:rtl/>
        </w:rPr>
        <w:t xml:space="preserve"> </w:t>
      </w:r>
      <w:r>
        <w:rPr>
          <w:rStyle w:val="default"/>
          <w:rFonts w:cs="FrankRuehl"/>
          <w:rtl/>
        </w:rPr>
        <w:t>ותיקה, ולגבי יועץ השקעות – קרן השתלמות, ובתקופה שבה רשאי יועץ השקעות ליתן ייעוץ לגבי קופות גמל נוספות בהתאם לכל דין – גם קופות אלה.</w:t>
      </w:r>
    </w:p>
    <w:p w14:paraId="4B4D9C74" w14:textId="77777777" w:rsidR="002551E8" w:rsidRDefault="002551E8">
      <w:pPr>
        <w:pStyle w:val="P00"/>
        <w:spacing w:before="72"/>
        <w:ind w:left="0" w:right="1134"/>
        <w:rPr>
          <w:rStyle w:val="default"/>
          <w:rFonts w:cs="FrankRuehl" w:hint="cs"/>
          <w:rtl/>
        </w:rPr>
      </w:pPr>
      <w:bookmarkStart w:id="1" w:name="Seif1"/>
      <w:bookmarkEnd w:id="1"/>
      <w:r>
        <w:rPr>
          <w:rFonts w:cs="Miriam"/>
          <w:lang w:val="he-IL"/>
        </w:rPr>
        <w:pict w14:anchorId="2C0F2CA3">
          <v:rect id="_x0000_s1032" style="position:absolute;left:0;text-align:left;margin-left:464.5pt;margin-top:8.05pt;width:75.05pt;height:10.8pt;z-index:251656192" o:allowincell="f" filled="f" stroked="f" strokecolor="lime" strokeweight=".25pt">
            <v:textbox style="mso-next-textbox:#_x0000_s1032" inset="0,0,0,0">
              <w:txbxContent>
                <w:p w14:paraId="6BEE8A20" w14:textId="77777777" w:rsidR="002551E8" w:rsidRDefault="002551E8">
                  <w:pPr>
                    <w:pStyle w:val="a7"/>
                    <w:rPr>
                      <w:rFonts w:hint="cs"/>
                      <w:noProof/>
                      <w:rtl/>
                    </w:rPr>
                  </w:pPr>
                  <w:r>
                    <w:rPr>
                      <w:rFonts w:hint="cs"/>
                      <w:rtl/>
                    </w:rPr>
                    <w:t>הסכם הפצה</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חברה מנהלת רשאית לשלם עמלת הפצה ליועץ אם הוסכם בהסכם הפצה ביניהם</w:t>
      </w:r>
      <w:r>
        <w:rPr>
          <w:rStyle w:val="default"/>
          <w:rFonts w:cs="FrankRuehl" w:hint="cs"/>
          <w:rtl/>
        </w:rPr>
        <w:t xml:space="preserve"> </w:t>
      </w:r>
      <w:r>
        <w:rPr>
          <w:rStyle w:val="default"/>
          <w:rFonts w:cs="FrankRuehl"/>
          <w:rtl/>
        </w:rPr>
        <w:t>(בתקנות אלה – הסכם הפצה) כי בשל עסקאות שיבצע היועץ בין החברה המנהלת לבין</w:t>
      </w:r>
      <w:r>
        <w:rPr>
          <w:rStyle w:val="default"/>
          <w:rFonts w:cs="FrankRuehl" w:hint="cs"/>
          <w:rtl/>
        </w:rPr>
        <w:t xml:space="preserve"> </w:t>
      </w:r>
      <w:r>
        <w:rPr>
          <w:rStyle w:val="default"/>
          <w:rFonts w:cs="FrankRuehl"/>
          <w:rtl/>
        </w:rPr>
        <w:t>לקוחות, לגבי קופת גמל שבניהולה, או בשל המשך חברות בקופה כאמור, יהיה היועץ זכאי</w:t>
      </w:r>
      <w:r>
        <w:rPr>
          <w:rStyle w:val="default"/>
          <w:rFonts w:cs="FrankRuehl" w:hint="cs"/>
          <w:rtl/>
        </w:rPr>
        <w:t xml:space="preserve"> </w:t>
      </w:r>
      <w:r>
        <w:rPr>
          <w:rStyle w:val="default"/>
          <w:rFonts w:cs="FrankRuehl"/>
          <w:rtl/>
        </w:rPr>
        <w:t>לתשלום עמלת הפצה מהחברה המנהלת, ובלבד שאותו יועץ אישר כי הוא יסכים להתקשר</w:t>
      </w:r>
      <w:r>
        <w:rPr>
          <w:rStyle w:val="default"/>
          <w:rFonts w:cs="FrankRuehl" w:hint="cs"/>
          <w:rtl/>
        </w:rPr>
        <w:t xml:space="preserve"> </w:t>
      </w:r>
      <w:r>
        <w:rPr>
          <w:rStyle w:val="default"/>
          <w:rFonts w:cs="FrankRuehl"/>
          <w:rtl/>
        </w:rPr>
        <w:t>עם כל חברה מנהלת אחרת שתבקש להתקשר עמו בהסכם הפצה בשל עסקאות או בשל</w:t>
      </w:r>
      <w:r>
        <w:rPr>
          <w:rStyle w:val="default"/>
          <w:rFonts w:cs="FrankRuehl" w:hint="cs"/>
          <w:rtl/>
        </w:rPr>
        <w:t xml:space="preserve"> </w:t>
      </w:r>
      <w:r>
        <w:rPr>
          <w:rStyle w:val="default"/>
          <w:rFonts w:cs="FrankRuehl"/>
          <w:rtl/>
        </w:rPr>
        <w:t xml:space="preserve">המשך חברות בקופה, בשיעור ובתנאי תשלום זהים, ובעבור שירות זהה, בכפוף להבדל בשיעור העמלה הנובע מהוראות תקנה </w:t>
      </w:r>
      <w:r>
        <w:rPr>
          <w:rStyle w:val="default"/>
          <w:rFonts w:cs="FrankRuehl" w:hint="cs"/>
          <w:rtl/>
        </w:rPr>
        <w:br/>
      </w:r>
      <w:r>
        <w:rPr>
          <w:rStyle w:val="default"/>
          <w:rFonts w:cs="FrankRuehl"/>
          <w:rtl/>
        </w:rPr>
        <w:t>3(ב).</w:t>
      </w:r>
    </w:p>
    <w:p w14:paraId="7B77DD30"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הסכם הפצה ייערך בכתב ויכלול את כל הפרטים הדרושים לצורך ההתקשרות, ובכלל זה את כל הפרטים הנדרשים לפי תקנות אלה, ועותק ממנו יימסר לממונה בתוך 15 ימים ממועד כריתתו.</w:t>
      </w:r>
    </w:p>
    <w:p w14:paraId="406D6C7B"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הממונה רשאי להורות על פרסום פרטי הסכם הפצה, בתנאים ובדרך שעליהם יורה.</w:t>
      </w:r>
    </w:p>
    <w:p w14:paraId="40E76FD8" w14:textId="77777777" w:rsidR="002551E8" w:rsidRDefault="002551E8">
      <w:pPr>
        <w:pStyle w:val="P00"/>
        <w:spacing w:before="72"/>
        <w:ind w:left="0" w:right="1134"/>
        <w:rPr>
          <w:rStyle w:val="default"/>
          <w:rFonts w:cs="FrankRuehl" w:hint="cs"/>
          <w:rtl/>
        </w:rPr>
      </w:pPr>
      <w:bookmarkStart w:id="2" w:name="Seif2"/>
      <w:bookmarkEnd w:id="2"/>
      <w:r>
        <w:rPr>
          <w:rFonts w:cs="Miriam"/>
          <w:lang w:val="he-IL"/>
        </w:rPr>
        <w:pict w14:anchorId="5D30375D">
          <v:rect id="_x0000_s1063" style="position:absolute;left:0;text-align:left;margin-left:464.5pt;margin-top:8.05pt;width:75.05pt;height:9.5pt;z-index:251657216" o:allowincell="f" filled="f" stroked="f" strokecolor="lime" strokeweight=".25pt">
            <v:textbox inset="0,0,0,0">
              <w:txbxContent>
                <w:p w14:paraId="2B5C2F41" w14:textId="77777777" w:rsidR="002551E8" w:rsidRDefault="002551E8">
                  <w:pPr>
                    <w:spacing w:line="160" w:lineRule="exact"/>
                    <w:rPr>
                      <w:rFonts w:cs="Miriam" w:hint="cs"/>
                      <w:noProof/>
                      <w:sz w:val="18"/>
                      <w:szCs w:val="18"/>
                      <w:rtl/>
                    </w:rPr>
                  </w:pPr>
                  <w:r>
                    <w:rPr>
                      <w:rFonts w:cs="Miriam" w:hint="cs"/>
                      <w:sz w:val="18"/>
                      <w:szCs w:val="18"/>
                      <w:rtl/>
                    </w:rPr>
                    <w:t>שיעור עמלת הפצה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שיעור עמלת ההפצה בשל עסקאות או בשל המשך חברות בקופה בעד כל חודש לא יעלה על החלק השנים עשר של 0.25% מסך כל הסכומים העומדים לזכות הלקוח בקופת הגמל ביום העסקים האחרון של כל חודש; החלה או הסתיימה זכאות לתשלום עמלת הפצה</w:t>
      </w:r>
      <w:r>
        <w:rPr>
          <w:rStyle w:val="default"/>
          <w:rFonts w:cs="FrankRuehl" w:hint="cs"/>
          <w:rtl/>
        </w:rPr>
        <w:t xml:space="preserve"> </w:t>
      </w:r>
      <w:r>
        <w:rPr>
          <w:rStyle w:val="default"/>
          <w:rFonts w:cs="FrankRuehl"/>
          <w:rtl/>
        </w:rPr>
        <w:t>במהלך חודש, תשולם עמלת הפצה בעד אותו חודש לפי מספר הימים היחסי בחלק החודש</w:t>
      </w:r>
      <w:r>
        <w:rPr>
          <w:rStyle w:val="default"/>
          <w:rFonts w:cs="FrankRuehl" w:hint="cs"/>
          <w:rtl/>
        </w:rPr>
        <w:t xml:space="preserve"> </w:t>
      </w:r>
      <w:r>
        <w:rPr>
          <w:rStyle w:val="default"/>
          <w:rFonts w:cs="FrankRuehl"/>
          <w:rtl/>
        </w:rPr>
        <w:t>שבשלו היה זכאי לתשלום עמלה; שיעור עמלת ההפצה לפי תקנת משנה זו יכלול כל מס</w:t>
      </w:r>
      <w:r>
        <w:rPr>
          <w:rStyle w:val="default"/>
          <w:rFonts w:cs="FrankRuehl" w:hint="cs"/>
          <w:rtl/>
        </w:rPr>
        <w:t xml:space="preserve"> </w:t>
      </w:r>
      <w:r>
        <w:rPr>
          <w:rStyle w:val="default"/>
          <w:rFonts w:cs="FrankRuehl"/>
          <w:rtl/>
        </w:rPr>
        <w:t xml:space="preserve">או אגרה הקשורים </w:t>
      </w:r>
      <w:r>
        <w:rPr>
          <w:rStyle w:val="default"/>
          <w:rFonts w:cs="FrankRuehl"/>
          <w:rtl/>
        </w:rPr>
        <w:lastRenderedPageBreak/>
        <w:t>בתשלום עמלת ההפצה ואפשר שיהיה שונה לגבי ביצוע עסקאות ולגבי המשך חברות בקופה.</w:t>
      </w:r>
    </w:p>
    <w:p w14:paraId="09BA7E0D"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שיעור עמלת ההפצה לגבי הסכומים העומדים לזכות הלקוח בקופת גמל, למעט קופת גמל נמכרת ולמעט סכומים מקופת גמל נמכרת, אשר</w:t>
      </w:r>
      <w:r>
        <w:rPr>
          <w:rStyle w:val="default"/>
          <w:rFonts w:cs="FrankRuehl" w:hint="cs"/>
          <w:rtl/>
        </w:rPr>
        <w:t xml:space="preserve"> </w:t>
      </w:r>
      <w:r>
        <w:rPr>
          <w:rStyle w:val="default"/>
          <w:rFonts w:cs="FrankRuehl"/>
          <w:rtl/>
        </w:rPr>
        <w:t>נובעים מהפקדות שהפקיד לקופת גמל כלשהי עד יום ל' בכסלו התשס"ו (31 בדצמבר 2005), לא יעלה על החלק השנים עשר של 0.1% בעד כל חודש, ולגבי קופת גמל נמכרת מעורבת וסכומים מקופת גמל נמכרת מעורבת – לא יעלה על החלק השנים עשר של 0.25% כפול שיעור ההחזקה של התאגיד הבנקאי בקופה ביום פרסום החוק, בעד כל חודש.</w:t>
      </w:r>
    </w:p>
    <w:p w14:paraId="52825E43"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לענין תקנה זו –</w:t>
      </w:r>
    </w:p>
    <w:p w14:paraId="6E670A40"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"הסכומים העומדים לזכות הלקוח בקופת גמל" – שווי נכסי קופת הגמל שהופקדו בקופה או</w:t>
      </w:r>
      <w:r>
        <w:rPr>
          <w:rStyle w:val="default"/>
          <w:rFonts w:cs="FrankRuehl" w:hint="cs"/>
          <w:rtl/>
        </w:rPr>
        <w:t xml:space="preserve"> </w:t>
      </w:r>
      <w:r>
        <w:rPr>
          <w:rStyle w:val="default"/>
          <w:rFonts w:cs="FrankRuehl"/>
          <w:rtl/>
        </w:rPr>
        <w:t>הועברו לקופה בעקבות עסקה שביצע היועץ או שנותרו בקופה בעקבות המשך החברות</w:t>
      </w:r>
      <w:r>
        <w:rPr>
          <w:rStyle w:val="default"/>
          <w:rFonts w:cs="FrankRuehl" w:hint="cs"/>
          <w:rtl/>
        </w:rPr>
        <w:t xml:space="preserve"> </w:t>
      </w:r>
      <w:r>
        <w:rPr>
          <w:rStyle w:val="default"/>
          <w:rFonts w:cs="FrankRuehl"/>
          <w:rtl/>
        </w:rPr>
        <w:t>בה, לפי הענין, לרבות רווחים שנצברו עליהם, כשהם מחושבים בהתאם להוראות סעיף 33 לחוק, העומדים לזכותו של הלקוח בחשבונו בקופה, ובקופת גמל לקצבה –</w:t>
      </w:r>
      <w:r>
        <w:rPr>
          <w:rStyle w:val="default"/>
          <w:rFonts w:cs="FrankRuehl" w:hint="cs"/>
          <w:rtl/>
        </w:rPr>
        <w:t xml:space="preserve"> </w:t>
      </w:r>
      <w:r>
        <w:rPr>
          <w:rStyle w:val="default"/>
          <w:rFonts w:cs="FrankRuehl"/>
          <w:rtl/>
        </w:rPr>
        <w:t>שווי הנכסים כאמור העומדים כנגד התחייבויות הקופה ללקוח;</w:t>
      </w:r>
    </w:p>
    <w:p w14:paraId="02013842"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"יום פרסום החוק" – ה' בתמוז התשס"ה (10 באוגוסט 2005);</w:t>
      </w:r>
    </w:p>
    <w:p w14:paraId="03D7EAF6"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"סכומים מקופת גמל נמכרת" – סכומים העומדים לזכות לקוח בקופת גמל שאינה קופת</w:t>
      </w:r>
      <w:r>
        <w:rPr>
          <w:rStyle w:val="default"/>
          <w:rFonts w:cs="FrankRuehl" w:hint="cs"/>
          <w:rtl/>
        </w:rPr>
        <w:t xml:space="preserve"> </w:t>
      </w:r>
      <w:r>
        <w:rPr>
          <w:rStyle w:val="default"/>
          <w:rFonts w:cs="FrankRuehl"/>
          <w:rtl/>
        </w:rPr>
        <w:t>גמל נמכרת אשר נובעים מהפקדות לקופת גמל נמכרת ואשר הועברו לקופה אחרי יום תחילתן של תקנות אלה;</w:t>
      </w:r>
    </w:p>
    <w:p w14:paraId="0D5D8E94"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"קופת גמל נמכרת" – קופת גמל שהיא או החברה המנהלת שניהלה אותה ביום פרסום החוק נשלטו ביום פרסום החוק על ידי תאגיד בנקאי;</w:t>
      </w:r>
    </w:p>
    <w:p w14:paraId="59337881"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"קופת גמל נמכרת מעורבת" – קופת גמל נמכרת שביום פרסום החוק החזיק בה מי שאינו תאגיד בנקאי החזקה מהותית.</w:t>
      </w:r>
    </w:p>
    <w:p w14:paraId="26A2D906" w14:textId="77777777" w:rsidR="002551E8" w:rsidRDefault="002551E8">
      <w:pPr>
        <w:pStyle w:val="P00"/>
        <w:spacing w:before="72"/>
        <w:ind w:left="0" w:right="1134"/>
        <w:rPr>
          <w:rStyle w:val="default"/>
          <w:rFonts w:cs="FrankRuehl" w:hint="cs"/>
          <w:rtl/>
        </w:rPr>
      </w:pPr>
      <w:bookmarkStart w:id="3" w:name="Seif3"/>
      <w:bookmarkEnd w:id="3"/>
      <w:r>
        <w:rPr>
          <w:rFonts w:cs="Miriam"/>
          <w:lang w:val="he-IL"/>
        </w:rPr>
        <w:pict w14:anchorId="1DC8D5EF">
          <v:rect id="_x0000_s1064" style="position:absolute;left:0;text-align:left;margin-left:464.5pt;margin-top:8.05pt;width:75.05pt;height:18.8pt;z-index:251658240" o:allowincell="f" filled="f" stroked="f" strokecolor="lime" strokeweight=".25pt">
            <v:textbox inset="0,0,0,0">
              <w:txbxContent>
                <w:p w14:paraId="3751BFB4" w14:textId="77777777" w:rsidR="002551E8" w:rsidRDefault="002551E8">
                  <w:pPr>
                    <w:spacing w:line="160" w:lineRule="exact"/>
                    <w:rPr>
                      <w:rFonts w:cs="Miriam" w:hint="cs"/>
                      <w:noProof/>
                      <w:sz w:val="18"/>
                      <w:szCs w:val="18"/>
                      <w:rtl/>
                    </w:rPr>
                  </w:pPr>
                  <w:r>
                    <w:rPr>
                      <w:rFonts w:cs="Miriam" w:hint="cs"/>
                      <w:sz w:val="18"/>
                      <w:szCs w:val="18"/>
                      <w:rtl/>
                    </w:rPr>
                    <w:t>סייג לתשלום עמלת הפצה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תשולם עמלת הפצה בשל עסקה בקופת גמל לקצבה או בשל המשך חברות בה החל במועד שבו החל הלקוח לקבל קצבה מקופת הגמל.</w:t>
      </w:r>
    </w:p>
    <w:p w14:paraId="506C8967"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תשולם בשל לקוח עמלת הפצה ליותר מיועץ אחד לגבי אותה תקופת ייעוץ שנקבעה בהסכם הייעוץ.</w:t>
      </w:r>
    </w:p>
    <w:p w14:paraId="6EE02688" w14:textId="77777777" w:rsidR="002551E8" w:rsidRDefault="002551E8">
      <w:pPr>
        <w:pStyle w:val="P00"/>
        <w:spacing w:before="72"/>
        <w:ind w:left="0" w:right="1134"/>
        <w:rPr>
          <w:rStyle w:val="default"/>
          <w:rFonts w:cs="FrankRuehl" w:hint="cs"/>
          <w:rtl/>
        </w:rPr>
      </w:pPr>
      <w:bookmarkStart w:id="4" w:name="Seif4"/>
      <w:bookmarkEnd w:id="4"/>
      <w:r>
        <w:rPr>
          <w:rFonts w:cs="Miriam"/>
          <w:lang w:val="he-IL"/>
        </w:rPr>
        <w:pict w14:anchorId="3CC401EC">
          <v:rect id="_x0000_s1065" style="position:absolute;left:0;text-align:left;margin-left:464.5pt;margin-top:8.05pt;width:75.05pt;height:10.3pt;z-index:251659264" o:allowincell="f" filled="f" stroked="f" strokecolor="lime" strokeweight=".25pt">
            <v:textbox inset="0,0,0,0">
              <w:txbxContent>
                <w:p w14:paraId="38574CB2" w14:textId="77777777" w:rsidR="002551E8" w:rsidRDefault="002551E8">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תחילתן של תקנות אלה ביום ג' בניסן התשס"ו (1 באפריל 2006).</w:t>
      </w:r>
    </w:p>
    <w:p w14:paraId="283321C0" w14:textId="77777777" w:rsidR="002551E8" w:rsidRDefault="002551E8">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תקנות אלה יחולו על חברה מנהלת ועל יועץ אף אם היה ביניהם, לפני תחילתן של תקנות אלה, הסכם בענינים הקשורים לתשלום עמלות הפצה או תשלומים אחרים הנוגעים להפצה של קופות הגמל בידי היועץ.</w:t>
      </w:r>
    </w:p>
    <w:p w14:paraId="4CA27D6B" w14:textId="77777777" w:rsidR="002551E8" w:rsidRDefault="002551E8">
      <w:pPr>
        <w:pStyle w:val="P00"/>
        <w:spacing w:before="72"/>
        <w:ind w:left="0" w:right="1134"/>
        <w:rPr>
          <w:rStyle w:val="default"/>
          <w:rFonts w:cs="FrankRuehl" w:hint="cs"/>
          <w:rtl/>
        </w:rPr>
      </w:pPr>
      <w:bookmarkStart w:id="5" w:name="Seif5"/>
      <w:bookmarkEnd w:id="5"/>
      <w:r>
        <w:rPr>
          <w:rFonts w:cs="Miriam"/>
          <w:lang w:val="he-IL"/>
        </w:rPr>
        <w:pict w14:anchorId="468A9B3E">
          <v:rect id="_x0000_s1066" style="position:absolute;left:0;text-align:left;margin-left:464.5pt;margin-top:8.05pt;width:75.05pt;height:9.5pt;z-index:251660288" o:allowincell="f" filled="f" stroked="f" strokecolor="lime" strokeweight=".25pt">
            <v:textbox inset="0,0,0,0">
              <w:txbxContent>
                <w:p w14:paraId="7D5ACB9A" w14:textId="77777777" w:rsidR="002551E8" w:rsidRDefault="002551E8">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לענין תקנה 3(ג), חישוב הסכומים העומדים לזכות הלקוח בקופת הגמל, עד לכניסתן לתוקף של תקנות לפי סעיף 33 לחוק, יהיה בהתאם להוראות תקנות מס הכנסה (כללים לאישור ולניהול קופות גמל), התשכ"ד</w:t>
      </w:r>
      <w:r>
        <w:rPr>
          <w:rStyle w:val="default"/>
          <w:rFonts w:cs="FrankRuehl" w:hint="cs"/>
          <w:rtl/>
        </w:rPr>
        <w:t>-1964</w:t>
      </w:r>
      <w:r>
        <w:rPr>
          <w:rStyle w:val="default"/>
          <w:rFonts w:cs="FrankRuehl"/>
          <w:rtl/>
        </w:rPr>
        <w:t>.</w:t>
      </w:r>
    </w:p>
    <w:p w14:paraId="10B25455" w14:textId="77777777" w:rsidR="002551E8" w:rsidRDefault="002551E8">
      <w:pPr>
        <w:pStyle w:val="page"/>
        <w:widowControl/>
        <w:ind w:right="1134"/>
        <w:rPr>
          <w:rStyle w:val="default"/>
          <w:rFonts w:cs="FrankRuehl" w:hint="cs"/>
          <w:position w:val="0"/>
          <w:rtl/>
        </w:rPr>
      </w:pPr>
    </w:p>
    <w:p w14:paraId="2459E7EB" w14:textId="77777777" w:rsidR="002551E8" w:rsidRDefault="002551E8">
      <w:pPr>
        <w:pStyle w:val="page"/>
        <w:widowControl/>
        <w:ind w:right="1134"/>
        <w:rPr>
          <w:rStyle w:val="default"/>
          <w:rFonts w:cs="FrankRuehl"/>
          <w:position w:val="0"/>
          <w:rtl/>
        </w:rPr>
      </w:pPr>
    </w:p>
    <w:p w14:paraId="2822EE33" w14:textId="77777777" w:rsidR="002551E8" w:rsidRDefault="002551E8">
      <w:pPr>
        <w:pStyle w:val="sig-0"/>
        <w:ind w:left="0" w:right="1134"/>
        <w:rPr>
          <w:rFonts w:cs="FrankRuehl" w:hint="cs"/>
          <w:sz w:val="26"/>
          <w:rtl/>
        </w:rPr>
      </w:pPr>
      <w:r>
        <w:rPr>
          <w:rFonts w:cs="FrankRuehl" w:hint="cs"/>
          <w:sz w:val="26"/>
          <w:rtl/>
        </w:rPr>
        <w:t>ט' בשבט התשס"ו (7 בפברואר 2006)</w:t>
      </w:r>
    </w:p>
    <w:p w14:paraId="5F18ED79" w14:textId="77777777" w:rsidR="002551E8" w:rsidRDefault="002551E8">
      <w:pPr>
        <w:pStyle w:val="sig-0"/>
        <w:tabs>
          <w:tab w:val="clear" w:pos="4820"/>
          <w:tab w:val="center" w:pos="5103"/>
        </w:tabs>
        <w:ind w:left="0" w:right="1134"/>
        <w:rPr>
          <w:rFonts w:cs="FrankRuehl" w:hint="cs"/>
          <w:sz w:val="26"/>
          <w:rtl/>
        </w:rPr>
      </w:pPr>
      <w:r>
        <w:rPr>
          <w:rFonts w:cs="FrankRuehl"/>
          <w:sz w:val="26"/>
          <w:rtl/>
        </w:rPr>
        <w:tab/>
      </w:r>
      <w:r>
        <w:rPr>
          <w:rFonts w:cs="FrankRuehl" w:hint="cs"/>
          <w:sz w:val="26"/>
          <w:rtl/>
        </w:rPr>
        <w:t>אהוד אולמרט</w:t>
      </w:r>
    </w:p>
    <w:p w14:paraId="5A5B17B8" w14:textId="77777777" w:rsidR="002551E8" w:rsidRDefault="002551E8">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האוצר</w:t>
      </w:r>
    </w:p>
    <w:p w14:paraId="73A9C2BC" w14:textId="77777777" w:rsidR="002551E8" w:rsidRDefault="002551E8">
      <w:pPr>
        <w:pStyle w:val="sig-0"/>
        <w:ind w:left="0" w:right="1134"/>
        <w:rPr>
          <w:rFonts w:cs="FrankRuehl"/>
          <w:sz w:val="26"/>
          <w:rtl/>
        </w:rPr>
      </w:pPr>
    </w:p>
    <w:p w14:paraId="52A09EC8" w14:textId="77777777" w:rsidR="002551E8" w:rsidRDefault="002551E8">
      <w:pPr>
        <w:pStyle w:val="sig-0"/>
        <w:ind w:left="0" w:right="1134"/>
        <w:rPr>
          <w:rFonts w:cs="FrankRuehl"/>
          <w:sz w:val="26"/>
          <w:rtl/>
        </w:rPr>
      </w:pPr>
    </w:p>
    <w:sectPr w:rsidR="002551E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B7C4" w14:textId="77777777" w:rsidR="005B59E4" w:rsidRDefault="005B59E4">
      <w:r>
        <w:separator/>
      </w:r>
    </w:p>
  </w:endnote>
  <w:endnote w:type="continuationSeparator" w:id="0">
    <w:p w14:paraId="541DB891" w14:textId="77777777" w:rsidR="005B59E4" w:rsidRDefault="005B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0283" w14:textId="77777777" w:rsidR="002551E8" w:rsidRDefault="002551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3756D8" w14:textId="77777777" w:rsidR="002551E8" w:rsidRDefault="002551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30B9507" w14:textId="77777777" w:rsidR="002551E8" w:rsidRDefault="002551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Z:\00000000-law\yael\06-02-27\01-table\999_577.doc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63B06" w14:textId="77777777" w:rsidR="002551E8" w:rsidRDefault="002551E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515F1">
      <w:rPr>
        <w:rFonts w:hAnsi="FrankRuehl" w:cs="FrankRuehl"/>
        <w:noProof/>
        <w:sz w:val="24"/>
        <w:szCs w:val="24"/>
        <w:rtl/>
      </w:rPr>
      <w:t>1</w:t>
    </w:r>
    <w:r>
      <w:rPr>
        <w:rFonts w:hAnsi="FrankRuehl" w:cs="FrankRuehl"/>
        <w:sz w:val="24"/>
        <w:szCs w:val="24"/>
        <w:rtl/>
      </w:rPr>
      <w:fldChar w:fldCharType="end"/>
    </w:r>
  </w:p>
  <w:p w14:paraId="77730009" w14:textId="77777777" w:rsidR="002551E8" w:rsidRDefault="002551E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1D55594" w14:textId="77777777" w:rsidR="002551E8" w:rsidRDefault="002551E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Z:\00000000-law\yael\06-02-27\01-table\999_577.doc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27190" w14:textId="77777777" w:rsidR="005B59E4" w:rsidRDefault="005B59E4">
      <w:r>
        <w:separator/>
      </w:r>
    </w:p>
  </w:footnote>
  <w:footnote w:type="continuationSeparator" w:id="0">
    <w:p w14:paraId="79A5DC84" w14:textId="77777777" w:rsidR="005B59E4" w:rsidRDefault="005B59E4">
      <w:r>
        <w:continuationSeparator/>
      </w:r>
    </w:p>
  </w:footnote>
  <w:footnote w:id="1">
    <w:p w14:paraId="0ABFA250" w14:textId="77777777" w:rsidR="002551E8" w:rsidRDefault="002551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6464</w:t>
        </w:r>
      </w:hyperlink>
      <w:r>
        <w:rPr>
          <w:rFonts w:cs="FrankRuehl" w:hint="cs"/>
          <w:rtl/>
        </w:rPr>
        <w:t xml:space="preserve"> מיום 26.2.2006 עמ' 496.</w:t>
      </w:r>
    </w:p>
    <w:p w14:paraId="74C29A7F" w14:textId="77777777" w:rsidR="002551E8" w:rsidRDefault="002551E8">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8DB" w14:textId="77777777" w:rsidR="002551E8" w:rsidRDefault="002551E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D90DD3F" w14:textId="77777777" w:rsidR="002551E8" w:rsidRDefault="002551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84A51C" w14:textId="77777777" w:rsidR="002551E8" w:rsidRDefault="002551E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2D28C" w14:textId="77777777" w:rsidR="002551E8" w:rsidRDefault="002551E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(עמלות הפצה), תשס"ו-2006</w:t>
    </w:r>
  </w:p>
  <w:p w14:paraId="50A41D46" w14:textId="77777777" w:rsidR="002551E8" w:rsidRDefault="002551E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03F89F" w14:textId="77777777" w:rsidR="002551E8" w:rsidRDefault="002551E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351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51E8"/>
    <w:rsid w:val="00013C85"/>
    <w:rsid w:val="002551E8"/>
    <w:rsid w:val="005B1F75"/>
    <w:rsid w:val="005B59E4"/>
    <w:rsid w:val="00672EDD"/>
    <w:rsid w:val="00BF471B"/>
    <w:rsid w:val="00D05783"/>
    <w:rsid w:val="00E515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9750686"/>
  <w15:chartTrackingRefBased/>
  <w15:docId w15:val="{5B5D889F-DF59-420B-80D7-9567B9494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5257</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0</vt:i4>
      </vt:variant>
      <vt:variant>
        <vt:i4>0</vt:i4>
      </vt:variant>
      <vt:variant>
        <vt:i4>5</vt:i4>
      </vt:variant>
      <vt:variant>
        <vt:lpwstr>http://www.nevo.co.il/Law_word/law06/tak-6464.pdf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tali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הפיקוח על שירותים פיננסיים (קופות גמל) (עמלות הפצה), תשס"ו-2006</vt:lpwstr>
  </property>
  <property fmtid="{D5CDD505-2E9C-101B-9397-08002B2CF9AE}" pid="4" name="LAWNUMBER">
    <vt:lpwstr>0577</vt:lpwstr>
  </property>
  <property fmtid="{D5CDD505-2E9C-101B-9397-08002B2CF9AE}" pid="5" name="TYPE">
    <vt:lpwstr>01</vt:lpwstr>
  </property>
  <property fmtid="{D5CDD505-2E9C-101B-9397-08002B2CF9AE}" pid="6" name="CHNAME">
    <vt:lpwstr>ניירות ערך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http://www.nevo.co.il/Law_word/law06/tak-6464.pdf;רשומות - תקנות כלליות#פורסם ק"ת תשס"ו מס' 6464 #מיום 26.2.2006 #עמ' 496</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שירותים פיננסיים (קופות גמל)</vt:lpwstr>
  </property>
  <property fmtid="{D5CDD505-2E9C-101B-9397-08002B2CF9AE}" pid="63" name="MEKOR_SAIF1">
    <vt:lpwstr>32XהX2X;60X</vt:lpwstr>
  </property>
</Properties>
</file>