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733F" w14:textId="77777777" w:rsidR="003E1701" w:rsidRDefault="00C8788A" w:rsidP="00D71291">
      <w:pPr>
        <w:pStyle w:val="big-header"/>
        <w:ind w:left="0" w:right="1134"/>
        <w:rPr>
          <w:rFonts w:hint="cs"/>
          <w:rtl/>
          <w:lang w:eastAsia="en-US"/>
        </w:rPr>
      </w:pPr>
      <w:r>
        <w:rPr>
          <w:rFonts w:hint="cs"/>
          <w:rtl/>
          <w:lang w:eastAsia="en-US"/>
        </w:rPr>
        <w:t>תקנות</w:t>
      </w:r>
      <w:r w:rsidR="003E1701">
        <w:rPr>
          <w:rFonts w:hint="cs"/>
          <w:rtl/>
          <w:lang w:eastAsia="en-US"/>
        </w:rPr>
        <w:t xml:space="preserve"> הפיקוח על שירותים פיננסיים (</w:t>
      </w:r>
      <w:r w:rsidR="00D71291">
        <w:rPr>
          <w:rFonts w:hint="cs"/>
          <w:rtl/>
          <w:lang w:eastAsia="en-US"/>
        </w:rPr>
        <w:t>שירותים פיננסיים מוסדרים)</w:t>
      </w:r>
      <w:r>
        <w:rPr>
          <w:rFonts w:hint="cs"/>
          <w:rtl/>
          <w:lang w:eastAsia="en-US"/>
        </w:rPr>
        <w:t xml:space="preserve"> (פטור מחובת רישוי) (הוראת שעה)</w:t>
      </w:r>
      <w:r w:rsidR="00D71291">
        <w:rPr>
          <w:rFonts w:hint="cs"/>
          <w:rtl/>
          <w:lang w:eastAsia="en-US"/>
        </w:rPr>
        <w:t>, תשע"</w:t>
      </w:r>
      <w:r>
        <w:rPr>
          <w:rFonts w:hint="cs"/>
          <w:rtl/>
          <w:lang w:eastAsia="en-US"/>
        </w:rPr>
        <w:t>ט</w:t>
      </w:r>
      <w:r w:rsidR="00D71291">
        <w:rPr>
          <w:rFonts w:hint="cs"/>
          <w:rtl/>
          <w:lang w:eastAsia="en-US"/>
        </w:rPr>
        <w:t>-201</w:t>
      </w:r>
      <w:r>
        <w:rPr>
          <w:rFonts w:hint="cs"/>
          <w:rtl/>
          <w:lang w:eastAsia="en-US"/>
        </w:rPr>
        <w:t>8</w:t>
      </w:r>
    </w:p>
    <w:p w14:paraId="59DF0F40" w14:textId="77777777" w:rsidR="00D71291" w:rsidRPr="00D71291" w:rsidRDefault="00D71291" w:rsidP="00D71291">
      <w:pPr>
        <w:spacing w:line="320" w:lineRule="auto"/>
        <w:jc w:val="left"/>
        <w:rPr>
          <w:rFonts w:cs="FrankRuehl"/>
          <w:szCs w:val="26"/>
          <w:rtl/>
          <w:lang w:eastAsia="en-US"/>
        </w:rPr>
      </w:pPr>
    </w:p>
    <w:p w14:paraId="5D590282" w14:textId="77777777" w:rsidR="00D71291" w:rsidRDefault="00D71291" w:rsidP="00D71291">
      <w:pPr>
        <w:spacing w:line="320" w:lineRule="auto"/>
        <w:jc w:val="left"/>
        <w:rPr>
          <w:rtl/>
          <w:lang w:eastAsia="en-US"/>
        </w:rPr>
      </w:pPr>
    </w:p>
    <w:p w14:paraId="3AC22386" w14:textId="77777777" w:rsidR="00D71291" w:rsidRPr="00D71291" w:rsidRDefault="00D71291" w:rsidP="00D71291">
      <w:pPr>
        <w:spacing w:line="320" w:lineRule="auto"/>
        <w:jc w:val="left"/>
        <w:rPr>
          <w:rFonts w:cs="Miriam" w:hint="cs"/>
          <w:szCs w:val="22"/>
          <w:rtl/>
          <w:lang w:eastAsia="en-US"/>
        </w:rPr>
      </w:pPr>
      <w:r w:rsidRPr="00D71291">
        <w:rPr>
          <w:rFonts w:cs="Miriam"/>
          <w:szCs w:val="22"/>
          <w:rtl/>
          <w:lang w:eastAsia="en-US"/>
        </w:rPr>
        <w:t>משפט פרטי וכלכלה</w:t>
      </w:r>
      <w:r w:rsidRPr="00D71291">
        <w:rPr>
          <w:rFonts w:cs="FrankRuehl"/>
          <w:szCs w:val="26"/>
          <w:rtl/>
          <w:lang w:eastAsia="en-US"/>
        </w:rPr>
        <w:t xml:space="preserve"> – כספים – שירותים פיננסיים</w:t>
      </w:r>
    </w:p>
    <w:p w14:paraId="44D98D8B" w14:textId="77777777" w:rsidR="003E1701" w:rsidRDefault="003E1701">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36C8" w:rsidRPr="008A36C8" w14:paraId="35FA3B13" w14:textId="77777777" w:rsidTr="008A36C8">
        <w:tblPrEx>
          <w:tblCellMar>
            <w:top w:w="0" w:type="dxa"/>
            <w:bottom w:w="0" w:type="dxa"/>
          </w:tblCellMar>
        </w:tblPrEx>
        <w:tc>
          <w:tcPr>
            <w:tcW w:w="1247" w:type="dxa"/>
          </w:tcPr>
          <w:p w14:paraId="6917DA5F"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53215649"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הגדרה</w:t>
            </w:r>
          </w:p>
        </w:tc>
        <w:tc>
          <w:tcPr>
            <w:tcW w:w="567" w:type="dxa"/>
          </w:tcPr>
          <w:p w14:paraId="40F81E50" w14:textId="77777777" w:rsidR="008A36C8" w:rsidRPr="008A36C8" w:rsidRDefault="008A36C8" w:rsidP="008A36C8">
            <w:pPr>
              <w:spacing w:line="240" w:lineRule="auto"/>
              <w:jc w:val="left"/>
              <w:rPr>
                <w:rStyle w:val="Hyperlink"/>
                <w:rFonts w:hint="cs"/>
                <w:rtl/>
              </w:rPr>
            </w:pPr>
            <w:hyperlink w:anchor="Seif1" w:tooltip="הגדרה" w:history="1">
              <w:r w:rsidRPr="008A36C8">
                <w:rPr>
                  <w:rStyle w:val="Hyperlink"/>
                </w:rPr>
                <w:t>Go</w:t>
              </w:r>
            </w:hyperlink>
          </w:p>
        </w:tc>
        <w:tc>
          <w:tcPr>
            <w:tcW w:w="850" w:type="dxa"/>
          </w:tcPr>
          <w:p w14:paraId="09AFBD34" w14:textId="77777777" w:rsidR="008A36C8" w:rsidRPr="008A36C8" w:rsidRDefault="008A36C8" w:rsidP="008A36C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A36C8" w:rsidRPr="008A36C8" w14:paraId="0BCE2B6D" w14:textId="77777777" w:rsidTr="008A36C8">
        <w:tblPrEx>
          <w:tblCellMar>
            <w:top w:w="0" w:type="dxa"/>
            <w:bottom w:w="0" w:type="dxa"/>
          </w:tblCellMar>
        </w:tblPrEx>
        <w:tc>
          <w:tcPr>
            <w:tcW w:w="1247" w:type="dxa"/>
          </w:tcPr>
          <w:p w14:paraId="5BB910CE"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5C6A4EC"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פטור מחובת רישוי למתן אשראי</w:t>
            </w:r>
          </w:p>
        </w:tc>
        <w:tc>
          <w:tcPr>
            <w:tcW w:w="567" w:type="dxa"/>
          </w:tcPr>
          <w:p w14:paraId="10B1D5C4" w14:textId="77777777" w:rsidR="008A36C8" w:rsidRPr="008A36C8" w:rsidRDefault="008A36C8" w:rsidP="008A36C8">
            <w:pPr>
              <w:spacing w:line="240" w:lineRule="auto"/>
              <w:jc w:val="left"/>
              <w:rPr>
                <w:rStyle w:val="Hyperlink"/>
                <w:rFonts w:hint="cs"/>
                <w:rtl/>
              </w:rPr>
            </w:pPr>
            <w:hyperlink w:anchor="Seif4" w:tooltip="פטור מחובת רישוי למתן אשראי" w:history="1">
              <w:r w:rsidRPr="008A36C8">
                <w:rPr>
                  <w:rStyle w:val="Hyperlink"/>
                </w:rPr>
                <w:t>Go</w:t>
              </w:r>
            </w:hyperlink>
          </w:p>
        </w:tc>
        <w:tc>
          <w:tcPr>
            <w:tcW w:w="850" w:type="dxa"/>
          </w:tcPr>
          <w:p w14:paraId="1162867D" w14:textId="77777777" w:rsidR="008A36C8" w:rsidRPr="008A36C8" w:rsidRDefault="008A36C8" w:rsidP="008A36C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A36C8" w:rsidRPr="008A36C8" w14:paraId="397284E6" w14:textId="77777777" w:rsidTr="008A36C8">
        <w:tblPrEx>
          <w:tblCellMar>
            <w:top w:w="0" w:type="dxa"/>
            <w:bottom w:w="0" w:type="dxa"/>
          </w:tblCellMar>
        </w:tblPrEx>
        <w:tc>
          <w:tcPr>
            <w:tcW w:w="1247" w:type="dxa"/>
          </w:tcPr>
          <w:p w14:paraId="7F64A90B"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3B610E4"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פטור מחובת רישוי למתן שירות בנכס פיננסי</w:t>
            </w:r>
          </w:p>
        </w:tc>
        <w:tc>
          <w:tcPr>
            <w:tcW w:w="567" w:type="dxa"/>
          </w:tcPr>
          <w:p w14:paraId="0AB2EB73" w14:textId="77777777" w:rsidR="008A36C8" w:rsidRPr="008A36C8" w:rsidRDefault="008A36C8" w:rsidP="008A36C8">
            <w:pPr>
              <w:spacing w:line="240" w:lineRule="auto"/>
              <w:jc w:val="left"/>
              <w:rPr>
                <w:rStyle w:val="Hyperlink"/>
                <w:rFonts w:hint="cs"/>
                <w:rtl/>
              </w:rPr>
            </w:pPr>
            <w:hyperlink w:anchor="Seif2" w:tooltip="פטור מחובת רישוי למתן שירות בנכס פיננסי" w:history="1">
              <w:r w:rsidRPr="008A36C8">
                <w:rPr>
                  <w:rStyle w:val="Hyperlink"/>
                </w:rPr>
                <w:t>Go</w:t>
              </w:r>
            </w:hyperlink>
          </w:p>
        </w:tc>
        <w:tc>
          <w:tcPr>
            <w:tcW w:w="850" w:type="dxa"/>
          </w:tcPr>
          <w:p w14:paraId="0CFF4E7B" w14:textId="77777777" w:rsidR="008A36C8" w:rsidRPr="008A36C8" w:rsidRDefault="008A36C8" w:rsidP="008A36C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A36C8" w:rsidRPr="008A36C8" w14:paraId="33A026F3" w14:textId="77777777" w:rsidTr="008A36C8">
        <w:tblPrEx>
          <w:tblCellMar>
            <w:top w:w="0" w:type="dxa"/>
            <w:bottom w:w="0" w:type="dxa"/>
          </w:tblCellMar>
        </w:tblPrEx>
        <w:tc>
          <w:tcPr>
            <w:tcW w:w="1247" w:type="dxa"/>
          </w:tcPr>
          <w:p w14:paraId="79613894"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1C47B7B"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09C1DEF3" w14:textId="77777777" w:rsidR="008A36C8" w:rsidRPr="008A36C8" w:rsidRDefault="008A36C8" w:rsidP="008A36C8">
            <w:pPr>
              <w:spacing w:line="240" w:lineRule="auto"/>
              <w:jc w:val="left"/>
              <w:rPr>
                <w:rStyle w:val="Hyperlink"/>
                <w:rFonts w:hint="cs"/>
                <w:rtl/>
              </w:rPr>
            </w:pPr>
            <w:hyperlink w:anchor="Seif5" w:tooltip="תחילה" w:history="1">
              <w:r w:rsidRPr="008A36C8">
                <w:rPr>
                  <w:rStyle w:val="Hyperlink"/>
                </w:rPr>
                <w:t>Go</w:t>
              </w:r>
            </w:hyperlink>
          </w:p>
        </w:tc>
        <w:tc>
          <w:tcPr>
            <w:tcW w:w="850" w:type="dxa"/>
          </w:tcPr>
          <w:p w14:paraId="6D92CBC5" w14:textId="77777777" w:rsidR="008A36C8" w:rsidRPr="008A36C8" w:rsidRDefault="008A36C8" w:rsidP="008A36C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A36C8" w:rsidRPr="008A36C8" w14:paraId="15C71DFE" w14:textId="77777777" w:rsidTr="008A36C8">
        <w:tblPrEx>
          <w:tblCellMar>
            <w:top w:w="0" w:type="dxa"/>
            <w:bottom w:w="0" w:type="dxa"/>
          </w:tblCellMar>
        </w:tblPrEx>
        <w:tc>
          <w:tcPr>
            <w:tcW w:w="1247" w:type="dxa"/>
          </w:tcPr>
          <w:p w14:paraId="2202FEC9"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7F53BEF" w14:textId="77777777" w:rsidR="008A36C8" w:rsidRPr="008A36C8" w:rsidRDefault="008A36C8" w:rsidP="008A36C8">
            <w:pPr>
              <w:spacing w:line="240" w:lineRule="auto"/>
              <w:jc w:val="left"/>
              <w:rPr>
                <w:rFonts w:cs="Frankruhel" w:hint="cs"/>
                <w:sz w:val="24"/>
                <w:rtl/>
                <w:lang w:eastAsia="en-US"/>
              </w:rPr>
            </w:pPr>
            <w:r>
              <w:rPr>
                <w:rFonts w:cs="Times New Roman"/>
                <w:sz w:val="24"/>
                <w:rtl/>
                <w:lang w:eastAsia="en-US"/>
              </w:rPr>
              <w:t>תוקף</w:t>
            </w:r>
          </w:p>
        </w:tc>
        <w:tc>
          <w:tcPr>
            <w:tcW w:w="567" w:type="dxa"/>
          </w:tcPr>
          <w:p w14:paraId="460934A3" w14:textId="77777777" w:rsidR="008A36C8" w:rsidRPr="008A36C8" w:rsidRDefault="008A36C8" w:rsidP="008A36C8">
            <w:pPr>
              <w:spacing w:line="240" w:lineRule="auto"/>
              <w:jc w:val="left"/>
              <w:rPr>
                <w:rStyle w:val="Hyperlink"/>
                <w:rFonts w:hint="cs"/>
                <w:rtl/>
              </w:rPr>
            </w:pPr>
            <w:hyperlink w:anchor="Seif3" w:tooltip="תוקף" w:history="1">
              <w:r w:rsidRPr="008A36C8">
                <w:rPr>
                  <w:rStyle w:val="Hyperlink"/>
                </w:rPr>
                <w:t>Go</w:t>
              </w:r>
            </w:hyperlink>
          </w:p>
        </w:tc>
        <w:tc>
          <w:tcPr>
            <w:tcW w:w="850" w:type="dxa"/>
          </w:tcPr>
          <w:p w14:paraId="6A3531DF" w14:textId="77777777" w:rsidR="008A36C8" w:rsidRPr="008A36C8" w:rsidRDefault="008A36C8" w:rsidP="008A36C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14:paraId="12D654EB" w14:textId="77777777" w:rsidR="003E1701" w:rsidRDefault="003E1701">
      <w:pPr>
        <w:pStyle w:val="P00"/>
        <w:spacing w:before="72"/>
        <w:ind w:left="0" w:right="1134"/>
        <w:rPr>
          <w:rFonts w:hint="cs"/>
          <w:rtl/>
          <w:lang w:eastAsia="en-US"/>
        </w:rPr>
      </w:pPr>
    </w:p>
    <w:p w14:paraId="43848553" w14:textId="77777777" w:rsidR="003E1701" w:rsidRDefault="003E1701" w:rsidP="00D71291">
      <w:pPr>
        <w:pStyle w:val="big-header"/>
        <w:ind w:left="0" w:right="1134"/>
        <w:rPr>
          <w:rStyle w:val="default"/>
          <w:rFonts w:hint="cs"/>
          <w:sz w:val="22"/>
          <w:szCs w:val="22"/>
          <w:rtl/>
          <w:lang w:eastAsia="en-US"/>
        </w:rPr>
      </w:pPr>
      <w:r>
        <w:rPr>
          <w:rtl/>
          <w:lang w:eastAsia="en-US"/>
        </w:rPr>
        <w:br w:type="page"/>
      </w:r>
      <w:r w:rsidR="00C8788A">
        <w:rPr>
          <w:rFonts w:hint="cs"/>
          <w:rtl/>
          <w:lang w:eastAsia="en-US"/>
        </w:rPr>
        <w:lastRenderedPageBreak/>
        <w:t>תקנות הפיקוח על שירותים פיננסיים (שירותים פיננסיים מוסדרים) (פטור מחובת רישוי) (הוראת שעה), תשע"ט-2018</w:t>
      </w:r>
      <w:r>
        <w:rPr>
          <w:rStyle w:val="default"/>
          <w:sz w:val="22"/>
          <w:szCs w:val="22"/>
          <w:rtl/>
          <w:lang w:eastAsia="en-US"/>
        </w:rPr>
        <w:footnoteReference w:customMarkFollows="1" w:id="1"/>
        <w:t>*</w:t>
      </w:r>
    </w:p>
    <w:p w14:paraId="4DFBA5B5" w14:textId="77777777" w:rsidR="003E1701" w:rsidRDefault="00C8788A" w:rsidP="00C8788A">
      <w:pPr>
        <w:pStyle w:val="P00"/>
        <w:spacing w:before="72"/>
        <w:ind w:left="0" w:right="1134"/>
        <w:rPr>
          <w:rStyle w:val="default"/>
          <w:rFonts w:cs="FrankRuehl"/>
          <w:rtl/>
        </w:rPr>
      </w:pPr>
      <w:r>
        <w:rPr>
          <w:rStyle w:val="default"/>
          <w:rFonts w:cs="FrankRuehl"/>
          <w:rtl/>
        </w:rPr>
        <w:tab/>
      </w:r>
      <w:r w:rsidR="001F0ADA">
        <w:rPr>
          <w:rStyle w:val="default"/>
          <w:rFonts w:cs="FrankRuehl" w:hint="cs"/>
          <w:rtl/>
        </w:rPr>
        <w:t xml:space="preserve">בתוקף סמכותי לפי סעיף 13(ב) לחוק הפיקוח על שירותים פיננסיים (שירותים פיננסיים מוסדרים), התשע"ו-2016 (להלן </w:t>
      </w:r>
      <w:r w:rsidR="001F0ADA">
        <w:rPr>
          <w:rStyle w:val="default"/>
          <w:rFonts w:cs="FrankRuehl"/>
          <w:rtl/>
        </w:rPr>
        <w:t>–</w:t>
      </w:r>
      <w:r w:rsidR="001F0ADA">
        <w:rPr>
          <w:rStyle w:val="default"/>
          <w:rFonts w:cs="FrankRuehl" w:hint="cs"/>
          <w:rtl/>
        </w:rPr>
        <w:t xml:space="preserve"> החוק), ובאישור ועדת הכספים של הכנסת, אני מתקין תקנות אלה:</w:t>
      </w:r>
    </w:p>
    <w:p w14:paraId="4A10E174" w14:textId="77777777" w:rsidR="003E1701" w:rsidRDefault="003E1701">
      <w:pPr>
        <w:pStyle w:val="P00"/>
        <w:spacing w:before="72"/>
        <w:ind w:left="0" w:right="1134"/>
        <w:rPr>
          <w:rStyle w:val="default"/>
          <w:rFonts w:cs="FrankRuehl"/>
          <w:rtl/>
        </w:rPr>
      </w:pPr>
      <w:bookmarkStart w:id="0" w:name="Seif1"/>
      <w:bookmarkEnd w:id="0"/>
      <w:r>
        <w:rPr>
          <w:lang w:val="he-IL"/>
        </w:rPr>
        <w:pict w14:anchorId="67262E9F">
          <v:rect id="_x0000_s1026" style="position:absolute;left:0;text-align:left;margin-left:464.5pt;margin-top:8.05pt;width:75.05pt;height:13.25pt;z-index:251655680" o:allowincell="f" filled="f" stroked="f" strokecolor="lime" strokeweight=".25pt">
            <v:textbox inset="0,0,0,0">
              <w:txbxContent>
                <w:p w14:paraId="6BDD374B" w14:textId="77777777" w:rsidR="00316D86" w:rsidRDefault="00316D86">
                  <w:pPr>
                    <w:spacing w:line="160" w:lineRule="exact"/>
                    <w:jc w:val="left"/>
                    <w:rPr>
                      <w:rFonts w:cs="Miriam" w:hint="cs"/>
                      <w:noProof/>
                      <w:szCs w:val="18"/>
                      <w:rtl/>
                      <w:lang w:eastAsia="en-US"/>
                    </w:rPr>
                  </w:pPr>
                  <w:r>
                    <w:rPr>
                      <w:rFonts w:cs="Miriam" w:hint="cs"/>
                      <w:szCs w:val="18"/>
                      <w:rtl/>
                      <w:lang w:eastAsia="en-US"/>
                    </w:rPr>
                    <w:t>הגדר</w:t>
                  </w:r>
                  <w:r w:rsidR="001F0ADA">
                    <w:rPr>
                      <w:rFonts w:cs="Miriam" w:hint="cs"/>
                      <w:szCs w:val="18"/>
                      <w:rtl/>
                      <w:lang w:eastAsia="en-US"/>
                    </w:rPr>
                    <w:t>ה</w:t>
                  </w:r>
                </w:p>
              </w:txbxContent>
            </v:textbox>
            <w10:anchorlock/>
          </v:rect>
        </w:pict>
      </w:r>
      <w:r>
        <w:rPr>
          <w:rStyle w:val="big-number"/>
          <w:rtl/>
          <w:lang w:eastAsia="en-US"/>
        </w:rPr>
        <w:t>1</w:t>
      </w:r>
      <w:r>
        <w:rPr>
          <w:rStyle w:val="default"/>
          <w:rFonts w:cs="FrankRuehl"/>
          <w:rtl/>
        </w:rPr>
        <w:t>.</w:t>
      </w:r>
      <w:r>
        <w:rPr>
          <w:rStyle w:val="default"/>
          <w:rFonts w:cs="FrankRuehl"/>
          <w:rtl/>
        </w:rPr>
        <w:tab/>
      </w:r>
      <w:r w:rsidR="001D2550">
        <w:rPr>
          <w:rStyle w:val="default"/>
          <w:rFonts w:cs="FrankRuehl" w:hint="cs"/>
          <w:rtl/>
        </w:rPr>
        <w:t xml:space="preserve">בתקנות אלה </w:t>
      </w:r>
      <w:r w:rsidR="001D2550">
        <w:rPr>
          <w:rStyle w:val="default"/>
          <w:rFonts w:cs="FrankRuehl"/>
          <w:rtl/>
        </w:rPr>
        <w:t>–</w:t>
      </w:r>
    </w:p>
    <w:p w14:paraId="04A5EAAC" w14:textId="77777777" w:rsidR="001D2550" w:rsidRDefault="001D255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"אשראי צרכני" </w:t>
      </w:r>
      <w:r w:rsidR="00770F03">
        <w:rPr>
          <w:rStyle w:val="default"/>
          <w:rFonts w:cs="FrankRuehl"/>
          <w:rtl/>
        </w:rPr>
        <w:t>–</w:t>
      </w:r>
      <w:r w:rsidR="00770F03">
        <w:rPr>
          <w:rStyle w:val="default"/>
          <w:rFonts w:cs="FrankRuehl" w:hint="cs"/>
          <w:rtl/>
        </w:rPr>
        <w:t xml:space="preserve"> מתן אשראי למי שהוא צרכן כהגדרתו בחוק הגנת הצרכן, התשמ"א-1981;</w:t>
      </w:r>
    </w:p>
    <w:p w14:paraId="6C287F8E"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הבנקאות (רישוי)" </w:t>
      </w:r>
      <w:r>
        <w:rPr>
          <w:rStyle w:val="default"/>
          <w:rFonts w:cs="FrankRuehl"/>
          <w:rtl/>
        </w:rPr>
        <w:t>–</w:t>
      </w:r>
      <w:r>
        <w:rPr>
          <w:rStyle w:val="default"/>
          <w:rFonts w:cs="FrankRuehl" w:hint="cs"/>
          <w:rtl/>
        </w:rPr>
        <w:t xml:space="preserve"> חוק הבנקאות (רישוי), התשמ"א-1981;</w:t>
      </w:r>
    </w:p>
    <w:p w14:paraId="68B257D4"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14:paraId="1CE059ED"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"מיזם" </w:t>
      </w:r>
      <w:r>
        <w:rPr>
          <w:rStyle w:val="default"/>
          <w:rFonts w:cs="FrankRuehl"/>
          <w:rtl/>
        </w:rPr>
        <w:t>–</w:t>
      </w:r>
      <w:r>
        <w:rPr>
          <w:rStyle w:val="default"/>
          <w:rFonts w:cs="FrankRuehl" w:hint="cs"/>
          <w:rtl/>
        </w:rPr>
        <w:t xml:space="preserve"> התקשרות, לרבות המשך התקשרות, לביצוע פעילות כלכלית לשם הגשמתה של מטרה מוגדרת בתחום מסוים;</w:t>
      </w:r>
    </w:p>
    <w:p w14:paraId="65E6A0E1"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"נגזר", "עסקת מכר חוזר בניירות ערך" </w:t>
      </w:r>
      <w:r>
        <w:rPr>
          <w:rStyle w:val="default"/>
          <w:rFonts w:cs="FrankRuehl"/>
          <w:rtl/>
        </w:rPr>
        <w:t>–</w:t>
      </w:r>
      <w:r>
        <w:rPr>
          <w:rStyle w:val="default"/>
          <w:rFonts w:cs="FrankRuehl" w:hint="cs"/>
          <w:rtl/>
        </w:rPr>
        <w:t xml:space="preserve"> כהגדרתם בחוק הסכמים בנכסים פיננסיים, התשס"ו-2006;</w:t>
      </w:r>
    </w:p>
    <w:p w14:paraId="5BB6B207"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השותפויות" </w:t>
      </w:r>
      <w:r>
        <w:rPr>
          <w:rStyle w:val="default"/>
          <w:rFonts w:cs="FrankRuehl"/>
          <w:rtl/>
        </w:rPr>
        <w:t>–</w:t>
      </w:r>
      <w:r>
        <w:rPr>
          <w:rStyle w:val="default"/>
          <w:rFonts w:cs="FrankRuehl" w:hint="cs"/>
          <w:rtl/>
        </w:rPr>
        <w:t xml:space="preserve"> פקודת השותפויות [נוסח חדש], התשל"ה-1975;</w:t>
      </w:r>
    </w:p>
    <w:p w14:paraId="0AD88BAA"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"רשם האגודות השיתופיות" </w:t>
      </w:r>
      <w:r>
        <w:rPr>
          <w:rStyle w:val="default"/>
          <w:rFonts w:cs="FrankRuehl"/>
          <w:rtl/>
        </w:rPr>
        <w:t>–</w:t>
      </w:r>
      <w:r>
        <w:rPr>
          <w:rStyle w:val="default"/>
          <w:rFonts w:cs="FrankRuehl" w:hint="cs"/>
          <w:rtl/>
        </w:rPr>
        <w:t xml:space="preserve"> כמשמעותו בסעיף 3 לפקודת האגודות השיתופיות;</w:t>
      </w:r>
    </w:p>
    <w:p w14:paraId="3072B96C" w14:textId="77777777" w:rsidR="00770F03" w:rsidRDefault="00770F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"תפעול עסקאות אשראי" </w:t>
      </w:r>
      <w:r>
        <w:rPr>
          <w:rStyle w:val="default"/>
          <w:rFonts w:cs="FrankRuehl"/>
          <w:rtl/>
        </w:rPr>
        <w:t>–</w:t>
      </w:r>
      <w:r>
        <w:rPr>
          <w:rStyle w:val="default"/>
          <w:rFonts w:cs="FrankRuehl" w:hint="cs"/>
          <w:rtl/>
        </w:rPr>
        <w:t xml:space="preserve"> כל שירות או פעולה המבוצעים בין נותן אשראי למקבל אשראי במסגרת עסקת אשראי, לרבות גביית כספים ומענה לפניות בקשר למתן האשראי;</w:t>
      </w:r>
    </w:p>
    <w:p w14:paraId="3C4034B5" w14:textId="77777777" w:rsidR="00770F03" w:rsidRDefault="00770F0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האגודות השיתופיות" </w:t>
      </w:r>
      <w:r>
        <w:rPr>
          <w:rStyle w:val="default"/>
          <w:rFonts w:cs="FrankRuehl"/>
          <w:rtl/>
        </w:rPr>
        <w:t>–</w:t>
      </w:r>
      <w:r>
        <w:rPr>
          <w:rStyle w:val="default"/>
          <w:rFonts w:cs="FrankRuehl" w:hint="cs"/>
          <w:rtl/>
        </w:rPr>
        <w:t xml:space="preserve"> תקנות האגודות השיתופיות (סוגי אגודות), התשנ"ו-1995.</w:t>
      </w:r>
    </w:p>
    <w:p w14:paraId="0632E0BE" w14:textId="77777777" w:rsidR="003E1701" w:rsidRDefault="003E1701" w:rsidP="009913D2">
      <w:pPr>
        <w:pStyle w:val="P00"/>
        <w:spacing w:before="72"/>
        <w:ind w:left="0" w:right="1134"/>
        <w:rPr>
          <w:rStyle w:val="default"/>
          <w:rFonts w:cs="FrankRuehl"/>
          <w:rtl/>
          <w:lang w:eastAsia="en-US"/>
        </w:rPr>
      </w:pPr>
      <w:bookmarkStart w:id="1" w:name="Seif4"/>
      <w:bookmarkEnd w:id="1"/>
      <w:r>
        <w:rPr>
          <w:rFonts w:cs="Miriam"/>
          <w:szCs w:val="32"/>
          <w:rtl/>
          <w:lang w:val="he-IL"/>
        </w:rPr>
        <w:pict w14:anchorId="3ED778F3">
          <v:shapetype id="_x0000_t202" coordsize="21600,21600" o:spt="202" path="m,l,21600r21600,l21600,xe">
            <v:stroke joinstyle="miter"/>
            <v:path gradientshapeok="t" o:connecttype="rect"/>
          </v:shapetype>
          <v:shape id="_x0000_s1147" type="#_x0000_t202" style="position:absolute;left:0;text-align:left;margin-left:470.25pt;margin-top:7.1pt;width:1in;height:22.45pt;z-index:251658752" filled="f" stroked="f">
            <v:textbox inset="1mm,0,1mm,0">
              <w:txbxContent>
                <w:p w14:paraId="14B04346" w14:textId="77777777" w:rsidR="00316D86" w:rsidRDefault="00770F03">
                  <w:pPr>
                    <w:spacing w:line="160" w:lineRule="exact"/>
                    <w:jc w:val="left"/>
                    <w:rPr>
                      <w:rFonts w:cs="Miriam" w:hint="cs"/>
                      <w:szCs w:val="18"/>
                      <w:rtl/>
                      <w:lang w:eastAsia="en-US"/>
                    </w:rPr>
                  </w:pPr>
                  <w:r>
                    <w:rPr>
                      <w:rFonts w:cs="Miriam" w:hint="cs"/>
                      <w:szCs w:val="18"/>
                      <w:rtl/>
                      <w:lang w:eastAsia="en-US"/>
                    </w:rPr>
                    <w:t>פטור מחובת רישוי למתן אשראי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770F03">
        <w:rPr>
          <w:rStyle w:val="default"/>
          <w:rFonts w:cs="FrankRuehl" w:hint="cs"/>
          <w:rtl/>
          <w:lang w:eastAsia="en-US"/>
        </w:rPr>
        <w:t xml:space="preserve">חובת רישוי לפי סעיף 12 לחוק למי שעיסוקו במתן אשראי, לא תחול על אלה </w:t>
      </w:r>
      <w:r w:rsidR="00770F03">
        <w:rPr>
          <w:rStyle w:val="default"/>
          <w:rFonts w:cs="FrankRuehl"/>
          <w:rtl/>
          <w:lang w:eastAsia="en-US"/>
        </w:rPr>
        <w:t>–</w:t>
      </w:r>
      <w:r w:rsidR="00770F03">
        <w:rPr>
          <w:rStyle w:val="default"/>
          <w:rFonts w:cs="FrankRuehl" w:hint="cs"/>
          <w:rtl/>
          <w:lang w:eastAsia="en-US"/>
        </w:rPr>
        <w:t xml:space="preserve"> לעניין עיסוק כאמור:</w:t>
      </w:r>
    </w:p>
    <w:p w14:paraId="68E49C75" w14:textId="77777777" w:rsidR="00770F03" w:rsidRDefault="00770F03" w:rsidP="00770F03">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תאגיד, שהתאגד במדינה החברה בארגון ה-</w:t>
      </w:r>
      <w:r>
        <w:rPr>
          <w:rStyle w:val="default"/>
          <w:rFonts w:cs="FrankRuehl"/>
          <w:lang w:eastAsia="en-US"/>
        </w:rPr>
        <w:t>OECD</w:t>
      </w:r>
      <w:r>
        <w:rPr>
          <w:rStyle w:val="default"/>
          <w:rFonts w:cs="FrankRuehl" w:hint="cs"/>
          <w:rtl/>
          <w:lang w:eastAsia="en-US"/>
        </w:rPr>
        <w:t>, המחזיק ברישיון בנק מאת רשות פיקוח במדינה החברה בארגון ה-</w:t>
      </w:r>
      <w:r>
        <w:rPr>
          <w:rStyle w:val="default"/>
          <w:rFonts w:cs="FrankRuehl"/>
          <w:lang w:eastAsia="en-US"/>
        </w:rPr>
        <w:t>OECD</w:t>
      </w:r>
      <w:r>
        <w:rPr>
          <w:rStyle w:val="default"/>
          <w:rFonts w:cs="FrankRuehl" w:hint="cs"/>
          <w:rtl/>
          <w:lang w:eastAsia="en-US"/>
        </w:rPr>
        <w:t>, שחלות עליו הוראות לעניין איסור הלבנת הון במדינה האמורה, ובלבד שאינו חייב בקבלת רישיון לפי חוק הבנקאות (רישוי);</w:t>
      </w:r>
    </w:p>
    <w:p w14:paraId="255320A1" w14:textId="77777777" w:rsidR="00770F03" w:rsidRDefault="00770F03" w:rsidP="00770F03">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תאגיד, הנמצא בשליטת תאגיד המנוי בפסקה (1) או בשליטת בעל השליטה בתאגיד כאמור, המפוקח במדינה החברה בארגון ה-</w:t>
      </w:r>
      <w:r>
        <w:rPr>
          <w:rStyle w:val="default"/>
          <w:rFonts w:cs="FrankRuehl"/>
          <w:lang w:eastAsia="en-US"/>
        </w:rPr>
        <w:t>OECD</w:t>
      </w:r>
      <w:r>
        <w:rPr>
          <w:rStyle w:val="default"/>
          <w:rFonts w:cs="FrankRuehl" w:hint="cs"/>
          <w:rtl/>
          <w:lang w:eastAsia="en-US"/>
        </w:rPr>
        <w:t xml:space="preserve"> לעניין מתן אשראי, ושחלות עליו הוראות לעניין איסור הלבנת הון במדינה האמורה, ובלבד שאינו עוסק בישראל במתן אשראי צרכני;</w:t>
      </w:r>
    </w:p>
    <w:p w14:paraId="01177817" w14:textId="77777777" w:rsidR="00770F03" w:rsidRDefault="00770F03" w:rsidP="00770F03">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תאגיד, שהתאגד במדינה החברה בארגון ה-</w:t>
      </w:r>
      <w:r>
        <w:rPr>
          <w:rStyle w:val="default"/>
          <w:rFonts w:cs="FrankRuehl"/>
          <w:lang w:eastAsia="en-US"/>
        </w:rPr>
        <w:t>OECD</w:t>
      </w:r>
      <w:r>
        <w:rPr>
          <w:rStyle w:val="default"/>
          <w:rFonts w:cs="FrankRuehl" w:hint="cs"/>
          <w:rtl/>
          <w:lang w:eastAsia="en-US"/>
        </w:rPr>
        <w:t xml:space="preserve"> ושמחזיק ברישיון לעסוק בביטוח מאת רשות הפיקוח במדינה החברה בארגון ה-</w:t>
      </w:r>
      <w:r>
        <w:rPr>
          <w:rStyle w:val="default"/>
          <w:rFonts w:cs="FrankRuehl"/>
          <w:lang w:eastAsia="en-US"/>
        </w:rPr>
        <w:t>OECD</w:t>
      </w:r>
      <w:r>
        <w:rPr>
          <w:rStyle w:val="default"/>
          <w:rFonts w:cs="FrankRuehl" w:hint="cs"/>
          <w:rtl/>
          <w:lang w:eastAsia="en-US"/>
        </w:rPr>
        <w:t>, המפוקח במדינה החברה בארגון ה-</w:t>
      </w:r>
      <w:r>
        <w:rPr>
          <w:rStyle w:val="default"/>
          <w:rFonts w:cs="FrankRuehl"/>
          <w:lang w:eastAsia="en-US"/>
        </w:rPr>
        <w:t>OECD</w:t>
      </w:r>
      <w:r>
        <w:rPr>
          <w:rStyle w:val="default"/>
          <w:rFonts w:cs="FrankRuehl" w:hint="cs"/>
          <w:rtl/>
          <w:lang w:eastAsia="en-US"/>
        </w:rPr>
        <w:t xml:space="preserve"> לעניין מתן אשראי, ושחלות עליו הוראות לעניין איסור הלבנת הון במדינה האמורה, ובלבד שאינו עוסק בישראל במתן אשראי צרכני;</w:t>
      </w:r>
    </w:p>
    <w:p w14:paraId="7C66B549" w14:textId="77777777" w:rsidR="00770F03" w:rsidRDefault="00770F03" w:rsidP="00770F03">
      <w:pPr>
        <w:pStyle w:val="P00"/>
        <w:spacing w:before="72"/>
        <w:ind w:left="62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תאגיד שעיקר עיסוקו </w:t>
      </w:r>
      <w:r w:rsidR="005F2115">
        <w:rPr>
          <w:rStyle w:val="default"/>
          <w:rFonts w:cs="FrankRuehl" w:hint="cs"/>
          <w:rtl/>
          <w:lang w:eastAsia="en-US"/>
        </w:rPr>
        <w:t>הוא מתן שירותי מסחר בניירות ערך כהגדרתם בחוק ניירות ערך, לחשבונם של אחרים או לחשבונו העצמי, שהתאגד במדינה החברה בארגון ה-</w:t>
      </w:r>
      <w:r w:rsidR="005F2115">
        <w:rPr>
          <w:rStyle w:val="default"/>
          <w:rFonts w:cs="FrankRuehl"/>
          <w:lang w:eastAsia="en-US"/>
        </w:rPr>
        <w:t>OECD</w:t>
      </w:r>
      <w:r w:rsidR="005F2115">
        <w:rPr>
          <w:rStyle w:val="default"/>
          <w:rFonts w:cs="FrankRuehl" w:hint="cs"/>
          <w:rtl/>
          <w:lang w:eastAsia="en-US"/>
        </w:rPr>
        <w:t>, שרשות פיקוח במדינה החברה בארגון ה-</w:t>
      </w:r>
      <w:r w:rsidR="005F2115">
        <w:rPr>
          <w:rStyle w:val="default"/>
          <w:rFonts w:cs="FrankRuehl"/>
          <w:lang w:eastAsia="en-US"/>
        </w:rPr>
        <w:t>OECD</w:t>
      </w:r>
      <w:r w:rsidR="005F2115">
        <w:rPr>
          <w:rStyle w:val="default"/>
          <w:rFonts w:cs="FrankRuehl" w:hint="cs"/>
          <w:rtl/>
          <w:lang w:eastAsia="en-US"/>
        </w:rPr>
        <w:t xml:space="preserve"> מפקחת עליו ושהוא רשאי לעסוק בין השאר, במתן אשראי לצורך ביצוע פעילות המסחר כאמור;</w:t>
      </w:r>
    </w:p>
    <w:p w14:paraId="0B45B4CC" w14:textId="77777777" w:rsidR="005F2115" w:rsidRDefault="005F2115" w:rsidP="00770F03">
      <w:pPr>
        <w:pStyle w:val="P00"/>
        <w:spacing w:before="72"/>
        <w:ind w:left="624"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תאגיד שמתקיימים בו כל אלה:</w:t>
      </w:r>
    </w:p>
    <w:p w14:paraId="0C35BE1E"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בעל רישיון מורחב למתן אשראי מחזיק בכל אמצעי השליטה בו (בפסקה זו </w:t>
      </w:r>
      <w:r>
        <w:rPr>
          <w:rStyle w:val="default"/>
          <w:rFonts w:cs="FrankRuehl"/>
          <w:rtl/>
          <w:lang w:eastAsia="en-US"/>
        </w:rPr>
        <w:t>–</w:t>
      </w:r>
      <w:r>
        <w:rPr>
          <w:rStyle w:val="default"/>
          <w:rFonts w:cs="FrankRuehl" w:hint="cs"/>
          <w:rtl/>
          <w:lang w:eastAsia="en-US"/>
        </w:rPr>
        <w:t xml:space="preserve"> </w:t>
      </w:r>
      <w:r>
        <w:rPr>
          <w:rStyle w:val="default"/>
          <w:rFonts w:cs="FrankRuehl" w:hint="cs"/>
          <w:rtl/>
          <w:lang w:eastAsia="en-US"/>
        </w:rPr>
        <w:lastRenderedPageBreak/>
        <w:t>בעל השליטה), למעט אלה:</w:t>
      </w:r>
    </w:p>
    <w:p w14:paraId="04CB4DBC"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אמצעי שליטה המוחזקים בידי נאמן לתעודות התחייבות כמשמעותן בפסקת משנה (ב)(2);</w:t>
      </w:r>
    </w:p>
    <w:p w14:paraId="0671C7B1"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אמצעי שליטה המוחזקים בידי אחד מהמנויים להלן, כערובה לחיוב, לחוב שנוצר לפי פסקת משנה (ב)(2):</w:t>
      </w:r>
    </w:p>
    <w:p w14:paraId="56069316" w14:textId="77777777" w:rsidR="005F2115" w:rsidRDefault="005F2115" w:rsidP="005F2115">
      <w:pPr>
        <w:pStyle w:val="P00"/>
        <w:spacing w:before="72"/>
        <w:ind w:left="1928"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בעל רישיון מורחב למתן אשראי;</w:t>
      </w:r>
    </w:p>
    <w:p w14:paraId="55459F43" w14:textId="77777777" w:rsidR="005F2115" w:rsidRDefault="005F2115" w:rsidP="005F2115">
      <w:pPr>
        <w:pStyle w:val="P00"/>
        <w:spacing w:before="72"/>
        <w:ind w:left="1928"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מבטח כהגדרתו בחוק הפיקוח על הביטוח;</w:t>
      </w:r>
    </w:p>
    <w:p w14:paraId="6AFBB93C" w14:textId="77777777" w:rsidR="005F2115" w:rsidRDefault="005F2115" w:rsidP="005F2115">
      <w:pPr>
        <w:pStyle w:val="P00"/>
        <w:spacing w:before="72"/>
        <w:ind w:left="1928"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חברה מנהלת כהגדרתה בחוק הפיקוח על קופות גמל;</w:t>
      </w:r>
    </w:p>
    <w:p w14:paraId="55FE2237" w14:textId="77777777" w:rsidR="005F2115" w:rsidRDefault="005F2115" w:rsidP="005F2115">
      <w:pPr>
        <w:pStyle w:val="P00"/>
        <w:spacing w:before="72"/>
        <w:ind w:left="1928" w:right="1134"/>
        <w:rPr>
          <w:rStyle w:val="default"/>
          <w:rFonts w:cs="FrankRuehl"/>
          <w:rtl/>
          <w:lang w:eastAsia="en-US"/>
        </w:rPr>
      </w:pPr>
      <w:r>
        <w:rPr>
          <w:rStyle w:val="default"/>
          <w:rFonts w:cs="FrankRuehl" w:hint="cs"/>
          <w:rtl/>
          <w:lang w:eastAsia="en-US"/>
        </w:rPr>
        <w:t>(ד)</w:t>
      </w:r>
      <w:r>
        <w:rPr>
          <w:rStyle w:val="default"/>
          <w:rFonts w:cs="FrankRuehl"/>
          <w:rtl/>
          <w:lang w:eastAsia="en-US"/>
        </w:rPr>
        <w:tab/>
      </w:r>
      <w:r>
        <w:rPr>
          <w:rStyle w:val="default"/>
          <w:rFonts w:cs="FrankRuehl" w:hint="cs"/>
          <w:rtl/>
          <w:lang w:eastAsia="en-US"/>
        </w:rPr>
        <w:t>חברה מנהלת כהגדרתה בחוק הפיקוח על קופות גמל;</w:t>
      </w:r>
    </w:p>
    <w:p w14:paraId="117375B8" w14:textId="77777777" w:rsidR="005F2115" w:rsidRDefault="005F2115" w:rsidP="005F2115">
      <w:pPr>
        <w:pStyle w:val="P00"/>
        <w:spacing w:before="72"/>
        <w:ind w:left="1928" w:right="1134"/>
        <w:rPr>
          <w:rStyle w:val="default"/>
          <w:rFonts w:cs="FrankRuehl"/>
          <w:rtl/>
          <w:lang w:eastAsia="en-US"/>
        </w:rPr>
      </w:pPr>
      <w:r>
        <w:rPr>
          <w:rStyle w:val="default"/>
          <w:rFonts w:cs="FrankRuehl" w:hint="cs"/>
          <w:rtl/>
          <w:lang w:eastAsia="en-US"/>
        </w:rPr>
        <w:t>(ה)</w:t>
      </w:r>
      <w:r>
        <w:rPr>
          <w:rStyle w:val="default"/>
          <w:rFonts w:cs="FrankRuehl"/>
          <w:rtl/>
          <w:lang w:eastAsia="en-US"/>
        </w:rPr>
        <w:tab/>
      </w:r>
      <w:r>
        <w:rPr>
          <w:rStyle w:val="default"/>
          <w:rFonts w:cs="FrankRuehl" w:hint="cs"/>
          <w:rtl/>
          <w:lang w:eastAsia="en-US"/>
        </w:rPr>
        <w:t>נאמן לתעודות התחייבות כמשמעותן בפסקת משנה (ב)(2);</w:t>
      </w:r>
    </w:p>
    <w:p w14:paraId="1577D03D"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הוא עוסק בשני אלה בלבד:</w:t>
      </w:r>
    </w:p>
    <w:p w14:paraId="307C7713"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רכישת עסקאות אשראי שעשה בעל השליטה, מאת בעל השליטה;</w:t>
      </w:r>
    </w:p>
    <w:p w14:paraId="31F0CF3F"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גיוס חוב באמצעות הסכמי הלוואה, או הנפקת תעודות התחייבות כהגדרתן בסעיף 35א לחוק ניירות ערך, ובלבד שסכום הערך הנקוב של תעודות ההתחייבות, שהנפיקו התאגיד, בעל השליטה ותאגידים דומים אחרים שבשליטתו, לא יעלה על התקרה כמשמעותה בפסקה (8)(א) בהגדרת "מתן אשראי" בסעיף 21(ב) לחוק הבנקאות (רישוי);</w:t>
      </w:r>
    </w:p>
    <w:p w14:paraId="7E4B7854"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בעל השליטה עוסק בתפעול עסקאות האשראי האמורות בפסקת משנה (ב)(1) או מתפעל אחר שהוא בעל רישיון מורחב למתן אשראי; על בעל שליטה כאמור יחולו לעניין זה כל הוראות החוק, כאילו הוא נותן האשראי בקשר לעסקאות האמורות;</w:t>
      </w:r>
    </w:p>
    <w:p w14:paraId="3054238E" w14:textId="77777777" w:rsidR="005F2115" w:rsidRDefault="005F2115" w:rsidP="005F2115">
      <w:pPr>
        <w:pStyle w:val="P00"/>
        <w:spacing w:before="72"/>
        <w:ind w:left="624"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שותפות כהגדרתה בפקודת השותפויות, או שותפות חוץ כהגדרתה בסעיף 74 לפקודה האמורה, שמתקיימים בה כל אלה:</w:t>
      </w:r>
    </w:p>
    <w:p w14:paraId="26E4CDF0"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היא הוקמה לצורך השקעה במיזם מסוים והיא עוסקת במיזם זה בלבד;</w:t>
      </w:r>
    </w:p>
    <w:p w14:paraId="32BD3160"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השותף הכללי בשותפות הוא בעל רישיון מורחב למתן אשראי; לעניין זה, "שותף כללי" </w:t>
      </w:r>
      <w:r>
        <w:rPr>
          <w:rStyle w:val="default"/>
          <w:rFonts w:cs="FrankRuehl"/>
          <w:rtl/>
          <w:lang w:eastAsia="en-US"/>
        </w:rPr>
        <w:t>–</w:t>
      </w:r>
      <w:r>
        <w:rPr>
          <w:rStyle w:val="default"/>
          <w:rFonts w:cs="FrankRuehl" w:hint="cs"/>
          <w:rtl/>
          <w:lang w:eastAsia="en-US"/>
        </w:rPr>
        <w:t xml:space="preserve"> כהגדרתו בפקודת השותפויות;</w:t>
      </w:r>
    </w:p>
    <w:p w14:paraId="1F1C0AC4"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השותף הכללי עוסק בתפעול עסקאות האשראי, או מתפעל אחר שהוא בעל רישיון מורחב למתן אשראי; על השותף הכללי כאמור יחולו לעניין זה כל הוראות החוק, כאילו הוא נותן האשראי בקשר לעסקאות האמורות;</w:t>
      </w:r>
    </w:p>
    <w:p w14:paraId="11D5C158" w14:textId="77777777" w:rsidR="005F2115" w:rsidRDefault="005F2115" w:rsidP="005F2115">
      <w:pPr>
        <w:pStyle w:val="P00"/>
        <w:spacing w:before="72"/>
        <w:ind w:left="624" w:right="1134"/>
        <w:rPr>
          <w:rStyle w:val="default"/>
          <w:rFonts w:cs="FrankRuehl"/>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תאגיד שמתקיימים בו כל אלה:</w:t>
      </w:r>
    </w:p>
    <w:p w14:paraId="50671307"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הוא משמש אך ורק לצורך גיוס כספים מאת משקיעים, והשקעתם במיזם מסוים ובמיזם זה בלבד;</w:t>
      </w:r>
    </w:p>
    <w:p w14:paraId="1D51C704"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בעל רישיון מורחב למתן אשראי מחזיק בכל אמצעי השליטה בו (בתקנת משנה זו </w:t>
      </w:r>
      <w:r>
        <w:rPr>
          <w:rStyle w:val="default"/>
          <w:rFonts w:cs="FrankRuehl"/>
          <w:rtl/>
          <w:lang w:eastAsia="en-US"/>
        </w:rPr>
        <w:t>–</w:t>
      </w:r>
      <w:r>
        <w:rPr>
          <w:rStyle w:val="default"/>
          <w:rFonts w:cs="FrankRuehl" w:hint="cs"/>
          <w:rtl/>
          <w:lang w:eastAsia="en-US"/>
        </w:rPr>
        <w:t xml:space="preserve"> בעל השליטה), למעט אמצעי שליטה המוחזקים בידי אחד מהמנויים להלן, כערובה לחיוב:</w:t>
      </w:r>
    </w:p>
    <w:p w14:paraId="654CA544"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בעל רישיון מורחב למתן אשראי;</w:t>
      </w:r>
    </w:p>
    <w:p w14:paraId="486D001D"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מבטח כהגדרתו בחוק הפיקוח על הביטוח;</w:t>
      </w:r>
    </w:p>
    <w:p w14:paraId="18AA2D48"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חברה מנהלת כהגדרתה בחוק הפיקוח על קופות גמל;</w:t>
      </w:r>
    </w:p>
    <w:p w14:paraId="5397E757" w14:textId="77777777" w:rsidR="005F2115" w:rsidRDefault="005F2115" w:rsidP="005F2115">
      <w:pPr>
        <w:pStyle w:val="P00"/>
        <w:spacing w:before="72"/>
        <w:ind w:left="147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תאגיד בנקאי ותאגיד עזר כהגדרתם בחוק הבנקאות (רישוי);</w:t>
      </w:r>
    </w:p>
    <w:p w14:paraId="0592D9B0"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בעל השליטה עוסק בתפעול עסקאות האשראי שמבצע התאגיד או מתפעל אחר שהוא בעל רישיון מורחב למתן אשראי; על בעל שליטה כאמור יחולו לעניין זה כל הוראות החוק, כאילו הוא נותן האשראי בקשר לעסקאות האמורות;</w:t>
      </w:r>
    </w:p>
    <w:p w14:paraId="6DB5E9AF" w14:textId="77777777" w:rsidR="005F2115" w:rsidRDefault="005F2115" w:rsidP="005F2115">
      <w:pPr>
        <w:pStyle w:val="P00"/>
        <w:spacing w:before="72"/>
        <w:ind w:left="624" w:right="1134"/>
        <w:rPr>
          <w:rStyle w:val="default"/>
          <w:rFonts w:cs="FrankRuehl"/>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 xml:space="preserve">תאגיד העוסק במתן אשראי לתאגידים עסקיים בלבד </w:t>
      </w:r>
      <w:r>
        <w:rPr>
          <w:rStyle w:val="default"/>
          <w:rFonts w:cs="FrankRuehl"/>
          <w:rtl/>
          <w:lang w:eastAsia="en-US"/>
        </w:rPr>
        <w:t>–</w:t>
      </w:r>
      <w:r>
        <w:rPr>
          <w:rStyle w:val="default"/>
          <w:rFonts w:cs="FrankRuehl" w:hint="cs"/>
          <w:rtl/>
          <w:lang w:eastAsia="en-US"/>
        </w:rPr>
        <w:t xml:space="preserve"> לעניין מתן אשראי כאמור, שמתקיימים בתאגיד כל אלה:</w:t>
      </w:r>
    </w:p>
    <w:p w14:paraId="76D2D9FA"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סך כל האשראי שנותן התאגיד בעסקת אשראי בודדת לא פחת מ-3 מיליון שקלים חדשים;</w:t>
      </w:r>
    </w:p>
    <w:p w14:paraId="12015252" w14:textId="77777777" w:rsidR="005F2115" w:rsidRDefault="005F2115" w:rsidP="005F211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התאגיד מקבל האשראי אינו קבוצת רכישה;</w:t>
      </w:r>
    </w:p>
    <w:p w14:paraId="57BFC910" w14:textId="77777777" w:rsidR="005F2115" w:rsidRDefault="005F2115" w:rsidP="009A3F69">
      <w:pPr>
        <w:pStyle w:val="P00"/>
        <w:spacing w:before="72"/>
        <w:ind w:left="624" w:right="1134"/>
        <w:rPr>
          <w:rStyle w:val="default"/>
          <w:rFonts w:cs="FrankRuehl"/>
          <w:rtl/>
          <w:lang w:eastAsia="en-US"/>
        </w:rPr>
      </w:pPr>
      <w:r>
        <w:rPr>
          <w:rStyle w:val="default"/>
          <w:rFonts w:cs="FrankRuehl" w:hint="cs"/>
          <w:rtl/>
          <w:lang w:eastAsia="en-US"/>
        </w:rPr>
        <w:t xml:space="preserve">בפסקה זו </w:t>
      </w:r>
      <w:r w:rsidR="009A3F69">
        <w:rPr>
          <w:rStyle w:val="default"/>
          <w:rFonts w:cs="FrankRuehl"/>
          <w:rtl/>
          <w:lang w:eastAsia="en-US"/>
        </w:rPr>
        <w:t>–</w:t>
      </w:r>
    </w:p>
    <w:p w14:paraId="73914A45" w14:textId="77777777" w:rsidR="009A3F69" w:rsidRDefault="009A3F69" w:rsidP="009A3F69">
      <w:pPr>
        <w:pStyle w:val="P00"/>
        <w:spacing w:before="72"/>
        <w:ind w:left="624" w:right="1134"/>
        <w:rPr>
          <w:rStyle w:val="default"/>
          <w:rFonts w:cs="FrankRuehl"/>
          <w:rtl/>
          <w:lang w:eastAsia="en-US"/>
        </w:rPr>
      </w:pPr>
      <w:r>
        <w:rPr>
          <w:rStyle w:val="default"/>
          <w:rFonts w:cs="FrankRuehl" w:hint="cs"/>
          <w:rtl/>
          <w:lang w:eastAsia="en-US"/>
        </w:rPr>
        <w:t xml:space="preserve">"גורם מארגן" </w:t>
      </w:r>
      <w:r>
        <w:rPr>
          <w:rStyle w:val="default"/>
          <w:rFonts w:cs="FrankRuehl"/>
          <w:rtl/>
          <w:lang w:eastAsia="en-US"/>
        </w:rPr>
        <w:t>–</w:t>
      </w:r>
      <w:r>
        <w:rPr>
          <w:rStyle w:val="default"/>
          <w:rFonts w:cs="FrankRuehl" w:hint="cs"/>
          <w:rtl/>
          <w:lang w:eastAsia="en-US"/>
        </w:rPr>
        <w:t xml:space="preserve"> מי שפועל בעצמו או באמצעות אחר לארגון קבוצת הרוכשים לצורך הרכישה, לרבות הכנת המסגרת החוזית;</w:t>
      </w:r>
    </w:p>
    <w:p w14:paraId="27DB22A4" w14:textId="77777777" w:rsidR="009A3F69" w:rsidRDefault="005F3F8B" w:rsidP="009A3F69">
      <w:pPr>
        <w:pStyle w:val="P00"/>
        <w:spacing w:before="72"/>
        <w:ind w:left="624" w:right="1134"/>
        <w:rPr>
          <w:rStyle w:val="default"/>
          <w:rFonts w:cs="FrankRuehl"/>
          <w:rtl/>
          <w:lang w:eastAsia="en-US"/>
        </w:rPr>
      </w:pPr>
      <w:r>
        <w:rPr>
          <w:rStyle w:val="default"/>
          <w:rFonts w:cs="FrankRuehl" w:hint="cs"/>
          <w:rtl/>
          <w:lang w:eastAsia="en-US"/>
        </w:rPr>
        <w:t xml:space="preserve">"קבוצת רכישה" </w:t>
      </w:r>
      <w:r>
        <w:rPr>
          <w:rStyle w:val="default"/>
          <w:rFonts w:cs="FrankRuehl"/>
          <w:rtl/>
          <w:lang w:eastAsia="en-US"/>
        </w:rPr>
        <w:t>–</w:t>
      </w:r>
      <w:r>
        <w:rPr>
          <w:rStyle w:val="default"/>
          <w:rFonts w:cs="FrankRuehl" w:hint="cs"/>
          <w:rtl/>
          <w:lang w:eastAsia="en-US"/>
        </w:rPr>
        <w:t xml:space="preserve"> קבוצת רוכשים המתארגנת לרכישת נכס או שירות, או זכות לאחד מאלה, באמצעות גורם מארגן, ובלבד שהרוכשים בקבוצה מחויבים למסגרת חוזית;</w:t>
      </w:r>
    </w:p>
    <w:p w14:paraId="1CCCC4DF" w14:textId="77777777" w:rsidR="005F3F8B" w:rsidRDefault="005F3F8B" w:rsidP="009A3F69">
      <w:pPr>
        <w:pStyle w:val="P00"/>
        <w:spacing w:before="72"/>
        <w:ind w:left="624" w:right="1134"/>
        <w:rPr>
          <w:rStyle w:val="default"/>
          <w:rFonts w:cs="FrankRuehl"/>
          <w:rtl/>
          <w:lang w:eastAsia="en-US"/>
        </w:rPr>
      </w:pPr>
      <w:r>
        <w:rPr>
          <w:rStyle w:val="default"/>
          <w:rFonts w:cs="FrankRuehl" w:hint="cs"/>
          <w:rtl/>
          <w:lang w:eastAsia="en-US"/>
        </w:rPr>
        <w:t xml:space="preserve">"תאגיד עסקי" </w:t>
      </w:r>
      <w:r>
        <w:rPr>
          <w:rStyle w:val="default"/>
          <w:rFonts w:cs="FrankRuehl"/>
          <w:rtl/>
          <w:lang w:eastAsia="en-US"/>
        </w:rPr>
        <w:t>–</w:t>
      </w:r>
      <w:r>
        <w:rPr>
          <w:rStyle w:val="default"/>
          <w:rFonts w:cs="FrankRuehl" w:hint="cs"/>
          <w:rtl/>
          <w:lang w:eastAsia="en-US"/>
        </w:rPr>
        <w:t xml:space="preserve"> תאגיד שאינו מוסד ללא כוונת רווח כהגדרתו בחוק מס ערך מוסף, </w:t>
      </w:r>
      <w:r w:rsidR="00DF5A46">
        <w:rPr>
          <w:rStyle w:val="default"/>
          <w:rFonts w:cs="FrankRuehl" w:hint="cs"/>
          <w:rtl/>
          <w:lang w:eastAsia="en-US"/>
        </w:rPr>
        <w:t>התשל"ו-1975;</w:t>
      </w:r>
    </w:p>
    <w:p w14:paraId="76A969F0" w14:textId="77777777" w:rsidR="00DF5A46" w:rsidRDefault="00DF5A46" w:rsidP="009A3F69">
      <w:pPr>
        <w:pStyle w:val="P00"/>
        <w:spacing w:before="72"/>
        <w:ind w:left="624" w:right="1134"/>
        <w:rPr>
          <w:rStyle w:val="default"/>
          <w:rFonts w:cs="FrankRuehl"/>
          <w:rtl/>
          <w:lang w:eastAsia="en-US"/>
        </w:rPr>
      </w:pPr>
      <w:r>
        <w:rPr>
          <w:rStyle w:val="default"/>
          <w:rFonts w:cs="FrankRuehl" w:hint="cs"/>
          <w:rtl/>
          <w:lang w:eastAsia="en-US"/>
        </w:rPr>
        <w:t>(9)</w:t>
      </w:r>
      <w:r>
        <w:rPr>
          <w:rStyle w:val="default"/>
          <w:rFonts w:cs="FrankRuehl"/>
          <w:rtl/>
          <w:lang w:eastAsia="en-US"/>
        </w:rPr>
        <w:tab/>
      </w:r>
      <w:r>
        <w:rPr>
          <w:rStyle w:val="default"/>
          <w:rFonts w:cs="FrankRuehl" w:hint="cs"/>
          <w:rtl/>
          <w:lang w:eastAsia="en-US"/>
        </w:rPr>
        <w:t xml:space="preserve">מי שעיסוקו במתן אשראי לתאגידים, שעיקר עיסוקם הוא במחקר ופיתוח או ייצור של מוצרים או תהליכים חדשניים ועתירי ידע, ושהסיכון בהשקעה בהם גבוה מהמקובל בהשקעות אחרות </w:t>
      </w:r>
      <w:r>
        <w:rPr>
          <w:rStyle w:val="default"/>
          <w:rFonts w:cs="FrankRuehl"/>
          <w:rtl/>
          <w:lang w:eastAsia="en-US"/>
        </w:rPr>
        <w:t>–</w:t>
      </w:r>
      <w:r>
        <w:rPr>
          <w:rStyle w:val="default"/>
          <w:rFonts w:cs="FrankRuehl" w:hint="cs"/>
          <w:rtl/>
          <w:lang w:eastAsia="en-US"/>
        </w:rPr>
        <w:t xml:space="preserve"> לעניין מתן אשראי לתאגידים כאמור;</w:t>
      </w:r>
    </w:p>
    <w:p w14:paraId="5C520E9A" w14:textId="77777777" w:rsidR="00DF5A46" w:rsidRDefault="00DF5A46" w:rsidP="009A3F69">
      <w:pPr>
        <w:pStyle w:val="P00"/>
        <w:spacing w:before="72"/>
        <w:ind w:left="624" w:right="1134"/>
        <w:rPr>
          <w:rStyle w:val="default"/>
          <w:rFonts w:cs="FrankRuehl"/>
          <w:rtl/>
          <w:lang w:eastAsia="en-US"/>
        </w:rPr>
      </w:pPr>
      <w:r>
        <w:rPr>
          <w:rStyle w:val="default"/>
          <w:rFonts w:cs="FrankRuehl" w:hint="cs"/>
          <w:rtl/>
          <w:lang w:eastAsia="en-US"/>
        </w:rPr>
        <w:t>(10)</w:t>
      </w:r>
      <w:r>
        <w:rPr>
          <w:rStyle w:val="default"/>
          <w:rFonts w:cs="FrankRuehl"/>
          <w:rtl/>
          <w:lang w:eastAsia="en-US"/>
        </w:rPr>
        <w:tab/>
      </w:r>
      <w:r>
        <w:rPr>
          <w:rStyle w:val="default"/>
          <w:rFonts w:cs="FrankRuehl" w:hint="cs"/>
          <w:rtl/>
          <w:lang w:eastAsia="en-US"/>
        </w:rPr>
        <w:t>אגודה, שרשם האגודות השיתופיות סיווג בהתאם לתקנות האגודות השיתופיות, בסיווג של מושב עובדים או כפר שיתופי, לעניין מתן אשראי לחבריה או לתאגידים שבשליטתה;</w:t>
      </w:r>
    </w:p>
    <w:p w14:paraId="530711DF" w14:textId="77777777" w:rsidR="00DF5A46" w:rsidRDefault="00DF5A46" w:rsidP="009A3F69">
      <w:pPr>
        <w:pStyle w:val="P00"/>
        <w:spacing w:before="72"/>
        <w:ind w:left="624" w:right="1134"/>
        <w:rPr>
          <w:rStyle w:val="default"/>
          <w:rFonts w:cs="FrankRuehl"/>
          <w:rtl/>
          <w:lang w:eastAsia="en-US"/>
        </w:rPr>
      </w:pPr>
      <w:r>
        <w:rPr>
          <w:rStyle w:val="default"/>
          <w:rFonts w:cs="FrankRuehl" w:hint="cs"/>
          <w:rtl/>
          <w:lang w:eastAsia="en-US"/>
        </w:rPr>
        <w:t>(11)</w:t>
      </w:r>
      <w:r>
        <w:rPr>
          <w:rStyle w:val="default"/>
          <w:rFonts w:cs="FrankRuehl"/>
          <w:rtl/>
          <w:lang w:eastAsia="en-US"/>
        </w:rPr>
        <w:tab/>
      </w:r>
      <w:r w:rsidR="007346F5">
        <w:rPr>
          <w:rStyle w:val="default"/>
          <w:rFonts w:cs="FrankRuehl" w:hint="cs"/>
          <w:rtl/>
          <w:lang w:eastAsia="en-US"/>
        </w:rPr>
        <w:t>אגודה שכל חבריה הם גופים כמפורט להלן, לעניין מתן אשראי לחבריה, לחברי חבריה או לתאגידים שבשליטת חבריה:</w:t>
      </w:r>
    </w:p>
    <w:p w14:paraId="51456F61" w14:textId="77777777" w:rsidR="007346F5" w:rsidRDefault="007346F5" w:rsidP="007346F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אגודה להתיישבות, כהגדרתה בסעיף 13(א)(17) לחוק;</w:t>
      </w:r>
    </w:p>
    <w:p w14:paraId="6FCEAE22" w14:textId="77777777" w:rsidR="007346F5" w:rsidRDefault="007346F5" w:rsidP="007346F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אגודה שרשם האגודות השיתופיות סיווג לפי תקנות האגודות השיתופיות בסיווג של מושב עובדים, כפר שיתופי או אגודה חקלאית;</w:t>
      </w:r>
    </w:p>
    <w:p w14:paraId="66FB3CA5" w14:textId="77777777" w:rsidR="007346F5" w:rsidRDefault="007346F5" w:rsidP="007346F5">
      <w:pPr>
        <w:pStyle w:val="P00"/>
        <w:spacing w:before="72"/>
        <w:ind w:left="1021"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תאגיד בשליטתה המלאה של אגודה כאמור בפסקה (א) או בפסקה (ב);</w:t>
      </w:r>
    </w:p>
    <w:p w14:paraId="4F526E2B" w14:textId="77777777" w:rsidR="007346F5" w:rsidRDefault="007346F5" w:rsidP="007346F5">
      <w:pPr>
        <w:pStyle w:val="P00"/>
        <w:spacing w:before="72"/>
        <w:ind w:left="624" w:right="1134"/>
        <w:rPr>
          <w:rStyle w:val="default"/>
          <w:rFonts w:cs="FrankRuehl"/>
          <w:rtl/>
          <w:lang w:eastAsia="en-US"/>
        </w:rPr>
      </w:pPr>
      <w:r>
        <w:rPr>
          <w:rStyle w:val="default"/>
          <w:rFonts w:cs="FrankRuehl" w:hint="cs"/>
          <w:rtl/>
          <w:lang w:eastAsia="en-US"/>
        </w:rPr>
        <w:t>(12)</w:t>
      </w:r>
      <w:r>
        <w:rPr>
          <w:rStyle w:val="default"/>
          <w:rFonts w:cs="FrankRuehl"/>
          <w:rtl/>
          <w:lang w:eastAsia="en-US"/>
        </w:rPr>
        <w:tab/>
      </w:r>
      <w:r>
        <w:rPr>
          <w:rStyle w:val="default"/>
          <w:rFonts w:cs="FrankRuehl" w:hint="cs"/>
          <w:rtl/>
          <w:lang w:eastAsia="en-US"/>
        </w:rPr>
        <w:t xml:space="preserve">תאגיד שכל אמצעי השליטה בו מוחזקים על ידי אגודה, שחבריה הם אגודות שרשם האגודות השיתופיות סיווג, לפי תקנות האגודות השיתופיות, בסיווג של קיבוץ שיתופי, קיבוץ מתחדש, מושב שיתופי, מושב עובדים, כפר שיתופי או אגודה חקלאית </w:t>
      </w:r>
      <w:r>
        <w:rPr>
          <w:rStyle w:val="default"/>
          <w:rFonts w:cs="FrankRuehl"/>
          <w:rtl/>
          <w:lang w:eastAsia="en-US"/>
        </w:rPr>
        <w:t>–</w:t>
      </w:r>
      <w:r>
        <w:rPr>
          <w:rStyle w:val="default"/>
          <w:rFonts w:cs="FrankRuehl" w:hint="cs"/>
          <w:rtl/>
          <w:lang w:eastAsia="en-US"/>
        </w:rPr>
        <w:t xml:space="preserve"> לעניין מתן אשראי לחברי האגודה או לתאגידים שבשליטתם;</w:t>
      </w:r>
    </w:p>
    <w:p w14:paraId="28593480" w14:textId="77777777" w:rsidR="007346F5" w:rsidRDefault="007346F5" w:rsidP="007346F5">
      <w:pPr>
        <w:pStyle w:val="P00"/>
        <w:spacing w:before="72"/>
        <w:ind w:left="624" w:right="1134"/>
        <w:rPr>
          <w:rStyle w:val="default"/>
          <w:rFonts w:cs="FrankRuehl"/>
          <w:rtl/>
          <w:lang w:eastAsia="en-US"/>
        </w:rPr>
      </w:pPr>
      <w:r>
        <w:rPr>
          <w:rStyle w:val="default"/>
          <w:rFonts w:cs="FrankRuehl" w:hint="cs"/>
          <w:rtl/>
          <w:lang w:eastAsia="en-US"/>
        </w:rPr>
        <w:t>(13)</w:t>
      </w:r>
      <w:r>
        <w:rPr>
          <w:rStyle w:val="default"/>
          <w:rFonts w:cs="FrankRuehl"/>
          <w:rtl/>
          <w:lang w:eastAsia="en-US"/>
        </w:rPr>
        <w:tab/>
      </w:r>
      <w:r>
        <w:rPr>
          <w:rStyle w:val="default"/>
          <w:rFonts w:cs="FrankRuehl" w:hint="cs"/>
          <w:rtl/>
          <w:lang w:eastAsia="en-US"/>
        </w:rPr>
        <w:t xml:space="preserve">חברה לתועלת הציבור, </w:t>
      </w:r>
      <w:r w:rsidR="00EA14D2">
        <w:rPr>
          <w:rStyle w:val="default"/>
          <w:rFonts w:cs="FrankRuehl" w:hint="cs"/>
          <w:rtl/>
          <w:lang w:eastAsia="en-US"/>
        </w:rPr>
        <w:t xml:space="preserve">אשר הוקמה עד יום ז' בסיוון התשע"ז (1 ביוני 2017) ושתנועה קיבוצית כמשמעותה בתקנה 2(15) לתקנות האגודות השיתופיות, מחזיקה בכל אמצעי השליטה בה, בין במישרין ובין בידי תאגידים הנמצאים בשליטה מלאה של תנועה קיבוצית כאמור </w:t>
      </w:r>
      <w:r w:rsidR="00EA14D2">
        <w:rPr>
          <w:rStyle w:val="default"/>
          <w:rFonts w:cs="FrankRuehl"/>
          <w:rtl/>
          <w:lang w:eastAsia="en-US"/>
        </w:rPr>
        <w:t>–</w:t>
      </w:r>
      <w:r w:rsidR="00EA14D2">
        <w:rPr>
          <w:rStyle w:val="default"/>
          <w:rFonts w:cs="FrankRuehl" w:hint="cs"/>
          <w:rtl/>
          <w:lang w:eastAsia="en-US"/>
        </w:rPr>
        <w:t xml:space="preserve"> לעניין מתן אשראי לתאגידים שבשליטת התנועה הקיבוצית, לחברי התנועה הקיבוצית ולתאגידים שבשליטתם, ולחברי חבריה של התנועה הקיבוצית;</w:t>
      </w:r>
    </w:p>
    <w:p w14:paraId="013FD3EB" w14:textId="77777777" w:rsidR="00EA14D2" w:rsidRDefault="00EA14D2" w:rsidP="007346F5">
      <w:pPr>
        <w:pStyle w:val="P00"/>
        <w:spacing w:before="72"/>
        <w:ind w:left="624" w:right="1134"/>
        <w:rPr>
          <w:rStyle w:val="default"/>
          <w:rFonts w:cs="FrankRuehl"/>
          <w:rtl/>
          <w:lang w:eastAsia="en-US"/>
        </w:rPr>
      </w:pPr>
      <w:r>
        <w:rPr>
          <w:rStyle w:val="default"/>
          <w:rFonts w:cs="FrankRuehl" w:hint="cs"/>
          <w:rtl/>
          <w:lang w:eastAsia="en-US"/>
        </w:rPr>
        <w:t>(14)</w:t>
      </w:r>
      <w:r>
        <w:rPr>
          <w:rStyle w:val="default"/>
          <w:rFonts w:cs="FrankRuehl"/>
          <w:rtl/>
          <w:lang w:eastAsia="en-US"/>
        </w:rPr>
        <w:tab/>
      </w:r>
      <w:r>
        <w:rPr>
          <w:rStyle w:val="default"/>
          <w:rFonts w:cs="FrankRuehl" w:hint="cs"/>
          <w:rtl/>
          <w:lang w:eastAsia="en-US"/>
        </w:rPr>
        <w:t>תאגיד שאגודה להתיישבות כהגדרתה בסעיף 13(א)(17) לחוק, או אגודה כאמור בפסקה (10), מחזיקה בכל אמצעי השליטה בו, לעניין מתן אשראי לחברי האגודה או לתאגידים שבשליטתם;</w:t>
      </w:r>
    </w:p>
    <w:p w14:paraId="08B18171" w14:textId="77777777" w:rsidR="00EA14D2" w:rsidRDefault="00EA14D2" w:rsidP="007346F5">
      <w:pPr>
        <w:pStyle w:val="P00"/>
        <w:spacing w:before="72"/>
        <w:ind w:left="624" w:right="1134"/>
        <w:rPr>
          <w:rStyle w:val="default"/>
          <w:rFonts w:cs="FrankRuehl" w:hint="cs"/>
          <w:rtl/>
          <w:lang w:eastAsia="en-US"/>
        </w:rPr>
      </w:pPr>
      <w:r>
        <w:rPr>
          <w:rStyle w:val="default"/>
          <w:rFonts w:cs="FrankRuehl" w:hint="cs"/>
          <w:rtl/>
          <w:lang w:eastAsia="en-US"/>
        </w:rPr>
        <w:t>(15)</w:t>
      </w:r>
      <w:r>
        <w:rPr>
          <w:rStyle w:val="default"/>
          <w:rFonts w:cs="FrankRuehl"/>
          <w:rtl/>
          <w:lang w:eastAsia="en-US"/>
        </w:rPr>
        <w:tab/>
      </w:r>
      <w:r>
        <w:rPr>
          <w:rStyle w:val="default"/>
          <w:rFonts w:cs="FrankRuehl" w:hint="cs"/>
          <w:rtl/>
          <w:lang w:eastAsia="en-US"/>
        </w:rPr>
        <w:t>מי שעיסוקו בעסקאות נגזרים או בעסקאות מכר חוזר בניירות ערך, לעניין מתן אשראי אגב העסקאות האמורות.</w:t>
      </w:r>
    </w:p>
    <w:p w14:paraId="1CBF7FD4" w14:textId="77777777" w:rsidR="003E1701" w:rsidRDefault="003E1701" w:rsidP="00E9713D">
      <w:pPr>
        <w:pStyle w:val="P00"/>
        <w:spacing w:before="72"/>
        <w:ind w:left="0" w:right="1134"/>
        <w:rPr>
          <w:rStyle w:val="default"/>
          <w:rFonts w:cs="FrankRuehl"/>
          <w:rtl/>
          <w:lang w:eastAsia="en-US"/>
        </w:rPr>
      </w:pPr>
      <w:bookmarkStart w:id="2" w:name="Seif2"/>
      <w:bookmarkEnd w:id="2"/>
      <w:r>
        <w:rPr>
          <w:rFonts w:cs="Miriam"/>
          <w:szCs w:val="32"/>
          <w:rtl/>
          <w:lang w:val="he-IL"/>
        </w:rPr>
        <w:pict w14:anchorId="6B47DE49">
          <v:shape id="_x0000_s1141" type="#_x0000_t202" style="position:absolute;left:0;text-align:left;margin-left:470.25pt;margin-top:6.55pt;width:1in;height:26.3pt;z-index:251656704" filled="f" stroked="f">
            <v:textbox inset="1mm,0,1mm,0">
              <w:txbxContent>
                <w:p w14:paraId="3FE2891A" w14:textId="77777777" w:rsidR="00316D86" w:rsidRDefault="003714A5">
                  <w:pPr>
                    <w:spacing w:line="160" w:lineRule="exact"/>
                    <w:jc w:val="left"/>
                    <w:rPr>
                      <w:rFonts w:cs="Miriam"/>
                      <w:szCs w:val="18"/>
                      <w:rtl/>
                      <w:lang w:eastAsia="en-US"/>
                    </w:rPr>
                  </w:pPr>
                  <w:r>
                    <w:rPr>
                      <w:rFonts w:cs="Miriam" w:hint="cs"/>
                      <w:szCs w:val="18"/>
                      <w:rtl/>
                      <w:lang w:eastAsia="en-US"/>
                    </w:rPr>
                    <w:t>פטור מחובת רישוי למתן שירות בנכס פיננסי</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714A5">
        <w:rPr>
          <w:rStyle w:val="default"/>
          <w:rFonts w:cs="FrankRuehl" w:hint="cs"/>
          <w:rtl/>
          <w:lang w:eastAsia="en-US"/>
        </w:rPr>
        <w:t xml:space="preserve">חובת רישוי לפי סעיף 12 לחוק למי שעיסוקו במתן שירות בנכס פיננסי, לא תחול על אלה </w:t>
      </w:r>
      <w:r w:rsidR="003714A5">
        <w:rPr>
          <w:rStyle w:val="default"/>
          <w:rFonts w:cs="FrankRuehl"/>
          <w:rtl/>
          <w:lang w:eastAsia="en-US"/>
        </w:rPr>
        <w:t>–</w:t>
      </w:r>
      <w:r w:rsidR="003714A5">
        <w:rPr>
          <w:rStyle w:val="default"/>
          <w:rFonts w:cs="FrankRuehl" w:hint="cs"/>
          <w:rtl/>
          <w:lang w:eastAsia="en-US"/>
        </w:rPr>
        <w:t xml:space="preserve"> לעניין עיסוק כאמור</w:t>
      </w:r>
      <w:r>
        <w:rPr>
          <w:rStyle w:val="default"/>
          <w:rFonts w:cs="FrankRuehl"/>
          <w:rtl/>
          <w:lang w:eastAsia="en-US"/>
        </w:rPr>
        <w:t>:</w:t>
      </w:r>
    </w:p>
    <w:p w14:paraId="7997BAB2" w14:textId="77777777" w:rsidR="003714A5" w:rsidRDefault="003714A5" w:rsidP="003714A5">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תאגיד כאמור בתקנה 2(1) או 2(2);</w:t>
      </w:r>
    </w:p>
    <w:p w14:paraId="4CE23C95" w14:textId="77777777" w:rsidR="003714A5" w:rsidRDefault="003714A5" w:rsidP="003714A5">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סוכן ביטוח כהגדרתו בחוק הפיקוח על שירותים פיננסיים (ביטוח), התשמ"א-1981, לעניין החזקת כספים שגבה ממבוטחים בחשבון נפרד, שינהל כנאמן של מבטח כהגדרתו בחוק האמור, בהתאם להוראות שניתנו לפי סעיף 30(1) לחוק האמור;</w:t>
      </w:r>
    </w:p>
    <w:p w14:paraId="1E3AF061" w14:textId="77777777" w:rsidR="003714A5" w:rsidRDefault="003714A5" w:rsidP="003714A5">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מי שעוסק במתן שירותי תפעול כהגדרתם בסעיף 3(ג) בחוק הפיקוח על שירותים פיננסיים (ייעוץ, שיווק ושירותי סליקה פנסיוניים), התשס"ה-2005 </w:t>
      </w:r>
      <w:r>
        <w:rPr>
          <w:rStyle w:val="default"/>
          <w:rFonts w:cs="FrankRuehl"/>
          <w:rtl/>
          <w:lang w:eastAsia="en-US"/>
        </w:rPr>
        <w:t>–</w:t>
      </w:r>
      <w:r>
        <w:rPr>
          <w:rStyle w:val="default"/>
          <w:rFonts w:cs="FrankRuehl" w:hint="cs"/>
          <w:rtl/>
          <w:lang w:eastAsia="en-US"/>
        </w:rPr>
        <w:t xml:space="preserve"> לעניין מתן שירותי תפעול כאמור;</w:t>
      </w:r>
    </w:p>
    <w:p w14:paraId="56248151" w14:textId="77777777" w:rsidR="003714A5" w:rsidRDefault="003714A5" w:rsidP="003714A5">
      <w:pPr>
        <w:pStyle w:val="P00"/>
        <w:spacing w:before="72"/>
        <w:ind w:left="62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אחד מן המנויים להלן, המנהל נכסים פיננסיים בנאמנות בעבור לקוחותיו, לרבות באמצעות חשבון נאמנות </w:t>
      </w:r>
      <w:r>
        <w:rPr>
          <w:rStyle w:val="default"/>
          <w:rFonts w:cs="FrankRuehl"/>
          <w:rtl/>
          <w:lang w:eastAsia="en-US"/>
        </w:rPr>
        <w:t>–</w:t>
      </w:r>
      <w:r>
        <w:rPr>
          <w:rStyle w:val="default"/>
          <w:rFonts w:cs="FrankRuehl" w:hint="cs"/>
          <w:rtl/>
          <w:lang w:eastAsia="en-US"/>
        </w:rPr>
        <w:t xml:space="preserve"> לעניין ניהול נכסים פיננסים כאמור:</w:t>
      </w:r>
    </w:p>
    <w:p w14:paraId="5181F696" w14:textId="77777777" w:rsidR="003714A5" w:rsidRDefault="003714A5" w:rsidP="003714A5">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עורך דין;</w:t>
      </w:r>
    </w:p>
    <w:p w14:paraId="01DDC37E" w14:textId="77777777" w:rsidR="003714A5" w:rsidRDefault="003714A5" w:rsidP="003714A5">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רואה חשבון;</w:t>
      </w:r>
    </w:p>
    <w:p w14:paraId="33A17AF0" w14:textId="77777777" w:rsidR="003714A5" w:rsidRDefault="003714A5" w:rsidP="003714A5">
      <w:pPr>
        <w:pStyle w:val="P00"/>
        <w:spacing w:before="72"/>
        <w:ind w:left="1021"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מי שמונה לנאמן לפי חוק או לפי החלטת בית משפט לרבות אלה:</w:t>
      </w:r>
    </w:p>
    <w:p w14:paraId="54F60B93" w14:textId="77777777" w:rsidR="003714A5" w:rsidRDefault="003714A5" w:rsidP="003714A5">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מי שמשמש נאמן לקרן כמשמעותו בסעיף 4 לחוק השקעות משותפות בנאמנות, התשנ"ד-1994, ויושב ראש הרשות אישר, לפי סעיף 9 לחוק האמור;</w:t>
      </w:r>
    </w:p>
    <w:p w14:paraId="7E26F4B1" w14:textId="77777777" w:rsidR="003714A5" w:rsidRDefault="003714A5" w:rsidP="003714A5">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מי שמשמש נאמן לתעודות התחייבות כמשמעותו בפרק ה'1 לחוק ניירות ערך;</w:t>
      </w:r>
    </w:p>
    <w:p w14:paraId="378638E4" w14:textId="77777777" w:rsidR="003714A5" w:rsidRDefault="003714A5" w:rsidP="003714A5">
      <w:pPr>
        <w:pStyle w:val="P00"/>
        <w:spacing w:before="72"/>
        <w:ind w:left="147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מי שמשמש נאמן כהגדרתו בסעיף 102(א) לפקודת מס הכנסה [נוסח חדש], לעניין הקצאת מניות לעובדים בהתאם להוראות הסעיף האמור;</w:t>
      </w:r>
    </w:p>
    <w:p w14:paraId="33414FC8" w14:textId="77777777" w:rsidR="003714A5" w:rsidRDefault="003714A5" w:rsidP="003714A5">
      <w:pPr>
        <w:pStyle w:val="P00"/>
        <w:spacing w:before="72"/>
        <w:ind w:left="624"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 xml:space="preserve">בית מלון כהגדרתו בחוק שירותי תיירות, התשל"ו-1976, </w:t>
      </w:r>
      <w:r w:rsidR="004E2BFF">
        <w:rPr>
          <w:rStyle w:val="default"/>
          <w:rFonts w:cs="FrankRuehl" w:hint="cs"/>
          <w:rtl/>
          <w:lang w:eastAsia="en-US"/>
        </w:rPr>
        <w:t xml:space="preserve">המחזיק ברישיון עסק לעניין אירוח ולינה לפי צו רישוי עסקים (עסקים טעוני רישוי), התשע"ג-2013, לעניין עסקה להמרת מטבע של מדינה אחת במטבע של מדינה אחרת (להלן </w:t>
      </w:r>
      <w:r w:rsidR="004E2BFF">
        <w:rPr>
          <w:rStyle w:val="default"/>
          <w:rFonts w:cs="FrankRuehl"/>
          <w:rtl/>
          <w:lang w:eastAsia="en-US"/>
        </w:rPr>
        <w:t>–</w:t>
      </w:r>
      <w:r w:rsidR="004E2BFF">
        <w:rPr>
          <w:rStyle w:val="default"/>
          <w:rFonts w:cs="FrankRuehl" w:hint="cs"/>
          <w:rtl/>
          <w:lang w:eastAsia="en-US"/>
        </w:rPr>
        <w:t xml:space="preserve"> עסקת המרה), </w:t>
      </w:r>
      <w:r w:rsidR="002B3654">
        <w:rPr>
          <w:rStyle w:val="default"/>
          <w:rFonts w:cs="FrankRuehl" w:hint="cs"/>
          <w:rtl/>
          <w:lang w:eastAsia="en-US"/>
        </w:rPr>
        <w:t>שמתקיימים בה כל אלה:</w:t>
      </w:r>
    </w:p>
    <w:p w14:paraId="6B9E7409" w14:textId="77777777" w:rsidR="002B3654" w:rsidRDefault="002B3654" w:rsidP="002B3654">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עסקת ההמרה נעשתה לאורח בית המלון המתאכסן במלון לילה אחד לפחות, שהוא תושב זר;</w:t>
      </w:r>
    </w:p>
    <w:p w14:paraId="38D668F1" w14:textId="77777777" w:rsidR="002B3654" w:rsidRDefault="002B3654" w:rsidP="002B3654">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שווי אחד מהמטבעות שהומרו במסגרת עסקת ההמרה אינו עולה על 250 דולק אמריקאי ליום, לכל אורח;</w:t>
      </w:r>
    </w:p>
    <w:p w14:paraId="1484C024" w14:textId="77777777" w:rsidR="002B3654" w:rsidRDefault="002B3654" w:rsidP="002B3654">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מי שעיסוקו בעסקאות נגזרים או בעסקאות מכר חוזר בניירות ערך לעניין מתן שירות בנכס פיננסי אגב העסקאות האמורות.</w:t>
      </w:r>
    </w:p>
    <w:p w14:paraId="43CBEFB5" w14:textId="77777777" w:rsidR="003E1701" w:rsidRDefault="003E1701" w:rsidP="007966CC">
      <w:pPr>
        <w:pStyle w:val="P00"/>
        <w:spacing w:before="72"/>
        <w:ind w:left="0" w:right="1134"/>
        <w:rPr>
          <w:rStyle w:val="default"/>
          <w:rFonts w:cs="FrankRuehl"/>
          <w:rtl/>
          <w:lang w:eastAsia="en-US"/>
        </w:rPr>
      </w:pPr>
      <w:bookmarkStart w:id="3" w:name="Seif5"/>
      <w:bookmarkEnd w:id="3"/>
      <w:r>
        <w:rPr>
          <w:rFonts w:cs="Miriam"/>
          <w:szCs w:val="32"/>
          <w:rtl/>
          <w:lang w:val="he-IL"/>
        </w:rPr>
        <w:pict w14:anchorId="3F2798D2">
          <v:shape id="_x0000_s1148" type="#_x0000_t202" style="position:absolute;left:0;text-align:left;margin-left:470.25pt;margin-top:8.25pt;width:1in;height:12.85pt;z-index:251659776" filled="f" stroked="f">
            <v:textbox inset="1mm,0,1mm,0">
              <w:txbxContent>
                <w:p w14:paraId="0A22665C" w14:textId="77777777" w:rsidR="00316D86" w:rsidRDefault="002B3654" w:rsidP="007966CC">
                  <w:pPr>
                    <w:spacing w:line="160" w:lineRule="exact"/>
                    <w:jc w:val="left"/>
                    <w:rPr>
                      <w:rFonts w:cs="Miriam" w:hint="cs"/>
                      <w:noProof/>
                      <w:szCs w:val="18"/>
                      <w:rtl/>
                      <w:lang w:eastAsia="en-US"/>
                    </w:rPr>
                  </w:pPr>
                  <w:r>
                    <w:rPr>
                      <w:rFonts w:cs="Miriam" w:hint="cs"/>
                      <w:szCs w:val="18"/>
                      <w:rtl/>
                      <w:lang w:eastAsia="en-US"/>
                    </w:rPr>
                    <w:t>תחילה</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2B3654">
        <w:rPr>
          <w:rStyle w:val="default"/>
          <w:rFonts w:cs="FrankRuehl" w:hint="cs"/>
          <w:rtl/>
          <w:lang w:eastAsia="en-US"/>
        </w:rPr>
        <w:t>תחילתה של תקנה 3 ביום התחילה המאוחר כמשמעותו בסעיף 114(ב) לחוק</w:t>
      </w:r>
      <w:r>
        <w:rPr>
          <w:rStyle w:val="default"/>
          <w:rFonts w:cs="FrankRuehl"/>
          <w:rtl/>
          <w:lang w:eastAsia="en-US"/>
        </w:rPr>
        <w:t>.</w:t>
      </w:r>
    </w:p>
    <w:p w14:paraId="01B7C94D" w14:textId="77777777" w:rsidR="003E1701" w:rsidRDefault="003E1701" w:rsidP="00E9713D">
      <w:pPr>
        <w:pStyle w:val="P00"/>
        <w:spacing w:before="72"/>
        <w:ind w:left="0" w:right="1134"/>
        <w:rPr>
          <w:rStyle w:val="default"/>
          <w:rFonts w:cs="FrankRuehl"/>
          <w:rtl/>
          <w:lang w:eastAsia="en-US"/>
        </w:rPr>
      </w:pPr>
      <w:bookmarkStart w:id="4" w:name="Seif3"/>
      <w:bookmarkEnd w:id="4"/>
      <w:r>
        <w:rPr>
          <w:rStyle w:val="big-number"/>
          <w:rtl/>
        </w:rPr>
        <w:pict w14:anchorId="6D1E8555">
          <v:shape id="_x0000_s1142" type="#_x0000_t202" style="position:absolute;left:0;text-align:left;margin-left:470.25pt;margin-top:7.1pt;width:1in;height:18.8pt;z-index:251657728" filled="f" stroked="f">
            <v:textbox style="mso-next-textbox:#_x0000_s1142" inset="1mm,0,1mm,0">
              <w:txbxContent>
                <w:p w14:paraId="58ED8F8D" w14:textId="77777777" w:rsidR="00316D86" w:rsidRDefault="002B3654" w:rsidP="00EC0B82">
                  <w:pPr>
                    <w:spacing w:line="160" w:lineRule="exact"/>
                    <w:jc w:val="left"/>
                    <w:rPr>
                      <w:rFonts w:cs="Miriam"/>
                      <w:szCs w:val="18"/>
                      <w:rtl/>
                      <w:lang w:eastAsia="en-US"/>
                    </w:rPr>
                  </w:pPr>
                  <w:r>
                    <w:rPr>
                      <w:rFonts w:cs="Miriam" w:hint="cs"/>
                      <w:szCs w:val="18"/>
                      <w:rtl/>
                      <w:lang w:eastAsia="en-US"/>
                    </w:rPr>
                    <w:t>תוקף</w:t>
                  </w:r>
                </w:p>
                <w:p w14:paraId="2CA8EE10" w14:textId="77777777" w:rsidR="00630680" w:rsidRDefault="00630680" w:rsidP="00EC0B82">
                  <w:pPr>
                    <w:spacing w:line="160" w:lineRule="exact"/>
                    <w:jc w:val="left"/>
                    <w:rPr>
                      <w:rFonts w:cs="Miriam" w:hint="cs"/>
                      <w:szCs w:val="18"/>
                      <w:rtl/>
                      <w:lang w:eastAsia="en-US"/>
                    </w:rPr>
                  </w:pPr>
                  <w:r>
                    <w:rPr>
                      <w:rFonts w:cs="Miriam" w:hint="cs"/>
                      <w:szCs w:val="18"/>
                      <w:rtl/>
                      <w:lang w:eastAsia="en-US"/>
                    </w:rPr>
                    <w:t>תק' תשפ"א-2020</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2B3654">
        <w:rPr>
          <w:rStyle w:val="default"/>
          <w:rFonts w:cs="FrankRuehl" w:hint="cs"/>
          <w:rtl/>
          <w:lang w:eastAsia="en-US"/>
        </w:rPr>
        <w:t xml:space="preserve">תוקפן של תקנות אלה עד יום </w:t>
      </w:r>
      <w:r w:rsidR="00630680" w:rsidRPr="00630680">
        <w:rPr>
          <w:rStyle w:val="default"/>
          <w:rFonts w:cs="FrankRuehl" w:hint="cs"/>
          <w:rtl/>
          <w:lang w:eastAsia="en-US"/>
        </w:rPr>
        <w:t>כ"ז בטבת התשפ"ב (31 בדצמבר 2021</w:t>
      </w:r>
      <w:r w:rsidR="002B3654">
        <w:rPr>
          <w:rStyle w:val="default"/>
          <w:rFonts w:cs="FrankRuehl" w:hint="cs"/>
          <w:rtl/>
          <w:lang w:eastAsia="en-US"/>
        </w:rPr>
        <w:t>)</w:t>
      </w:r>
      <w:r w:rsidR="00E9713D">
        <w:rPr>
          <w:rStyle w:val="default"/>
          <w:rFonts w:cs="FrankRuehl" w:hint="cs"/>
          <w:rtl/>
          <w:lang w:eastAsia="en-US"/>
        </w:rPr>
        <w:t>.</w:t>
      </w:r>
    </w:p>
    <w:p w14:paraId="02B23A96" w14:textId="77777777" w:rsidR="00630680" w:rsidRPr="00167293" w:rsidRDefault="00630680" w:rsidP="00630680">
      <w:pPr>
        <w:pStyle w:val="P00"/>
        <w:spacing w:before="0"/>
        <w:ind w:left="0" w:right="1134"/>
        <w:rPr>
          <w:rStyle w:val="default"/>
          <w:rFonts w:cs="FrankRuehl"/>
          <w:vanish/>
          <w:color w:val="FF0000"/>
          <w:szCs w:val="20"/>
          <w:shd w:val="clear" w:color="auto" w:fill="FFFF99"/>
          <w:rtl/>
          <w:lang w:eastAsia="en-US"/>
        </w:rPr>
      </w:pPr>
      <w:bookmarkStart w:id="5" w:name="Rov6"/>
      <w:r w:rsidRPr="00167293">
        <w:rPr>
          <w:rStyle w:val="default"/>
          <w:rFonts w:cs="FrankRuehl" w:hint="cs"/>
          <w:vanish/>
          <w:color w:val="FF0000"/>
          <w:szCs w:val="20"/>
          <w:shd w:val="clear" w:color="auto" w:fill="FFFF99"/>
          <w:rtl/>
          <w:lang w:eastAsia="en-US"/>
        </w:rPr>
        <w:t>מיום 16.6.2020</w:t>
      </w:r>
    </w:p>
    <w:p w14:paraId="0A7E3509" w14:textId="77777777" w:rsidR="00630680" w:rsidRPr="00167293" w:rsidRDefault="00630680" w:rsidP="00630680">
      <w:pPr>
        <w:pStyle w:val="P00"/>
        <w:spacing w:before="0"/>
        <w:ind w:left="0" w:right="1134"/>
        <w:rPr>
          <w:rStyle w:val="default"/>
          <w:rFonts w:cs="FrankRuehl"/>
          <w:vanish/>
          <w:szCs w:val="20"/>
          <w:shd w:val="clear" w:color="auto" w:fill="FFFF99"/>
          <w:rtl/>
          <w:lang w:eastAsia="en-US"/>
        </w:rPr>
      </w:pPr>
      <w:r w:rsidRPr="00167293">
        <w:rPr>
          <w:rStyle w:val="default"/>
          <w:rFonts w:cs="FrankRuehl" w:hint="cs"/>
          <w:b/>
          <w:bCs/>
          <w:vanish/>
          <w:szCs w:val="20"/>
          <w:shd w:val="clear" w:color="auto" w:fill="FFFF99"/>
          <w:rtl/>
          <w:lang w:eastAsia="en-US"/>
        </w:rPr>
        <w:t>תק' תשפ"א-2020</w:t>
      </w:r>
    </w:p>
    <w:p w14:paraId="26C548A6" w14:textId="77777777" w:rsidR="00630680" w:rsidRPr="00167293" w:rsidRDefault="00630680" w:rsidP="00630680">
      <w:pPr>
        <w:pStyle w:val="P00"/>
        <w:spacing w:before="0"/>
        <w:ind w:left="0" w:right="1134"/>
        <w:rPr>
          <w:rStyle w:val="default"/>
          <w:rFonts w:cs="FrankRuehl"/>
          <w:vanish/>
          <w:szCs w:val="20"/>
          <w:shd w:val="clear" w:color="auto" w:fill="FFFF99"/>
          <w:rtl/>
          <w:lang w:eastAsia="en-US"/>
        </w:rPr>
      </w:pPr>
      <w:hyperlink r:id="rId6" w:history="1">
        <w:r w:rsidRPr="00167293">
          <w:rPr>
            <w:rStyle w:val="Hyperlink"/>
            <w:rFonts w:hint="cs"/>
            <w:vanish/>
            <w:szCs w:val="20"/>
            <w:shd w:val="clear" w:color="auto" w:fill="FFFF99"/>
            <w:rtl/>
            <w:lang w:eastAsia="en-US"/>
          </w:rPr>
          <w:t>ק"ת תשפ"א מס' 898</w:t>
        </w:r>
        <w:r w:rsidR="00167293" w:rsidRPr="00167293">
          <w:rPr>
            <w:rStyle w:val="Hyperlink"/>
            <w:rFonts w:hint="cs"/>
            <w:vanish/>
            <w:szCs w:val="20"/>
            <w:shd w:val="clear" w:color="auto" w:fill="FFFF99"/>
            <w:rtl/>
            <w:lang w:eastAsia="en-US"/>
          </w:rPr>
          <w:t>3</w:t>
        </w:r>
      </w:hyperlink>
      <w:r w:rsidRPr="00167293">
        <w:rPr>
          <w:rStyle w:val="default"/>
          <w:rFonts w:cs="FrankRuehl" w:hint="cs"/>
          <w:vanish/>
          <w:szCs w:val="20"/>
          <w:shd w:val="clear" w:color="auto" w:fill="FFFF99"/>
          <w:rtl/>
          <w:lang w:eastAsia="en-US"/>
        </w:rPr>
        <w:t xml:space="preserve"> מיום 10.12.2020 עמ' 882</w:t>
      </w:r>
    </w:p>
    <w:p w14:paraId="7980C4DD" w14:textId="77777777" w:rsidR="00630680" w:rsidRPr="00C414CE" w:rsidRDefault="00630680" w:rsidP="00C414CE">
      <w:pPr>
        <w:pStyle w:val="P00"/>
        <w:ind w:left="0" w:right="1134"/>
        <w:rPr>
          <w:rStyle w:val="default"/>
          <w:rFonts w:cs="FrankRuehl"/>
          <w:sz w:val="2"/>
          <w:szCs w:val="2"/>
          <w:rtl/>
          <w:lang w:eastAsia="en-US"/>
        </w:rPr>
      </w:pPr>
      <w:r w:rsidRPr="00167293">
        <w:rPr>
          <w:rStyle w:val="default"/>
          <w:rFonts w:cs="FrankRuehl" w:hint="cs"/>
          <w:vanish/>
          <w:sz w:val="16"/>
          <w:szCs w:val="22"/>
          <w:shd w:val="clear" w:color="auto" w:fill="FFFF99"/>
          <w:rtl/>
        </w:rPr>
        <w:t>5</w:t>
      </w:r>
      <w:r w:rsidRPr="00167293">
        <w:rPr>
          <w:rStyle w:val="default"/>
          <w:rFonts w:cs="FrankRuehl" w:hint="cs"/>
          <w:vanish/>
          <w:sz w:val="16"/>
          <w:szCs w:val="22"/>
          <w:shd w:val="clear" w:color="auto" w:fill="FFFF99"/>
          <w:rtl/>
          <w:lang w:eastAsia="en-US"/>
        </w:rPr>
        <w:t>.</w:t>
      </w:r>
      <w:r w:rsidRPr="00167293">
        <w:rPr>
          <w:rStyle w:val="default"/>
          <w:rFonts w:cs="FrankRuehl" w:hint="cs"/>
          <w:vanish/>
          <w:sz w:val="16"/>
          <w:szCs w:val="22"/>
          <w:shd w:val="clear" w:color="auto" w:fill="FFFF99"/>
          <w:rtl/>
          <w:lang w:eastAsia="en-US"/>
        </w:rPr>
        <w:tab/>
        <w:t xml:space="preserve">תוקפן של תקנות אלה עד </w:t>
      </w:r>
      <w:r w:rsidRPr="00167293">
        <w:rPr>
          <w:rStyle w:val="default"/>
          <w:rFonts w:cs="FrankRuehl" w:hint="cs"/>
          <w:strike/>
          <w:vanish/>
          <w:sz w:val="16"/>
          <w:szCs w:val="22"/>
          <w:shd w:val="clear" w:color="auto" w:fill="FFFF99"/>
          <w:rtl/>
          <w:lang w:eastAsia="en-US"/>
        </w:rPr>
        <w:t>יום ג' בטבת התש"ף (31 בדצמבר 2019)</w:t>
      </w:r>
      <w:r w:rsidRPr="00167293">
        <w:rPr>
          <w:rStyle w:val="default"/>
          <w:rFonts w:cs="FrankRuehl" w:hint="cs"/>
          <w:vanish/>
          <w:sz w:val="16"/>
          <w:szCs w:val="22"/>
          <w:shd w:val="clear" w:color="auto" w:fill="FFFF99"/>
          <w:rtl/>
          <w:lang w:eastAsia="en-US"/>
        </w:rPr>
        <w:t xml:space="preserve"> </w:t>
      </w:r>
      <w:r w:rsidRPr="00167293">
        <w:rPr>
          <w:rStyle w:val="default"/>
          <w:rFonts w:cs="FrankRuehl" w:hint="cs"/>
          <w:vanish/>
          <w:sz w:val="16"/>
          <w:szCs w:val="22"/>
          <w:u w:val="single"/>
          <w:shd w:val="clear" w:color="auto" w:fill="FFFF99"/>
          <w:rtl/>
          <w:lang w:eastAsia="en-US"/>
        </w:rPr>
        <w:t>יום כ"ז בטבת התשפ"ב (31 בדצמבר 2021)</w:t>
      </w:r>
      <w:r w:rsidRPr="00167293">
        <w:rPr>
          <w:rStyle w:val="default"/>
          <w:rFonts w:cs="FrankRuehl" w:hint="cs"/>
          <w:vanish/>
          <w:sz w:val="16"/>
          <w:szCs w:val="22"/>
          <w:shd w:val="clear" w:color="auto" w:fill="FFFF99"/>
          <w:rtl/>
          <w:lang w:eastAsia="en-US"/>
        </w:rPr>
        <w:t>.</w:t>
      </w:r>
      <w:bookmarkEnd w:id="5"/>
    </w:p>
    <w:p w14:paraId="5C0D41A1" w14:textId="77777777" w:rsidR="00630680" w:rsidRDefault="00630680" w:rsidP="00E9713D">
      <w:pPr>
        <w:pStyle w:val="P00"/>
        <w:spacing w:before="72"/>
        <w:ind w:left="0" w:right="1134"/>
        <w:rPr>
          <w:rStyle w:val="default"/>
          <w:rFonts w:cs="FrankRuehl"/>
          <w:rtl/>
          <w:lang w:eastAsia="en-US"/>
        </w:rPr>
      </w:pPr>
    </w:p>
    <w:p w14:paraId="039B9456" w14:textId="77777777" w:rsidR="003E1701" w:rsidRDefault="003E1701">
      <w:pPr>
        <w:pStyle w:val="P00"/>
        <w:spacing w:before="72"/>
        <w:ind w:left="0" w:right="1134"/>
        <w:rPr>
          <w:rFonts w:hint="cs"/>
          <w:rtl/>
          <w:lang w:eastAsia="en-US"/>
        </w:rPr>
      </w:pPr>
    </w:p>
    <w:p w14:paraId="0296485D" w14:textId="77777777" w:rsidR="003E1701" w:rsidRDefault="002B3654" w:rsidP="00C8788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ז' בתשרי התשע"ט (16 בספטמבר 2018)</w:t>
      </w:r>
      <w:r w:rsidR="00B94789">
        <w:rPr>
          <w:rFonts w:hint="cs"/>
          <w:rtl/>
          <w:lang w:eastAsia="en-US"/>
        </w:rPr>
        <w:tab/>
      </w:r>
      <w:r>
        <w:rPr>
          <w:rFonts w:hint="cs"/>
          <w:rtl/>
          <w:lang w:eastAsia="en-US"/>
        </w:rPr>
        <w:t>משה כחלון</w:t>
      </w:r>
    </w:p>
    <w:p w14:paraId="5A62D633" w14:textId="77777777" w:rsidR="003E1701" w:rsidRDefault="00B94789" w:rsidP="00C8788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2B3654">
        <w:rPr>
          <w:rFonts w:hint="cs"/>
          <w:sz w:val="22"/>
          <w:szCs w:val="22"/>
          <w:rtl/>
          <w:lang w:eastAsia="en-US"/>
        </w:rPr>
        <w:t>שר האוצר</w:t>
      </w:r>
    </w:p>
    <w:p w14:paraId="1CC04823" w14:textId="77777777" w:rsidR="00C8788A" w:rsidRDefault="00C8788A">
      <w:pPr>
        <w:pStyle w:val="P00"/>
        <w:spacing w:before="72"/>
        <w:ind w:left="0" w:right="1134"/>
        <w:rPr>
          <w:rStyle w:val="default"/>
          <w:rFonts w:cs="FrankRuehl" w:hint="cs"/>
          <w:rtl/>
          <w:lang w:eastAsia="en-US"/>
        </w:rPr>
      </w:pPr>
    </w:p>
    <w:p w14:paraId="179C1686" w14:textId="77777777" w:rsidR="00F57995" w:rsidRDefault="00F57995">
      <w:pPr>
        <w:pStyle w:val="P00"/>
        <w:spacing w:before="72"/>
        <w:ind w:left="0" w:right="1134"/>
        <w:rPr>
          <w:rStyle w:val="default"/>
          <w:rFonts w:cs="FrankRuehl" w:hint="cs"/>
          <w:rtl/>
          <w:lang w:eastAsia="en-US"/>
        </w:rPr>
      </w:pPr>
    </w:p>
    <w:p w14:paraId="5A18C1CF" w14:textId="77777777" w:rsidR="008A36C8" w:rsidRDefault="008A36C8">
      <w:pPr>
        <w:pStyle w:val="P00"/>
        <w:spacing w:before="72"/>
        <w:ind w:left="0" w:right="1134"/>
        <w:rPr>
          <w:rStyle w:val="default"/>
          <w:rFonts w:cs="FrankRuehl"/>
          <w:rtl/>
          <w:lang w:eastAsia="en-US"/>
        </w:rPr>
      </w:pPr>
    </w:p>
    <w:p w14:paraId="02D005B5" w14:textId="77777777" w:rsidR="008A36C8" w:rsidRDefault="008A36C8" w:rsidP="008A36C8">
      <w:pPr>
        <w:pStyle w:val="P00"/>
        <w:spacing w:before="72"/>
        <w:ind w:left="0" w:right="1134"/>
        <w:jc w:val="center"/>
        <w:rPr>
          <w:rStyle w:val="default"/>
          <w:rFonts w:cs="David"/>
          <w:color w:val="0000FF"/>
          <w:szCs w:val="24"/>
          <w:u w:val="single"/>
          <w:rtl/>
          <w:lang w:eastAsia="en-US"/>
        </w:rPr>
      </w:pPr>
      <w:hyperlink r:id="rId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0177ACA0" w14:textId="77777777" w:rsidR="00DD1EA1" w:rsidRPr="008A36C8" w:rsidRDefault="00DD1EA1" w:rsidP="008A36C8">
      <w:pPr>
        <w:pStyle w:val="P00"/>
        <w:spacing w:before="72"/>
        <w:ind w:left="0" w:right="1134"/>
        <w:jc w:val="center"/>
        <w:rPr>
          <w:rStyle w:val="default"/>
          <w:rFonts w:cs="David"/>
          <w:color w:val="0000FF"/>
          <w:szCs w:val="24"/>
          <w:u w:val="single"/>
          <w:rtl/>
          <w:lang w:eastAsia="en-US"/>
        </w:rPr>
      </w:pPr>
    </w:p>
    <w:sectPr w:rsidR="00DD1EA1" w:rsidRPr="008A36C8">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F7F4" w14:textId="77777777" w:rsidR="00271BA6" w:rsidRDefault="00271BA6">
      <w:r>
        <w:separator/>
      </w:r>
    </w:p>
  </w:endnote>
  <w:endnote w:type="continuationSeparator" w:id="0">
    <w:p w14:paraId="6072FBD9" w14:textId="77777777" w:rsidR="00271BA6" w:rsidRDefault="0027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998" w14:textId="77777777" w:rsidR="00316D86" w:rsidRDefault="00316D8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9A4DF0C" w14:textId="77777777" w:rsidR="00316D86" w:rsidRDefault="00316D8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750DBF99" w14:textId="77777777" w:rsidR="00316D86" w:rsidRDefault="00316D8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Z:\000-law\yael\2017\2017-01-10\hak161229b\tav\501_439.doc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BA4C" w14:textId="77777777" w:rsidR="00316D86" w:rsidRDefault="00316D8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A10D55">
      <w:rPr>
        <w:noProof/>
        <w:sz w:val="24"/>
        <w:szCs w:val="24"/>
        <w:rtl/>
        <w:lang w:eastAsia="en-US"/>
      </w:rPr>
      <w:t>5</w:t>
    </w:r>
    <w:r>
      <w:rPr>
        <w:rFonts w:hAnsi="FrankRuehl"/>
        <w:sz w:val="24"/>
        <w:szCs w:val="24"/>
        <w:rtl/>
      </w:rPr>
      <w:fldChar w:fldCharType="end"/>
    </w:r>
  </w:p>
  <w:p w14:paraId="7ECEEE17" w14:textId="77777777" w:rsidR="00316D86" w:rsidRDefault="00316D8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6390EB8E" w14:textId="77777777" w:rsidR="00316D86" w:rsidRDefault="00316D8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Z:\000-law\yael\2017\2017-01-10\hak161229b\tav\501_439.doc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EDF0" w14:textId="77777777" w:rsidR="00271BA6" w:rsidRDefault="00271BA6">
      <w:pPr>
        <w:spacing w:before="60" w:line="240" w:lineRule="auto"/>
        <w:ind w:right="1134"/>
      </w:pPr>
      <w:r>
        <w:separator/>
      </w:r>
    </w:p>
  </w:footnote>
  <w:footnote w:type="continuationSeparator" w:id="0">
    <w:p w14:paraId="65D46902" w14:textId="77777777" w:rsidR="00271BA6" w:rsidRDefault="00271BA6">
      <w:pPr>
        <w:spacing w:before="60" w:line="240" w:lineRule="auto"/>
        <w:ind w:right="1134"/>
      </w:pPr>
      <w:r>
        <w:separator/>
      </w:r>
    </w:p>
  </w:footnote>
  <w:footnote w:id="1">
    <w:p w14:paraId="51C17065" w14:textId="77777777" w:rsidR="0043728D" w:rsidRDefault="00316D86" w:rsidP="0043728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sz w:val="20"/>
          <w:szCs w:val="20"/>
          <w:lang w:eastAsia="en-US"/>
        </w:rPr>
        <w:t>*</w:t>
      </w:r>
      <w:r>
        <w:rPr>
          <w:rFonts w:hint="cs"/>
          <w:sz w:val="20"/>
          <w:rtl/>
          <w:lang w:eastAsia="en-US"/>
        </w:rPr>
        <w:t xml:space="preserve"> פורס</w:t>
      </w:r>
      <w:r w:rsidR="00C8788A">
        <w:rPr>
          <w:rFonts w:hint="cs"/>
          <w:sz w:val="20"/>
          <w:rtl/>
          <w:lang w:eastAsia="en-US"/>
        </w:rPr>
        <w:t>מו</w:t>
      </w:r>
      <w:r>
        <w:rPr>
          <w:rFonts w:hint="cs"/>
          <w:sz w:val="20"/>
          <w:rtl/>
          <w:lang w:eastAsia="en-US"/>
        </w:rPr>
        <w:t xml:space="preserve"> </w:t>
      </w:r>
      <w:hyperlink r:id="rId1" w:history="1">
        <w:r w:rsidR="00C8788A" w:rsidRPr="0043728D">
          <w:rPr>
            <w:rStyle w:val="Hyperlink"/>
            <w:rFonts w:hint="cs"/>
            <w:sz w:val="20"/>
            <w:rtl/>
            <w:lang w:eastAsia="en-US"/>
          </w:rPr>
          <w:t>ק"ת תשע"ט</w:t>
        </w:r>
        <w:r w:rsidRPr="0043728D">
          <w:rPr>
            <w:rStyle w:val="Hyperlink"/>
            <w:rFonts w:hint="cs"/>
            <w:sz w:val="20"/>
            <w:rtl/>
            <w:lang w:eastAsia="en-US"/>
          </w:rPr>
          <w:t xml:space="preserve"> מס' </w:t>
        </w:r>
        <w:r w:rsidR="00C8788A" w:rsidRPr="0043728D">
          <w:rPr>
            <w:rStyle w:val="Hyperlink"/>
            <w:rFonts w:hint="cs"/>
            <w:sz w:val="20"/>
            <w:rtl/>
            <w:lang w:eastAsia="en-US"/>
          </w:rPr>
          <w:t>8078</w:t>
        </w:r>
      </w:hyperlink>
      <w:r>
        <w:rPr>
          <w:rFonts w:hint="cs"/>
          <w:sz w:val="20"/>
          <w:rtl/>
          <w:lang w:eastAsia="en-US"/>
        </w:rPr>
        <w:t xml:space="preserve"> מיום </w:t>
      </w:r>
      <w:r w:rsidR="00C8788A">
        <w:rPr>
          <w:rFonts w:hint="cs"/>
          <w:sz w:val="20"/>
          <w:rtl/>
          <w:lang w:eastAsia="en-US"/>
        </w:rPr>
        <w:t>3.10.2018</w:t>
      </w:r>
      <w:r>
        <w:rPr>
          <w:rFonts w:hint="cs"/>
          <w:sz w:val="20"/>
          <w:rtl/>
          <w:lang w:eastAsia="en-US"/>
        </w:rPr>
        <w:t xml:space="preserve"> עמ' </w:t>
      </w:r>
      <w:r w:rsidR="00C8788A">
        <w:rPr>
          <w:rFonts w:hint="cs"/>
          <w:sz w:val="20"/>
          <w:rtl/>
          <w:lang w:eastAsia="en-US"/>
        </w:rPr>
        <w:t>314</w:t>
      </w:r>
      <w:r>
        <w:rPr>
          <w:rFonts w:hint="cs"/>
          <w:sz w:val="20"/>
          <w:rtl/>
          <w:lang w:eastAsia="en-US"/>
        </w:rPr>
        <w:t>.</w:t>
      </w:r>
    </w:p>
    <w:p w14:paraId="0501AB69" w14:textId="77777777" w:rsidR="00A10D55" w:rsidRPr="00FF3FB9" w:rsidRDefault="00630680" w:rsidP="00A10D5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hint="cs"/>
          <w:rtl/>
        </w:rPr>
        <w:t xml:space="preserve">תוקנו </w:t>
      </w:r>
      <w:hyperlink r:id="rId2" w:history="1">
        <w:r w:rsidRPr="00A10D55">
          <w:rPr>
            <w:rStyle w:val="Hyperlink"/>
            <w:rFonts w:ascii="FrankRuehl" w:hAnsi="FrankRuehl" w:hint="cs"/>
            <w:rtl/>
          </w:rPr>
          <w:t>ק"ת תשפ"א מס' 8983</w:t>
        </w:r>
      </w:hyperlink>
      <w:r>
        <w:rPr>
          <w:rFonts w:ascii="FrankRuehl" w:hAnsi="FrankRuehl" w:hint="cs"/>
          <w:rtl/>
        </w:rPr>
        <w:t xml:space="preserve"> מיום 10.12.2020 עמ' 882 </w:t>
      </w:r>
      <w:r>
        <w:rPr>
          <w:rFonts w:ascii="FrankRuehl" w:hAnsi="FrankRuehl"/>
          <w:rtl/>
        </w:rPr>
        <w:t>–</w:t>
      </w:r>
      <w:r>
        <w:rPr>
          <w:rFonts w:ascii="FrankRuehl" w:hAnsi="FrankRuehl" w:hint="cs"/>
          <w:rtl/>
        </w:rPr>
        <w:t xml:space="preserve"> תק' תשפ"א-2020; תחילתן ביום 16.6.2020.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464C" w14:textId="77777777" w:rsidR="00316D86" w:rsidRDefault="00316D8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01E83BC"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DB0B0FE"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6161" w14:textId="77777777" w:rsidR="00316D86" w:rsidRDefault="00C8788A" w:rsidP="00D71291">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w:t>
    </w:r>
    <w:r w:rsidR="00316D86">
      <w:rPr>
        <w:rFonts w:hint="cs"/>
        <w:color w:val="000000"/>
        <w:sz w:val="28"/>
        <w:szCs w:val="28"/>
        <w:rtl/>
        <w:lang w:eastAsia="en-US"/>
      </w:rPr>
      <w:t xml:space="preserve"> הפיקוח על שירותים פיננסיים (שירותים פיננסיים מוסדרים)</w:t>
    </w:r>
    <w:r>
      <w:rPr>
        <w:rFonts w:hint="cs"/>
        <w:color w:val="000000"/>
        <w:sz w:val="28"/>
        <w:szCs w:val="28"/>
        <w:rtl/>
        <w:lang w:eastAsia="en-US"/>
      </w:rPr>
      <w:t xml:space="preserve"> (פטור מחובת רישוי) (הוראת שעה)</w:t>
    </w:r>
    <w:r w:rsidR="00316D86">
      <w:rPr>
        <w:rFonts w:hint="cs"/>
        <w:color w:val="000000"/>
        <w:sz w:val="28"/>
        <w:szCs w:val="28"/>
        <w:rtl/>
        <w:lang w:eastAsia="en-US"/>
      </w:rPr>
      <w:t>, תשע"</w:t>
    </w:r>
    <w:r>
      <w:rPr>
        <w:rFonts w:hint="cs"/>
        <w:color w:val="000000"/>
        <w:sz w:val="28"/>
        <w:szCs w:val="28"/>
        <w:rtl/>
        <w:lang w:eastAsia="en-US"/>
      </w:rPr>
      <w:t>ט</w:t>
    </w:r>
    <w:r w:rsidR="00316D86">
      <w:rPr>
        <w:rFonts w:hint="cs"/>
        <w:color w:val="000000"/>
        <w:sz w:val="28"/>
        <w:szCs w:val="28"/>
        <w:rtl/>
        <w:lang w:eastAsia="en-US"/>
      </w:rPr>
      <w:t>-201</w:t>
    </w:r>
    <w:r>
      <w:rPr>
        <w:rFonts w:hint="cs"/>
        <w:color w:val="000000"/>
        <w:sz w:val="28"/>
        <w:szCs w:val="28"/>
        <w:rtl/>
        <w:lang w:eastAsia="en-US"/>
      </w:rPr>
      <w:t>8</w:t>
    </w:r>
  </w:p>
  <w:p w14:paraId="373BAB05"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71C9E0F" w14:textId="77777777" w:rsidR="00316D86" w:rsidRDefault="00316D8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701"/>
    <w:rsid w:val="000008BE"/>
    <w:rsid w:val="00000CE0"/>
    <w:rsid w:val="00001FCB"/>
    <w:rsid w:val="0000312F"/>
    <w:rsid w:val="00003927"/>
    <w:rsid w:val="00004829"/>
    <w:rsid w:val="00004DB2"/>
    <w:rsid w:val="0001272A"/>
    <w:rsid w:val="00025CD1"/>
    <w:rsid w:val="000323BF"/>
    <w:rsid w:val="00043CB7"/>
    <w:rsid w:val="000456C1"/>
    <w:rsid w:val="00045B23"/>
    <w:rsid w:val="00071546"/>
    <w:rsid w:val="0007670A"/>
    <w:rsid w:val="00087ACC"/>
    <w:rsid w:val="00092410"/>
    <w:rsid w:val="000A4DD4"/>
    <w:rsid w:val="000B612E"/>
    <w:rsid w:val="000B70EC"/>
    <w:rsid w:val="000C25B2"/>
    <w:rsid w:val="000C2C48"/>
    <w:rsid w:val="000D73B0"/>
    <w:rsid w:val="000E7497"/>
    <w:rsid w:val="000F1D9E"/>
    <w:rsid w:val="000F3B59"/>
    <w:rsid w:val="00102D81"/>
    <w:rsid w:val="00120F49"/>
    <w:rsid w:val="00127581"/>
    <w:rsid w:val="00132AE2"/>
    <w:rsid w:val="00137821"/>
    <w:rsid w:val="0014322E"/>
    <w:rsid w:val="00143DDE"/>
    <w:rsid w:val="00145985"/>
    <w:rsid w:val="00146F12"/>
    <w:rsid w:val="00150308"/>
    <w:rsid w:val="00153EE2"/>
    <w:rsid w:val="00163F39"/>
    <w:rsid w:val="001651F4"/>
    <w:rsid w:val="00167293"/>
    <w:rsid w:val="00170804"/>
    <w:rsid w:val="00175425"/>
    <w:rsid w:val="0017608B"/>
    <w:rsid w:val="00187405"/>
    <w:rsid w:val="00195838"/>
    <w:rsid w:val="001A0786"/>
    <w:rsid w:val="001A2C12"/>
    <w:rsid w:val="001A4ABB"/>
    <w:rsid w:val="001A7B42"/>
    <w:rsid w:val="001B0823"/>
    <w:rsid w:val="001B45E0"/>
    <w:rsid w:val="001C3395"/>
    <w:rsid w:val="001C457A"/>
    <w:rsid w:val="001D2550"/>
    <w:rsid w:val="001E0DD9"/>
    <w:rsid w:val="001E1AE1"/>
    <w:rsid w:val="001E7FE6"/>
    <w:rsid w:val="001F0ADA"/>
    <w:rsid w:val="0020332A"/>
    <w:rsid w:val="00206612"/>
    <w:rsid w:val="00222852"/>
    <w:rsid w:val="0022416E"/>
    <w:rsid w:val="002333FB"/>
    <w:rsid w:val="00236142"/>
    <w:rsid w:val="00253EB7"/>
    <w:rsid w:val="00254E52"/>
    <w:rsid w:val="00260629"/>
    <w:rsid w:val="00271BA6"/>
    <w:rsid w:val="00282792"/>
    <w:rsid w:val="00286D36"/>
    <w:rsid w:val="00296403"/>
    <w:rsid w:val="002964DA"/>
    <w:rsid w:val="002A572D"/>
    <w:rsid w:val="002A774D"/>
    <w:rsid w:val="002B1156"/>
    <w:rsid w:val="002B1898"/>
    <w:rsid w:val="002B2A2A"/>
    <w:rsid w:val="002B3654"/>
    <w:rsid w:val="002B7417"/>
    <w:rsid w:val="002D18CF"/>
    <w:rsid w:val="002D3A6F"/>
    <w:rsid w:val="002E6085"/>
    <w:rsid w:val="002E68C4"/>
    <w:rsid w:val="00316D86"/>
    <w:rsid w:val="003239DF"/>
    <w:rsid w:val="0033354C"/>
    <w:rsid w:val="00333C65"/>
    <w:rsid w:val="0033547E"/>
    <w:rsid w:val="0033562B"/>
    <w:rsid w:val="0034068D"/>
    <w:rsid w:val="00347521"/>
    <w:rsid w:val="00352933"/>
    <w:rsid w:val="003571E1"/>
    <w:rsid w:val="00361982"/>
    <w:rsid w:val="0036335C"/>
    <w:rsid w:val="003671B2"/>
    <w:rsid w:val="003714A5"/>
    <w:rsid w:val="003743A3"/>
    <w:rsid w:val="00375B99"/>
    <w:rsid w:val="003771E9"/>
    <w:rsid w:val="003832A7"/>
    <w:rsid w:val="00383D37"/>
    <w:rsid w:val="00386EB3"/>
    <w:rsid w:val="00386FAB"/>
    <w:rsid w:val="003901B0"/>
    <w:rsid w:val="0039325D"/>
    <w:rsid w:val="00395B70"/>
    <w:rsid w:val="003973C5"/>
    <w:rsid w:val="003A0A4D"/>
    <w:rsid w:val="003A23A7"/>
    <w:rsid w:val="003A4A18"/>
    <w:rsid w:val="003A6524"/>
    <w:rsid w:val="003B1CAF"/>
    <w:rsid w:val="003B6808"/>
    <w:rsid w:val="003C16E1"/>
    <w:rsid w:val="003C44CC"/>
    <w:rsid w:val="003E1701"/>
    <w:rsid w:val="003E7324"/>
    <w:rsid w:val="00401C7A"/>
    <w:rsid w:val="004054E0"/>
    <w:rsid w:val="00406DA0"/>
    <w:rsid w:val="00407E1B"/>
    <w:rsid w:val="00416D08"/>
    <w:rsid w:val="00417EE6"/>
    <w:rsid w:val="00422E09"/>
    <w:rsid w:val="00433A7F"/>
    <w:rsid w:val="00436431"/>
    <w:rsid w:val="0043728D"/>
    <w:rsid w:val="00441DF9"/>
    <w:rsid w:val="00453A8F"/>
    <w:rsid w:val="00461976"/>
    <w:rsid w:val="0049056A"/>
    <w:rsid w:val="00491101"/>
    <w:rsid w:val="004976EC"/>
    <w:rsid w:val="004B75DE"/>
    <w:rsid w:val="004C43EE"/>
    <w:rsid w:val="004D1E96"/>
    <w:rsid w:val="004D7FE8"/>
    <w:rsid w:val="004E2BFF"/>
    <w:rsid w:val="005015C0"/>
    <w:rsid w:val="005111E0"/>
    <w:rsid w:val="00516979"/>
    <w:rsid w:val="00520E1C"/>
    <w:rsid w:val="00523FAA"/>
    <w:rsid w:val="00537C30"/>
    <w:rsid w:val="00542BC2"/>
    <w:rsid w:val="0054421D"/>
    <w:rsid w:val="00546E25"/>
    <w:rsid w:val="00547FF4"/>
    <w:rsid w:val="005508B7"/>
    <w:rsid w:val="00552082"/>
    <w:rsid w:val="00555064"/>
    <w:rsid w:val="00561D24"/>
    <w:rsid w:val="0056447D"/>
    <w:rsid w:val="00565274"/>
    <w:rsid w:val="0056556C"/>
    <w:rsid w:val="00570A03"/>
    <w:rsid w:val="005719CC"/>
    <w:rsid w:val="00575E31"/>
    <w:rsid w:val="00577A62"/>
    <w:rsid w:val="0058236B"/>
    <w:rsid w:val="005844C4"/>
    <w:rsid w:val="00587C18"/>
    <w:rsid w:val="005A0222"/>
    <w:rsid w:val="005A767D"/>
    <w:rsid w:val="005B02CE"/>
    <w:rsid w:val="005B489B"/>
    <w:rsid w:val="005B48D3"/>
    <w:rsid w:val="005B5686"/>
    <w:rsid w:val="005C61A0"/>
    <w:rsid w:val="005D3B9A"/>
    <w:rsid w:val="005D68EC"/>
    <w:rsid w:val="005D6AC8"/>
    <w:rsid w:val="005D7F54"/>
    <w:rsid w:val="005E0813"/>
    <w:rsid w:val="005E2713"/>
    <w:rsid w:val="005F2115"/>
    <w:rsid w:val="005F3F8B"/>
    <w:rsid w:val="005F7DEE"/>
    <w:rsid w:val="00600A1A"/>
    <w:rsid w:val="006026D6"/>
    <w:rsid w:val="006121A8"/>
    <w:rsid w:val="00630680"/>
    <w:rsid w:val="006339A9"/>
    <w:rsid w:val="00641A7E"/>
    <w:rsid w:val="0064276B"/>
    <w:rsid w:val="00656901"/>
    <w:rsid w:val="00661A36"/>
    <w:rsid w:val="00662655"/>
    <w:rsid w:val="00666535"/>
    <w:rsid w:val="006764D6"/>
    <w:rsid w:val="0067654D"/>
    <w:rsid w:val="006765C1"/>
    <w:rsid w:val="006939DE"/>
    <w:rsid w:val="0069540D"/>
    <w:rsid w:val="006975F9"/>
    <w:rsid w:val="006977F5"/>
    <w:rsid w:val="006979DD"/>
    <w:rsid w:val="006A27EB"/>
    <w:rsid w:val="006B40D9"/>
    <w:rsid w:val="006C51C5"/>
    <w:rsid w:val="006C7146"/>
    <w:rsid w:val="006D07E5"/>
    <w:rsid w:val="006D50F3"/>
    <w:rsid w:val="006F2C7F"/>
    <w:rsid w:val="006F5A12"/>
    <w:rsid w:val="006F5C9B"/>
    <w:rsid w:val="00702A4B"/>
    <w:rsid w:val="00705DB3"/>
    <w:rsid w:val="007065F3"/>
    <w:rsid w:val="0072132F"/>
    <w:rsid w:val="00722BED"/>
    <w:rsid w:val="00723536"/>
    <w:rsid w:val="007258F7"/>
    <w:rsid w:val="00727280"/>
    <w:rsid w:val="007273A6"/>
    <w:rsid w:val="00731F2E"/>
    <w:rsid w:val="0073392E"/>
    <w:rsid w:val="007346F5"/>
    <w:rsid w:val="0075259D"/>
    <w:rsid w:val="00753B84"/>
    <w:rsid w:val="00754B8E"/>
    <w:rsid w:val="00757DA1"/>
    <w:rsid w:val="00770681"/>
    <w:rsid w:val="00770F03"/>
    <w:rsid w:val="007848CC"/>
    <w:rsid w:val="0078762D"/>
    <w:rsid w:val="00792B50"/>
    <w:rsid w:val="007966CC"/>
    <w:rsid w:val="00797CB2"/>
    <w:rsid w:val="007A0156"/>
    <w:rsid w:val="007A09A8"/>
    <w:rsid w:val="007A3BA4"/>
    <w:rsid w:val="007A4CC1"/>
    <w:rsid w:val="007B0758"/>
    <w:rsid w:val="007B20F3"/>
    <w:rsid w:val="007B5DCB"/>
    <w:rsid w:val="007C7945"/>
    <w:rsid w:val="007D119F"/>
    <w:rsid w:val="007E3AAC"/>
    <w:rsid w:val="007E66C1"/>
    <w:rsid w:val="007F75CF"/>
    <w:rsid w:val="007F761D"/>
    <w:rsid w:val="007F7C2E"/>
    <w:rsid w:val="00802B76"/>
    <w:rsid w:val="00803D18"/>
    <w:rsid w:val="00813903"/>
    <w:rsid w:val="00814D03"/>
    <w:rsid w:val="00815CCE"/>
    <w:rsid w:val="008339F9"/>
    <w:rsid w:val="00840DBF"/>
    <w:rsid w:val="00842B9C"/>
    <w:rsid w:val="0084648A"/>
    <w:rsid w:val="008466C4"/>
    <w:rsid w:val="00853681"/>
    <w:rsid w:val="00853E6A"/>
    <w:rsid w:val="00857170"/>
    <w:rsid w:val="008609C0"/>
    <w:rsid w:val="00873902"/>
    <w:rsid w:val="008823A4"/>
    <w:rsid w:val="0089778D"/>
    <w:rsid w:val="008A0F3A"/>
    <w:rsid w:val="008A3598"/>
    <w:rsid w:val="008A36C8"/>
    <w:rsid w:val="008C5800"/>
    <w:rsid w:val="008D1DA0"/>
    <w:rsid w:val="008D2C2F"/>
    <w:rsid w:val="008D32C3"/>
    <w:rsid w:val="008D3837"/>
    <w:rsid w:val="008E0264"/>
    <w:rsid w:val="008E4403"/>
    <w:rsid w:val="008E57B3"/>
    <w:rsid w:val="00902772"/>
    <w:rsid w:val="0090693F"/>
    <w:rsid w:val="009079BF"/>
    <w:rsid w:val="00907A73"/>
    <w:rsid w:val="0092243F"/>
    <w:rsid w:val="009245C5"/>
    <w:rsid w:val="00926F81"/>
    <w:rsid w:val="00933427"/>
    <w:rsid w:val="00940FFA"/>
    <w:rsid w:val="0095752E"/>
    <w:rsid w:val="009609B9"/>
    <w:rsid w:val="00960D79"/>
    <w:rsid w:val="00971BB8"/>
    <w:rsid w:val="0097410E"/>
    <w:rsid w:val="00976754"/>
    <w:rsid w:val="00977A5F"/>
    <w:rsid w:val="00983D81"/>
    <w:rsid w:val="009913D2"/>
    <w:rsid w:val="009970FA"/>
    <w:rsid w:val="009A25E2"/>
    <w:rsid w:val="009A3F69"/>
    <w:rsid w:val="009A5A38"/>
    <w:rsid w:val="009A6917"/>
    <w:rsid w:val="009B7791"/>
    <w:rsid w:val="009C1ED9"/>
    <w:rsid w:val="009C25A5"/>
    <w:rsid w:val="009C467B"/>
    <w:rsid w:val="009E65F5"/>
    <w:rsid w:val="00A0596A"/>
    <w:rsid w:val="00A07F1D"/>
    <w:rsid w:val="00A10D55"/>
    <w:rsid w:val="00A13477"/>
    <w:rsid w:val="00A201FD"/>
    <w:rsid w:val="00A212C9"/>
    <w:rsid w:val="00A31091"/>
    <w:rsid w:val="00A32FDD"/>
    <w:rsid w:val="00A34E18"/>
    <w:rsid w:val="00A361BB"/>
    <w:rsid w:val="00A53909"/>
    <w:rsid w:val="00A605FD"/>
    <w:rsid w:val="00A7202D"/>
    <w:rsid w:val="00A85AA1"/>
    <w:rsid w:val="00A9045F"/>
    <w:rsid w:val="00AA57B1"/>
    <w:rsid w:val="00AB4D29"/>
    <w:rsid w:val="00AC1791"/>
    <w:rsid w:val="00AC4B69"/>
    <w:rsid w:val="00AC5858"/>
    <w:rsid w:val="00AE2780"/>
    <w:rsid w:val="00AE45CF"/>
    <w:rsid w:val="00AE57AE"/>
    <w:rsid w:val="00AE68B4"/>
    <w:rsid w:val="00AF2E93"/>
    <w:rsid w:val="00AF4611"/>
    <w:rsid w:val="00AF5540"/>
    <w:rsid w:val="00B00564"/>
    <w:rsid w:val="00B015B4"/>
    <w:rsid w:val="00B01691"/>
    <w:rsid w:val="00B02351"/>
    <w:rsid w:val="00B11B73"/>
    <w:rsid w:val="00B153EF"/>
    <w:rsid w:val="00B24D9A"/>
    <w:rsid w:val="00B33A78"/>
    <w:rsid w:val="00B3562E"/>
    <w:rsid w:val="00B41D65"/>
    <w:rsid w:val="00B43FF0"/>
    <w:rsid w:val="00B52069"/>
    <w:rsid w:val="00B63EFB"/>
    <w:rsid w:val="00B71912"/>
    <w:rsid w:val="00B75DB3"/>
    <w:rsid w:val="00B810FA"/>
    <w:rsid w:val="00B85EE5"/>
    <w:rsid w:val="00B9075A"/>
    <w:rsid w:val="00B909FA"/>
    <w:rsid w:val="00B94660"/>
    <w:rsid w:val="00B94789"/>
    <w:rsid w:val="00B97E3E"/>
    <w:rsid w:val="00BA0382"/>
    <w:rsid w:val="00BA417C"/>
    <w:rsid w:val="00BA46BE"/>
    <w:rsid w:val="00BA4B3E"/>
    <w:rsid w:val="00BB3584"/>
    <w:rsid w:val="00BC3F4E"/>
    <w:rsid w:val="00BD5A6B"/>
    <w:rsid w:val="00BE1081"/>
    <w:rsid w:val="00BE37DB"/>
    <w:rsid w:val="00BE3918"/>
    <w:rsid w:val="00BE5C52"/>
    <w:rsid w:val="00BF0097"/>
    <w:rsid w:val="00BF0BEB"/>
    <w:rsid w:val="00BF0F44"/>
    <w:rsid w:val="00BF27D4"/>
    <w:rsid w:val="00BF4A6A"/>
    <w:rsid w:val="00C01E63"/>
    <w:rsid w:val="00C02663"/>
    <w:rsid w:val="00C07001"/>
    <w:rsid w:val="00C108EB"/>
    <w:rsid w:val="00C131AE"/>
    <w:rsid w:val="00C14BC1"/>
    <w:rsid w:val="00C227E9"/>
    <w:rsid w:val="00C23173"/>
    <w:rsid w:val="00C302C8"/>
    <w:rsid w:val="00C368A2"/>
    <w:rsid w:val="00C4084C"/>
    <w:rsid w:val="00C411D3"/>
    <w:rsid w:val="00C414CE"/>
    <w:rsid w:val="00C4521C"/>
    <w:rsid w:val="00C4793D"/>
    <w:rsid w:val="00C47BA1"/>
    <w:rsid w:val="00C67BE3"/>
    <w:rsid w:val="00C70F8D"/>
    <w:rsid w:val="00C73195"/>
    <w:rsid w:val="00C762A2"/>
    <w:rsid w:val="00C86697"/>
    <w:rsid w:val="00C8788A"/>
    <w:rsid w:val="00C952F6"/>
    <w:rsid w:val="00C9714D"/>
    <w:rsid w:val="00CA182C"/>
    <w:rsid w:val="00CA65E7"/>
    <w:rsid w:val="00CB1850"/>
    <w:rsid w:val="00CB6910"/>
    <w:rsid w:val="00CC175D"/>
    <w:rsid w:val="00CD0CEE"/>
    <w:rsid w:val="00CD362F"/>
    <w:rsid w:val="00CD3C34"/>
    <w:rsid w:val="00CD568A"/>
    <w:rsid w:val="00CD7794"/>
    <w:rsid w:val="00CE0AE7"/>
    <w:rsid w:val="00CE4B42"/>
    <w:rsid w:val="00CE63C0"/>
    <w:rsid w:val="00D01601"/>
    <w:rsid w:val="00D06130"/>
    <w:rsid w:val="00D07F9A"/>
    <w:rsid w:val="00D13C9A"/>
    <w:rsid w:val="00D23337"/>
    <w:rsid w:val="00D244A2"/>
    <w:rsid w:val="00D24A31"/>
    <w:rsid w:val="00D2639B"/>
    <w:rsid w:val="00D32F13"/>
    <w:rsid w:val="00D44A0E"/>
    <w:rsid w:val="00D54A6A"/>
    <w:rsid w:val="00D6391F"/>
    <w:rsid w:val="00D71291"/>
    <w:rsid w:val="00D724C4"/>
    <w:rsid w:val="00D74A5A"/>
    <w:rsid w:val="00D80C5D"/>
    <w:rsid w:val="00D80DA2"/>
    <w:rsid w:val="00D82522"/>
    <w:rsid w:val="00D8647C"/>
    <w:rsid w:val="00D93220"/>
    <w:rsid w:val="00D9745E"/>
    <w:rsid w:val="00DC3A1F"/>
    <w:rsid w:val="00DC4F65"/>
    <w:rsid w:val="00DC7E6D"/>
    <w:rsid w:val="00DD1661"/>
    <w:rsid w:val="00DD1EA1"/>
    <w:rsid w:val="00DD3352"/>
    <w:rsid w:val="00DD3B05"/>
    <w:rsid w:val="00DD55C8"/>
    <w:rsid w:val="00DE2E35"/>
    <w:rsid w:val="00DF1BEA"/>
    <w:rsid w:val="00DF5A46"/>
    <w:rsid w:val="00E04223"/>
    <w:rsid w:val="00E0663E"/>
    <w:rsid w:val="00E227D5"/>
    <w:rsid w:val="00E33572"/>
    <w:rsid w:val="00E34A3A"/>
    <w:rsid w:val="00E4039A"/>
    <w:rsid w:val="00E52A8E"/>
    <w:rsid w:val="00E53DB6"/>
    <w:rsid w:val="00E632AB"/>
    <w:rsid w:val="00E65F85"/>
    <w:rsid w:val="00E75068"/>
    <w:rsid w:val="00E769E7"/>
    <w:rsid w:val="00E92301"/>
    <w:rsid w:val="00E93669"/>
    <w:rsid w:val="00E96281"/>
    <w:rsid w:val="00E9713D"/>
    <w:rsid w:val="00EA14D2"/>
    <w:rsid w:val="00EA5E58"/>
    <w:rsid w:val="00EB556D"/>
    <w:rsid w:val="00EB7800"/>
    <w:rsid w:val="00EC0B82"/>
    <w:rsid w:val="00EC4C03"/>
    <w:rsid w:val="00EC5DB4"/>
    <w:rsid w:val="00ED6908"/>
    <w:rsid w:val="00ED79EE"/>
    <w:rsid w:val="00F03B63"/>
    <w:rsid w:val="00F048FB"/>
    <w:rsid w:val="00F0537B"/>
    <w:rsid w:val="00F067B8"/>
    <w:rsid w:val="00F20BB5"/>
    <w:rsid w:val="00F2486F"/>
    <w:rsid w:val="00F32A0D"/>
    <w:rsid w:val="00F40586"/>
    <w:rsid w:val="00F40A31"/>
    <w:rsid w:val="00F44B3B"/>
    <w:rsid w:val="00F47220"/>
    <w:rsid w:val="00F57995"/>
    <w:rsid w:val="00F643FF"/>
    <w:rsid w:val="00F64A28"/>
    <w:rsid w:val="00F755BB"/>
    <w:rsid w:val="00F82284"/>
    <w:rsid w:val="00F93C8F"/>
    <w:rsid w:val="00FC12B4"/>
    <w:rsid w:val="00FE5BAC"/>
    <w:rsid w:val="00FE5F74"/>
    <w:rsid w:val="00FF062B"/>
    <w:rsid w:val="00FF28C6"/>
    <w:rsid w:val="00FF317F"/>
    <w:rsid w:val="00FF3F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0719C2"/>
  <w15:chartTrackingRefBased/>
  <w15:docId w15:val="{9FECC68B-1483-4CDB-BA8E-622119D5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link w:val="P00"/>
    <w:rsid w:val="00254E52"/>
    <w:rPr>
      <w:rFonts w:cs="FrankRuehl"/>
      <w:noProof/>
      <w:szCs w:val="26"/>
      <w:lang w:val="en-US" w:eastAsia="he-IL" w:bidi="he-IL"/>
    </w:rPr>
  </w:style>
  <w:style w:type="character" w:customStyle="1" w:styleId="UnresolvedMention">
    <w:name w:val="Unresolved Mention"/>
    <w:uiPriority w:val="99"/>
    <w:semiHidden/>
    <w:unhideWhenUsed/>
    <w:rsid w:val="00633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98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983.pdf" TargetMode="External"/><Relationship Id="rId1" Type="http://schemas.openxmlformats.org/officeDocument/2006/relationships/hyperlink" Target="http://www.nevo.co.il/Law_word/law06/TAK-80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9277</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8126482</vt:i4>
      </vt:variant>
      <vt:variant>
        <vt:i4>30</vt:i4>
      </vt:variant>
      <vt:variant>
        <vt:i4>0</vt:i4>
      </vt:variant>
      <vt:variant>
        <vt:i4>5</vt:i4>
      </vt:variant>
      <vt:variant>
        <vt:lpwstr>https://www.nevo.co.il/Law_word/law06/tak-8983.pdf</vt:lpwstr>
      </vt:variant>
      <vt:variant>
        <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8126482</vt:i4>
      </vt:variant>
      <vt:variant>
        <vt:i4>3</vt:i4>
      </vt:variant>
      <vt:variant>
        <vt:i4>0</vt:i4>
      </vt:variant>
      <vt:variant>
        <vt:i4>5</vt:i4>
      </vt:variant>
      <vt:variant>
        <vt:lpwstr>https://www.nevo.co.il/law_word/law06/tak-8983.pdf</vt:lpwstr>
      </vt:variant>
      <vt:variant>
        <vt:lpwstr/>
      </vt:variant>
      <vt:variant>
        <vt:i4>7733248</vt:i4>
      </vt:variant>
      <vt:variant>
        <vt:i4>0</vt:i4>
      </vt:variant>
      <vt:variant>
        <vt:i4>0</vt:i4>
      </vt:variant>
      <vt:variant>
        <vt:i4>5</vt:i4>
      </vt:variant>
      <vt:variant>
        <vt:lpwstr>http://www.nevo.co.il/Law_word/law06/TAK-8078.pdf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כלכלה</vt:lpwstr>
  </property>
  <property fmtid="{D5CDD505-2E9C-101B-9397-08002B2CF9AE}" pid="4" name="LAWNAME">
    <vt:lpwstr>תקנות הפיקוח על שירותים פיננסיים (שירותים פיננסיים מוסדרים) (פטור מחובת רישוי) (הוראת שעה), תשע"ט-2018</vt:lpwstr>
  </property>
  <property fmtid="{D5CDD505-2E9C-101B-9397-08002B2CF9AE}" pid="5" name="LAWNUMBER">
    <vt:lpwstr>0962</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NOSE11">
    <vt:lpwstr>משפט פרטי וכלכלה</vt:lpwstr>
  </property>
  <property fmtid="{D5CDD505-2E9C-101B-9397-08002B2CF9AE}" pid="15" name="NOSE21">
    <vt:lpwstr>כספים</vt:lpwstr>
  </property>
  <property fmtid="{D5CDD505-2E9C-101B-9397-08002B2CF9AE}" pid="16" name="NOSE31">
    <vt:lpwstr>שירותים פיננסיים</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MEKOR_NAME1">
    <vt:lpwstr>חוק הפיקוח על שירותים פיננסיים (שירותים פיננסיים מוסדרים)</vt:lpwstr>
  </property>
  <property fmtid="{D5CDD505-2E9C-101B-9397-08002B2CF9AE}" pid="56" name="MEKOR_SAIF1">
    <vt:lpwstr>13XבX</vt:lpwstr>
  </property>
  <property fmtid="{D5CDD505-2E9C-101B-9397-08002B2CF9AE}" pid="57" name="LINKK1">
    <vt:lpwstr>http://www.nevo.co.il/Law_word/law06/TAK-8078.pdf;‎רשומות - תקנות כלליות#פורסמו ק"ת ‏תשע"ט מס' 8078 #מיום 3.10.2018 עמ' 314‏</vt:lpwstr>
  </property>
  <property fmtid="{D5CDD505-2E9C-101B-9397-08002B2CF9AE}" pid="58" name="LINKK2">
    <vt:lpwstr>https://www.nevo.co.il/law_word/law06/tak-8983.pdf‏;רשומות - תקנות כלליות#תוקנו ק"ת תשפ"א ‏מס' 8983 #מיום 10.12.2020 עמ' 882 – תק' תשפ"א-2020; תחילתן ביום</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ies>
</file>