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6BAA" w14:textId="77777777" w:rsidR="00E516B4" w:rsidRDefault="00E516B4">
      <w:pPr>
        <w:pStyle w:val="big-header"/>
        <w:ind w:left="0" w:right="1134"/>
        <w:rPr>
          <w:rFonts w:cs="FrankRuehl" w:hint="cs"/>
          <w:sz w:val="32"/>
          <w:rtl/>
        </w:rPr>
      </w:pPr>
      <w:r>
        <w:rPr>
          <w:rFonts w:cs="FrankRuehl" w:hint="cs"/>
          <w:sz w:val="32"/>
          <w:rtl/>
        </w:rPr>
        <w:t>תקנות הפיקוח על שירותים פיננסים (קופות גמל) (הפחתה של סכומי העיצום הכספי), תשס"ח-2007</w:t>
      </w:r>
    </w:p>
    <w:p w14:paraId="116229E9" w14:textId="77777777" w:rsidR="0089244D" w:rsidRPr="0089244D" w:rsidRDefault="0089244D" w:rsidP="0089244D">
      <w:pPr>
        <w:spacing w:line="320" w:lineRule="auto"/>
        <w:rPr>
          <w:rFonts w:cs="FrankRuehl"/>
          <w:szCs w:val="26"/>
          <w:rtl/>
        </w:rPr>
      </w:pPr>
    </w:p>
    <w:p w14:paraId="7DEE7841" w14:textId="77777777" w:rsidR="00C20A4A" w:rsidRDefault="00C20A4A" w:rsidP="00C20A4A">
      <w:pPr>
        <w:spacing w:line="320" w:lineRule="auto"/>
        <w:rPr>
          <w:rtl/>
        </w:rPr>
      </w:pPr>
    </w:p>
    <w:p w14:paraId="408840B0" w14:textId="77777777" w:rsidR="00C20A4A" w:rsidRDefault="00C20A4A" w:rsidP="00C20A4A">
      <w:pPr>
        <w:spacing w:line="320" w:lineRule="auto"/>
        <w:rPr>
          <w:rFonts w:cs="FrankRuehl"/>
          <w:szCs w:val="26"/>
          <w:rtl/>
        </w:rPr>
      </w:pPr>
      <w:r w:rsidRPr="00C20A4A">
        <w:rPr>
          <w:rFonts w:cs="Miriam"/>
          <w:szCs w:val="22"/>
          <w:rtl/>
        </w:rPr>
        <w:t>משפט פרטי וכלכלה</w:t>
      </w:r>
      <w:r w:rsidRPr="00C20A4A">
        <w:rPr>
          <w:rFonts w:cs="FrankRuehl"/>
          <w:szCs w:val="26"/>
          <w:rtl/>
        </w:rPr>
        <w:t xml:space="preserve"> – כספים – שירותים פיננסיים – קופות גמל</w:t>
      </w:r>
    </w:p>
    <w:p w14:paraId="46266924" w14:textId="77777777" w:rsidR="00C20A4A" w:rsidRDefault="00C20A4A" w:rsidP="00C20A4A">
      <w:pPr>
        <w:spacing w:line="320" w:lineRule="auto"/>
        <w:rPr>
          <w:rFonts w:cs="FrankRuehl"/>
          <w:szCs w:val="26"/>
          <w:rtl/>
        </w:rPr>
      </w:pPr>
      <w:r w:rsidRPr="00C20A4A">
        <w:rPr>
          <w:rFonts w:cs="Miriam"/>
          <w:szCs w:val="22"/>
          <w:rtl/>
        </w:rPr>
        <w:t>עונשין ומשפט פלילי</w:t>
      </w:r>
      <w:r w:rsidRPr="00C20A4A">
        <w:rPr>
          <w:rFonts w:cs="FrankRuehl"/>
          <w:szCs w:val="26"/>
          <w:rtl/>
        </w:rPr>
        <w:t xml:space="preserve"> – ענישה, מאסר ומעצר – עיצום כספי</w:t>
      </w:r>
    </w:p>
    <w:p w14:paraId="4A9C75AD" w14:textId="77777777" w:rsidR="00C20A4A" w:rsidRDefault="00C20A4A" w:rsidP="00C20A4A">
      <w:pPr>
        <w:spacing w:line="320" w:lineRule="auto"/>
        <w:rPr>
          <w:rFonts w:cs="FrankRuehl"/>
          <w:szCs w:val="26"/>
          <w:rtl/>
        </w:rPr>
      </w:pPr>
      <w:r w:rsidRPr="00C20A4A">
        <w:rPr>
          <w:rFonts w:cs="Miriam"/>
          <w:szCs w:val="22"/>
          <w:rtl/>
        </w:rPr>
        <w:t>משפט פרטי וכלכלה</w:t>
      </w:r>
      <w:r w:rsidRPr="00C20A4A">
        <w:rPr>
          <w:rFonts w:cs="FrankRuehl"/>
          <w:szCs w:val="26"/>
          <w:rtl/>
        </w:rPr>
        <w:t xml:space="preserve"> – תאגידים וניירות ערך – קופות גמל</w:t>
      </w:r>
    </w:p>
    <w:p w14:paraId="6F5B4164" w14:textId="77777777" w:rsidR="0089244D" w:rsidRPr="00C20A4A" w:rsidRDefault="00C20A4A" w:rsidP="00C20A4A">
      <w:pPr>
        <w:spacing w:line="320" w:lineRule="auto"/>
        <w:rPr>
          <w:rFonts w:cs="Miriam"/>
          <w:szCs w:val="22"/>
          <w:rtl/>
        </w:rPr>
      </w:pPr>
      <w:r w:rsidRPr="00C20A4A">
        <w:rPr>
          <w:rFonts w:cs="Miriam"/>
          <w:szCs w:val="22"/>
          <w:rtl/>
        </w:rPr>
        <w:t>משפט פרטי וכלכלה</w:t>
      </w:r>
      <w:r w:rsidRPr="00C20A4A">
        <w:rPr>
          <w:rFonts w:cs="FrankRuehl"/>
          <w:szCs w:val="26"/>
          <w:rtl/>
        </w:rPr>
        <w:t xml:space="preserve"> – כספים – עיצום כספי</w:t>
      </w:r>
    </w:p>
    <w:p w14:paraId="1AE8877A" w14:textId="77777777" w:rsidR="00E516B4" w:rsidRDefault="00E516B4">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516B4" w14:paraId="5EDEAA32" w14:textId="77777777">
        <w:tblPrEx>
          <w:tblCellMar>
            <w:top w:w="0" w:type="dxa"/>
            <w:bottom w:w="0" w:type="dxa"/>
          </w:tblCellMar>
        </w:tblPrEx>
        <w:trPr>
          <w:jc w:val="right"/>
        </w:trPr>
        <w:tc>
          <w:tcPr>
            <w:tcW w:w="850" w:type="dxa"/>
          </w:tcPr>
          <w:p w14:paraId="65A20765" w14:textId="77777777" w:rsidR="00E516B4" w:rsidRDefault="00E516B4">
            <w:pPr>
              <w:rPr>
                <w:rFonts w:cs="Frankruhel" w:hint="cs"/>
              </w:rPr>
            </w:pPr>
            <w:r>
              <w:rPr>
                <w:rFonts w:cs="Frankruhel"/>
                <w:rtl/>
              </w:rPr>
              <w:fldChar w:fldCharType="begin"/>
            </w:r>
            <w:r>
              <w:rPr>
                <w:rFonts w:cs="Frankruhel"/>
                <w:rtl/>
              </w:rPr>
              <w:instrText xml:space="preserve"> </w:instrText>
            </w:r>
            <w:r>
              <w:rPr>
                <w:rFonts w:cs="Frankruhel"/>
              </w:rPr>
              <w:instrText>PAGEREF Seif0</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140290C0" w14:textId="77777777" w:rsidR="00E516B4" w:rsidRDefault="00E516B4">
            <w:pPr>
              <w:rPr>
                <w:rFonts w:cs="Frankruhel" w:hint="cs"/>
              </w:rPr>
            </w:pPr>
            <w:hyperlink w:anchor="Seif0" w:tooltip="הגדרה" w:history="1">
              <w:r>
                <w:rPr>
                  <w:rStyle w:val="Hyperlink"/>
                </w:rPr>
                <w:t>Go</w:t>
              </w:r>
            </w:hyperlink>
          </w:p>
        </w:tc>
        <w:tc>
          <w:tcPr>
            <w:tcW w:w="5669" w:type="dxa"/>
          </w:tcPr>
          <w:p w14:paraId="4177CE2C" w14:textId="77777777" w:rsidR="00E516B4" w:rsidRDefault="00E516B4">
            <w:pPr>
              <w:rPr>
                <w:rFonts w:cs="Frankruhel"/>
                <w:rtl/>
              </w:rPr>
            </w:pPr>
            <w:r>
              <w:rPr>
                <w:rFonts w:cs="Frankruhel"/>
                <w:rtl/>
              </w:rPr>
              <w:t>הגדרה</w:t>
            </w:r>
          </w:p>
        </w:tc>
        <w:tc>
          <w:tcPr>
            <w:tcW w:w="1247" w:type="dxa"/>
          </w:tcPr>
          <w:p w14:paraId="2C2D3F35" w14:textId="77777777" w:rsidR="00E516B4" w:rsidRDefault="00E516B4">
            <w:pPr>
              <w:rPr>
                <w:rFonts w:cs="Frankruhel" w:hint="cs"/>
              </w:rPr>
            </w:pPr>
            <w:r>
              <w:rPr>
                <w:rFonts w:cs="Frankruhel"/>
                <w:rtl/>
              </w:rPr>
              <w:t xml:space="preserve">סעיף 1 </w:t>
            </w:r>
          </w:p>
        </w:tc>
      </w:tr>
      <w:tr w:rsidR="00E516B4" w14:paraId="70E72A16" w14:textId="77777777">
        <w:tblPrEx>
          <w:tblCellMar>
            <w:top w:w="0" w:type="dxa"/>
            <w:bottom w:w="0" w:type="dxa"/>
          </w:tblCellMar>
        </w:tblPrEx>
        <w:trPr>
          <w:jc w:val="right"/>
        </w:trPr>
        <w:tc>
          <w:tcPr>
            <w:tcW w:w="850" w:type="dxa"/>
          </w:tcPr>
          <w:p w14:paraId="1F34271E" w14:textId="77777777" w:rsidR="00E516B4" w:rsidRDefault="00E516B4">
            <w:pPr>
              <w:rPr>
                <w:rFonts w:cs="Frankruhel" w:hint="cs"/>
              </w:rPr>
            </w:pPr>
            <w:r>
              <w:rPr>
                <w:rFonts w:cs="Frankruhel"/>
                <w:rtl/>
              </w:rPr>
              <w:fldChar w:fldCharType="begin"/>
            </w:r>
            <w:r>
              <w:rPr>
                <w:rFonts w:cs="Frankruhel"/>
                <w:rtl/>
              </w:rPr>
              <w:instrText xml:space="preserve"> </w:instrText>
            </w:r>
            <w:r>
              <w:rPr>
                <w:rFonts w:cs="Frankruhel"/>
              </w:rPr>
              <w:instrText>PAGEREF Seif1</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2ECD7368" w14:textId="77777777" w:rsidR="00E516B4" w:rsidRDefault="00E516B4">
            <w:pPr>
              <w:rPr>
                <w:rFonts w:cs="Frankruhel" w:hint="cs"/>
              </w:rPr>
            </w:pPr>
            <w:hyperlink w:anchor="Seif1" w:tooltip="הפחתת סכומי העיצום הכספי" w:history="1">
              <w:r>
                <w:rPr>
                  <w:rStyle w:val="Hyperlink"/>
                </w:rPr>
                <w:t>Go</w:t>
              </w:r>
            </w:hyperlink>
          </w:p>
        </w:tc>
        <w:tc>
          <w:tcPr>
            <w:tcW w:w="5669" w:type="dxa"/>
          </w:tcPr>
          <w:p w14:paraId="1AD11787" w14:textId="77777777" w:rsidR="00E516B4" w:rsidRDefault="00E516B4">
            <w:pPr>
              <w:rPr>
                <w:rFonts w:cs="Frankruhel"/>
                <w:rtl/>
              </w:rPr>
            </w:pPr>
            <w:r>
              <w:rPr>
                <w:rFonts w:cs="Frankruhel"/>
                <w:rtl/>
              </w:rPr>
              <w:t>הפחתת סכומי העיצום הכספי</w:t>
            </w:r>
          </w:p>
        </w:tc>
        <w:tc>
          <w:tcPr>
            <w:tcW w:w="1247" w:type="dxa"/>
          </w:tcPr>
          <w:p w14:paraId="6280591A" w14:textId="77777777" w:rsidR="00E516B4" w:rsidRDefault="00E516B4">
            <w:pPr>
              <w:rPr>
                <w:rFonts w:cs="Frankruhel" w:hint="cs"/>
              </w:rPr>
            </w:pPr>
            <w:r>
              <w:rPr>
                <w:rFonts w:cs="Frankruhel"/>
                <w:rtl/>
              </w:rPr>
              <w:t xml:space="preserve">סעיף 2 </w:t>
            </w:r>
          </w:p>
        </w:tc>
      </w:tr>
      <w:tr w:rsidR="00E516B4" w14:paraId="26A10067" w14:textId="77777777">
        <w:tblPrEx>
          <w:tblCellMar>
            <w:top w:w="0" w:type="dxa"/>
            <w:bottom w:w="0" w:type="dxa"/>
          </w:tblCellMar>
        </w:tblPrEx>
        <w:trPr>
          <w:jc w:val="right"/>
        </w:trPr>
        <w:tc>
          <w:tcPr>
            <w:tcW w:w="850" w:type="dxa"/>
          </w:tcPr>
          <w:p w14:paraId="6F46808E" w14:textId="77777777" w:rsidR="00E516B4" w:rsidRDefault="00E516B4">
            <w:pPr>
              <w:rPr>
                <w:rFonts w:cs="Frankruhel" w:hint="cs"/>
              </w:rPr>
            </w:pPr>
            <w:r>
              <w:rPr>
                <w:rFonts w:cs="Frankruhel"/>
                <w:rtl/>
              </w:rPr>
              <w:fldChar w:fldCharType="begin"/>
            </w:r>
            <w:r>
              <w:rPr>
                <w:rFonts w:cs="Frankruhel"/>
                <w:rtl/>
              </w:rPr>
              <w:instrText xml:space="preserve"> </w:instrText>
            </w:r>
            <w:r>
              <w:rPr>
                <w:rFonts w:cs="Frankruhel"/>
              </w:rPr>
              <w:instrText>PAGEREF Seif2</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7EBEBD72" w14:textId="77777777" w:rsidR="00E516B4" w:rsidRDefault="00E516B4">
            <w:pPr>
              <w:rPr>
                <w:rFonts w:cs="Frankruhel" w:hint="cs"/>
              </w:rPr>
            </w:pPr>
            <w:hyperlink w:anchor="Seif2" w:tooltip="סמכות הממונה" w:history="1">
              <w:r>
                <w:rPr>
                  <w:rStyle w:val="Hyperlink"/>
                </w:rPr>
                <w:t>Go</w:t>
              </w:r>
            </w:hyperlink>
          </w:p>
        </w:tc>
        <w:tc>
          <w:tcPr>
            <w:tcW w:w="5669" w:type="dxa"/>
          </w:tcPr>
          <w:p w14:paraId="7676B3F9" w14:textId="77777777" w:rsidR="00E516B4" w:rsidRDefault="00E516B4">
            <w:pPr>
              <w:rPr>
                <w:rFonts w:cs="Frankruhel"/>
                <w:rtl/>
              </w:rPr>
            </w:pPr>
            <w:r>
              <w:rPr>
                <w:rFonts w:cs="Frankruhel"/>
                <w:rtl/>
              </w:rPr>
              <w:t>סמכות הממונה</w:t>
            </w:r>
          </w:p>
        </w:tc>
        <w:tc>
          <w:tcPr>
            <w:tcW w:w="1247" w:type="dxa"/>
          </w:tcPr>
          <w:p w14:paraId="42E35782" w14:textId="77777777" w:rsidR="00E516B4" w:rsidRDefault="00E516B4">
            <w:pPr>
              <w:rPr>
                <w:rFonts w:cs="Frankruhel" w:hint="cs"/>
              </w:rPr>
            </w:pPr>
            <w:r>
              <w:rPr>
                <w:rFonts w:cs="Frankruhel"/>
                <w:rtl/>
              </w:rPr>
              <w:t xml:space="preserve">סעיף 3 </w:t>
            </w:r>
          </w:p>
        </w:tc>
      </w:tr>
      <w:tr w:rsidR="00E516B4" w14:paraId="7449AA58" w14:textId="77777777">
        <w:tblPrEx>
          <w:tblCellMar>
            <w:top w:w="0" w:type="dxa"/>
            <w:bottom w:w="0" w:type="dxa"/>
          </w:tblCellMar>
        </w:tblPrEx>
        <w:trPr>
          <w:jc w:val="right"/>
        </w:trPr>
        <w:tc>
          <w:tcPr>
            <w:tcW w:w="850" w:type="dxa"/>
          </w:tcPr>
          <w:p w14:paraId="099931A9" w14:textId="77777777" w:rsidR="00E516B4" w:rsidRDefault="00E516B4">
            <w:pPr>
              <w:rPr>
                <w:rFonts w:cs="Frankruhel" w:hint="cs"/>
              </w:rPr>
            </w:pPr>
            <w:r>
              <w:rPr>
                <w:rFonts w:cs="Frankruhel"/>
                <w:rtl/>
              </w:rPr>
              <w:fldChar w:fldCharType="begin"/>
            </w:r>
            <w:r>
              <w:rPr>
                <w:rFonts w:cs="Frankruhel"/>
                <w:rtl/>
              </w:rPr>
              <w:instrText xml:space="preserve"> </w:instrText>
            </w:r>
            <w:r>
              <w:rPr>
                <w:rFonts w:cs="Frankruhel"/>
              </w:rPr>
              <w:instrText>PAGEREF Seif3</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5512C363" w14:textId="77777777" w:rsidR="00E516B4" w:rsidRDefault="00E516B4">
            <w:pPr>
              <w:rPr>
                <w:rFonts w:cs="Frankruhel" w:hint="cs"/>
              </w:rPr>
            </w:pPr>
            <w:hyperlink w:anchor="Seif3" w:tooltip="הפחתה בשל נסיבות אישיות" w:history="1">
              <w:r>
                <w:rPr>
                  <w:rStyle w:val="Hyperlink"/>
                </w:rPr>
                <w:t>Go</w:t>
              </w:r>
            </w:hyperlink>
          </w:p>
        </w:tc>
        <w:tc>
          <w:tcPr>
            <w:tcW w:w="5669" w:type="dxa"/>
          </w:tcPr>
          <w:p w14:paraId="4BDE8023" w14:textId="77777777" w:rsidR="00E516B4" w:rsidRDefault="00E516B4">
            <w:pPr>
              <w:rPr>
                <w:rFonts w:cs="Frankruhel"/>
                <w:rtl/>
              </w:rPr>
            </w:pPr>
            <w:r>
              <w:rPr>
                <w:rFonts w:cs="Frankruhel"/>
                <w:rtl/>
              </w:rPr>
              <w:t>הפחתה בשל נסיבות אישיות</w:t>
            </w:r>
          </w:p>
        </w:tc>
        <w:tc>
          <w:tcPr>
            <w:tcW w:w="1247" w:type="dxa"/>
          </w:tcPr>
          <w:p w14:paraId="31E68A05" w14:textId="77777777" w:rsidR="00E516B4" w:rsidRDefault="00E516B4">
            <w:pPr>
              <w:rPr>
                <w:rFonts w:cs="Frankruhel" w:hint="cs"/>
              </w:rPr>
            </w:pPr>
            <w:r>
              <w:rPr>
                <w:rFonts w:cs="Frankruhel"/>
                <w:rtl/>
              </w:rPr>
              <w:t xml:space="preserve">סעיף 4 </w:t>
            </w:r>
          </w:p>
        </w:tc>
      </w:tr>
    </w:tbl>
    <w:p w14:paraId="4918EB94" w14:textId="77777777" w:rsidR="00E516B4" w:rsidRDefault="00E516B4">
      <w:pPr>
        <w:pStyle w:val="big-header"/>
        <w:ind w:left="0" w:right="1134"/>
        <w:rPr>
          <w:rFonts w:cs="FrankRuehl" w:hint="cs"/>
          <w:sz w:val="32"/>
          <w:rtl/>
        </w:rPr>
      </w:pPr>
    </w:p>
    <w:p w14:paraId="5C125F1C" w14:textId="77777777" w:rsidR="00E516B4" w:rsidRDefault="00E516B4" w:rsidP="00E516B4">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הפיקוח על שירותים פיננסים (קופות גמל) (הפחתה של סכומי העיצום הכספי), תשס"ח-2007</w:t>
      </w:r>
      <w:r>
        <w:rPr>
          <w:rStyle w:val="default"/>
          <w:sz w:val="22"/>
          <w:szCs w:val="22"/>
          <w:rtl/>
        </w:rPr>
        <w:footnoteReference w:customMarkFollows="1" w:id="1"/>
        <w:t>*</w:t>
      </w:r>
    </w:p>
    <w:p w14:paraId="47D7A6EA" w14:textId="77777777" w:rsidR="00E516B4" w:rsidRDefault="00E516B4">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46(ב) ו</w:t>
      </w:r>
      <w:r>
        <w:rPr>
          <w:rStyle w:val="default"/>
          <w:rFonts w:cs="FrankRuehl" w:hint="cs"/>
          <w:rtl/>
        </w:rPr>
        <w:t>-</w:t>
      </w:r>
      <w:r>
        <w:rPr>
          <w:rStyle w:val="default"/>
          <w:rFonts w:cs="FrankRuehl"/>
          <w:rtl/>
        </w:rPr>
        <w:t>60 לחוק הפיקוח על שירותים פיננסיים (קופות גמל), התשס"ה</w:t>
      </w:r>
      <w:r>
        <w:rPr>
          <w:rStyle w:val="default"/>
          <w:rFonts w:cs="FrankRuehl" w:hint="cs"/>
          <w:rtl/>
        </w:rPr>
        <w:t>-2005</w:t>
      </w:r>
      <w:r>
        <w:rPr>
          <w:rStyle w:val="default"/>
          <w:rFonts w:cs="FrankRuehl"/>
          <w:rtl/>
        </w:rPr>
        <w:t xml:space="preserve"> (להלן – החוק), ובהסכמת שר המשפטים, אני מתקין תקנות אלה:</w:t>
      </w:r>
    </w:p>
    <w:p w14:paraId="372B2E82" w14:textId="77777777" w:rsidR="00E516B4" w:rsidRDefault="00E516B4">
      <w:pPr>
        <w:pStyle w:val="P00"/>
        <w:spacing w:before="72"/>
        <w:ind w:left="0" w:right="1134"/>
        <w:rPr>
          <w:rStyle w:val="default"/>
          <w:rFonts w:cs="FrankRuehl" w:hint="cs"/>
          <w:rtl/>
        </w:rPr>
      </w:pPr>
      <w:bookmarkStart w:id="0" w:name="Seif0"/>
      <w:bookmarkEnd w:id="0"/>
      <w:r>
        <w:rPr>
          <w:rFonts w:cs="Miriam"/>
          <w:lang w:val="he-IL"/>
        </w:rPr>
        <w:pict w14:anchorId="03B661E8">
          <v:rect id="_x0000_s1026" style="position:absolute;left:0;text-align:left;margin-left:464.35pt;margin-top:7.1pt;width:75.05pt;height:16.95pt;z-index:251656192" o:allowincell="f" filled="f" stroked="f" strokecolor="lime" strokeweight=".25pt">
            <v:textbox style="mso-next-textbox:#_x0000_s1026" inset="0,0,0,0">
              <w:txbxContent>
                <w:p w14:paraId="5DBB0CB1" w14:textId="77777777" w:rsidR="00E516B4" w:rsidRDefault="00E516B4">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"הוראה" – הוראה מההוראות המפורטות בפרק ה' בחוק אשר בשלה או</w:t>
      </w:r>
      <w:r>
        <w:rPr>
          <w:rStyle w:val="default"/>
          <w:rFonts w:cs="FrankRuehl" w:hint="cs"/>
          <w:rtl/>
        </w:rPr>
        <w:t xml:space="preserve"> </w:t>
      </w:r>
      <w:r>
        <w:rPr>
          <w:rStyle w:val="default"/>
          <w:rFonts w:cs="FrankRuehl"/>
          <w:rtl/>
        </w:rPr>
        <w:t>לפיה מוסמך הממונה להטיל עיצום כספי, ולעניין הוראת הממונה שניתנה לפי סעיף 39(ב) לחוק (להלן – חוזר) או הוראה שניתנה לפי סעיף 42 לחוק הפיקוח על הביטוח כפי שהוחל בסעיף 40 לחוק לגבי דוח או הודעה מסוימים (להלן – הוראה להגיש דוח) – יראו בכל חוזר או הוראה להגיש דוח כאמור כהוראה נפרדת.</w:t>
      </w:r>
    </w:p>
    <w:p w14:paraId="0EA4005B" w14:textId="77777777" w:rsidR="00E516B4" w:rsidRDefault="00E516B4">
      <w:pPr>
        <w:pStyle w:val="P00"/>
        <w:spacing w:before="72"/>
        <w:ind w:left="0" w:right="1134"/>
        <w:rPr>
          <w:rStyle w:val="default"/>
          <w:rFonts w:cs="FrankRuehl" w:hint="cs"/>
          <w:rtl/>
        </w:rPr>
      </w:pPr>
      <w:bookmarkStart w:id="1" w:name="Seif1"/>
      <w:bookmarkEnd w:id="1"/>
      <w:r>
        <w:rPr>
          <w:rFonts w:cs="Miriam"/>
          <w:lang w:val="he-IL"/>
        </w:rPr>
        <w:pict w14:anchorId="06D6C47F">
          <v:rect id="_x0000_s1250" style="position:absolute;left:0;text-align:left;margin-left:464.35pt;margin-top:7.1pt;width:75.05pt;height:16.95pt;z-index:251657216" o:allowincell="f" filled="f" stroked="f" strokecolor="lime" strokeweight=".25pt">
            <v:textbox style="mso-next-textbox:#_x0000_s1250" inset="0,0,0,0">
              <w:txbxContent>
                <w:p w14:paraId="44C74E26" w14:textId="77777777" w:rsidR="00E516B4" w:rsidRDefault="00E516B4">
                  <w:pPr>
                    <w:spacing w:line="160" w:lineRule="exact"/>
                    <w:rPr>
                      <w:rFonts w:cs="Miriam" w:hint="cs"/>
                      <w:noProof/>
                      <w:sz w:val="18"/>
                      <w:szCs w:val="18"/>
                      <w:rtl/>
                    </w:rPr>
                  </w:pPr>
                  <w:r>
                    <w:rPr>
                      <w:rFonts w:cs="Miriam" w:hint="cs"/>
                      <w:sz w:val="18"/>
                      <w:szCs w:val="18"/>
                      <w:rtl/>
                    </w:rPr>
                    <w:t>הפחתת סכומי העיצום הכספי</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מצא הממונה כי נתקיימו נסיבות שלפיהן ניתן להטיל על אדם עיצום כספי לפי פרק ה' לחוק בשל הפרה של הוראה, ונתקיימה אחת או יותר מהנסיבות המנויות להלן, יפחית לאותו אדם מסכום העיצום הכספי הקבוע בשל אותה הפרה, את השיעור הנקוב לצד אותה נסיבה, ובהתקיים כמה נסיבות – בשיעור המצטבר של השיעורים המנויים לצדן:</w:t>
      </w:r>
    </w:p>
    <w:p w14:paraId="44AE4F57" w14:textId="77777777" w:rsidR="00E516B4" w:rsidRDefault="00E516B4">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המפר לא הפר את אותה הוראה בעבר – 70%; ואולם אם הפר המפר הוראות</w:t>
      </w:r>
      <w:r>
        <w:rPr>
          <w:rStyle w:val="default"/>
          <w:rFonts w:cs="FrankRuehl" w:hint="cs"/>
          <w:rtl/>
        </w:rPr>
        <w:t xml:space="preserve"> </w:t>
      </w:r>
      <w:r>
        <w:rPr>
          <w:rStyle w:val="default"/>
          <w:rFonts w:cs="FrankRuehl"/>
          <w:rtl/>
        </w:rPr>
        <w:t>לפי החוק שלוש פעמים או יותר במהלך השנתיים שקדמו להפרה, יהיה גובה ההפחתה לפי פסקה זו –</w:t>
      </w:r>
      <w:r>
        <w:rPr>
          <w:rStyle w:val="default"/>
          <w:rFonts w:cs="FrankRuehl" w:hint="cs"/>
          <w:rtl/>
        </w:rPr>
        <w:t xml:space="preserve"> </w:t>
      </w:r>
      <w:r>
        <w:rPr>
          <w:rStyle w:val="default"/>
          <w:rFonts w:cs="FrankRuehl"/>
          <w:rtl/>
        </w:rPr>
        <w:t>35%;</w:t>
      </w:r>
    </w:p>
    <w:p w14:paraId="6E26A3DB" w14:textId="77777777" w:rsidR="00E516B4" w:rsidRDefault="00E516B4">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המפר הפסיק את ההפרה מיוזמתו ודיווח עליה לממונה –</w:t>
      </w:r>
      <w:r>
        <w:rPr>
          <w:rStyle w:val="default"/>
          <w:rFonts w:cs="FrankRuehl" w:hint="cs"/>
          <w:rtl/>
        </w:rPr>
        <w:t xml:space="preserve"> </w:t>
      </w:r>
      <w:r>
        <w:rPr>
          <w:rStyle w:val="default"/>
          <w:rFonts w:cs="FrankRuehl"/>
          <w:rtl/>
        </w:rPr>
        <w:t>5%;</w:t>
      </w:r>
    </w:p>
    <w:p w14:paraId="5B68EDEF" w14:textId="77777777" w:rsidR="00E516B4" w:rsidRDefault="00E516B4">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המפר נקט פעולות למניעת הישנות ההפרה ולהקטנת הנזק, להנחת דעתו של הממונה –</w:t>
      </w:r>
      <w:r>
        <w:rPr>
          <w:rStyle w:val="default"/>
          <w:rFonts w:cs="FrankRuehl" w:hint="cs"/>
          <w:rtl/>
        </w:rPr>
        <w:t xml:space="preserve"> </w:t>
      </w:r>
      <w:r>
        <w:rPr>
          <w:rStyle w:val="default"/>
          <w:rFonts w:cs="FrankRuehl"/>
          <w:rtl/>
        </w:rPr>
        <w:t>5%;</w:t>
      </w:r>
    </w:p>
    <w:p w14:paraId="637CE0E2" w14:textId="77777777" w:rsidR="00E516B4" w:rsidRDefault="00E516B4">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ההפרה היא הפרה של הוראה חדשה שחייבה היערכות מיוחדת מצד המפר,</w:t>
      </w:r>
      <w:r>
        <w:rPr>
          <w:rStyle w:val="default"/>
          <w:rFonts w:cs="FrankRuehl" w:hint="cs"/>
          <w:rtl/>
        </w:rPr>
        <w:t xml:space="preserve"> </w:t>
      </w:r>
      <w:r>
        <w:rPr>
          <w:rStyle w:val="default"/>
          <w:rFonts w:cs="FrankRuehl"/>
          <w:rtl/>
        </w:rPr>
        <w:t>ובלבד שהמפר תיקן את ההפרה בתוך פרק הזמן שעליו הורה הממונה –</w:t>
      </w:r>
      <w:r>
        <w:rPr>
          <w:rStyle w:val="default"/>
          <w:rFonts w:cs="FrankRuehl" w:hint="cs"/>
          <w:rtl/>
        </w:rPr>
        <w:t xml:space="preserve"> </w:t>
      </w:r>
      <w:r>
        <w:rPr>
          <w:rStyle w:val="default"/>
          <w:rFonts w:cs="FrankRuehl"/>
          <w:rtl/>
        </w:rPr>
        <w:t>10%; לא תיקן</w:t>
      </w:r>
      <w:r>
        <w:rPr>
          <w:rStyle w:val="default"/>
          <w:rFonts w:cs="FrankRuehl" w:hint="cs"/>
          <w:rtl/>
        </w:rPr>
        <w:t xml:space="preserve"> </w:t>
      </w:r>
      <w:r>
        <w:rPr>
          <w:rStyle w:val="default"/>
          <w:rFonts w:cs="FrankRuehl"/>
          <w:rtl/>
        </w:rPr>
        <w:t>המפר את ההוראה בתוך פרק הזמן שהורה הממונה, תבוטל ההפחתה והמפר יהיה חייב בסכום העיצום הכספי כאילו לא ניתנה ההפחתה מלכתחילה.</w:t>
      </w:r>
    </w:p>
    <w:p w14:paraId="48CC2FFE" w14:textId="77777777" w:rsidR="00E516B4" w:rsidRDefault="00E516B4">
      <w:pPr>
        <w:pStyle w:val="P00"/>
        <w:spacing w:before="72"/>
        <w:ind w:left="0" w:right="1134"/>
        <w:rPr>
          <w:rStyle w:val="default"/>
          <w:rFonts w:cs="FrankRuehl" w:hint="cs"/>
          <w:rtl/>
        </w:rPr>
      </w:pPr>
      <w:bookmarkStart w:id="2" w:name="Seif2"/>
      <w:bookmarkEnd w:id="2"/>
      <w:r>
        <w:rPr>
          <w:rFonts w:cs="Miriam"/>
          <w:lang w:val="he-IL"/>
        </w:rPr>
        <w:pict w14:anchorId="783CECFD">
          <v:rect id="_x0000_s1255" style="position:absolute;left:0;text-align:left;margin-left:464.35pt;margin-top:7.1pt;width:75.05pt;height:17.1pt;z-index:251658240" o:allowincell="f" filled="f" stroked="f" strokecolor="lime" strokeweight=".25pt">
            <v:textbox style="mso-next-textbox:#_x0000_s1255" inset="0,0,0,0">
              <w:txbxContent>
                <w:p w14:paraId="585B32DB" w14:textId="77777777" w:rsidR="00E516B4" w:rsidRDefault="00E516B4">
                  <w:pPr>
                    <w:spacing w:line="160" w:lineRule="exact"/>
                    <w:rPr>
                      <w:rFonts w:cs="Miriam" w:hint="cs"/>
                      <w:noProof/>
                      <w:sz w:val="18"/>
                      <w:szCs w:val="18"/>
                      <w:rtl/>
                    </w:rPr>
                  </w:pPr>
                  <w:r>
                    <w:rPr>
                      <w:rFonts w:cs="Miriam" w:hint="cs"/>
                      <w:sz w:val="18"/>
                      <w:szCs w:val="18"/>
                      <w:rtl/>
                    </w:rPr>
                    <w:t>סמכות הממונה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הממונה אינו רשאי להפחית מסכום העיצום הכספי שיעור שונה מהשיעור הנקוב המנוי לצד הנסיבות המפורטות בתקנה 2.</w:t>
      </w:r>
    </w:p>
    <w:p w14:paraId="5C5A00B5" w14:textId="77777777" w:rsidR="00E516B4" w:rsidRDefault="00E516B4">
      <w:pPr>
        <w:pStyle w:val="P00"/>
        <w:spacing w:before="72"/>
        <w:ind w:left="0" w:right="1134"/>
        <w:rPr>
          <w:rStyle w:val="default"/>
          <w:rFonts w:cs="FrankRuehl" w:hint="cs"/>
          <w:rtl/>
        </w:rPr>
      </w:pPr>
      <w:bookmarkStart w:id="3" w:name="Seif3"/>
      <w:bookmarkEnd w:id="3"/>
      <w:r>
        <w:rPr>
          <w:rFonts w:cs="Miriam"/>
          <w:lang w:val="he-IL"/>
        </w:rPr>
        <w:pict w14:anchorId="545C903C">
          <v:rect id="_x0000_s1256" style="position:absolute;left:0;text-align:left;margin-left:464.35pt;margin-top:7.1pt;width:75.05pt;height:16.95pt;z-index:251659264" o:allowincell="f" filled="f" stroked="f" strokecolor="lime" strokeweight=".25pt">
            <v:textbox style="mso-next-textbox:#_x0000_s1256" inset="0,0,0,0">
              <w:txbxContent>
                <w:p w14:paraId="6D1792C9" w14:textId="77777777" w:rsidR="00E516B4" w:rsidRDefault="00E516B4">
                  <w:pPr>
                    <w:spacing w:line="160" w:lineRule="exact"/>
                    <w:rPr>
                      <w:rFonts w:cs="Miriam" w:hint="cs"/>
                      <w:noProof/>
                      <w:sz w:val="18"/>
                      <w:szCs w:val="18"/>
                      <w:rtl/>
                    </w:rPr>
                  </w:pPr>
                  <w:r>
                    <w:rPr>
                      <w:rFonts w:cs="Miriam" w:hint="cs"/>
                      <w:sz w:val="18"/>
                      <w:szCs w:val="18"/>
                      <w:rtl/>
                    </w:rPr>
                    <w:t>הפחתה בשל נסיבות אישיות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מצא הממונה, לגבי מפר שהוא יחיד, שהפרת ההוראה נגרמה בשל נסיבות אישיות</w:t>
      </w:r>
      <w:r>
        <w:rPr>
          <w:rStyle w:val="default"/>
          <w:rFonts w:cs="FrankRuehl" w:hint="cs"/>
          <w:rtl/>
        </w:rPr>
        <w:t xml:space="preserve"> </w:t>
      </w:r>
      <w:r>
        <w:rPr>
          <w:rStyle w:val="default"/>
          <w:rFonts w:cs="FrankRuehl"/>
          <w:rtl/>
        </w:rPr>
        <w:t>המצדיקות הפחתה של העיצום הכספי, או שנתקיימו נסיבות אישיות קשות המצדיקות שלא</w:t>
      </w:r>
      <w:r>
        <w:rPr>
          <w:rStyle w:val="default"/>
          <w:rFonts w:cs="FrankRuehl" w:hint="cs"/>
          <w:rtl/>
        </w:rPr>
        <w:t xml:space="preserve"> </w:t>
      </w:r>
      <w:r>
        <w:rPr>
          <w:rStyle w:val="default"/>
          <w:rFonts w:cs="FrankRuehl"/>
          <w:rtl/>
        </w:rPr>
        <w:t>למצות את הדין עם המפר, רשאי הוא להפחית את סכום העיצום הכספי בשיעור שלא יעלה</w:t>
      </w:r>
      <w:r>
        <w:rPr>
          <w:rStyle w:val="default"/>
          <w:rFonts w:cs="FrankRuehl" w:hint="cs"/>
          <w:rtl/>
        </w:rPr>
        <w:t xml:space="preserve"> </w:t>
      </w:r>
      <w:r>
        <w:rPr>
          <w:rStyle w:val="default"/>
          <w:rFonts w:cs="FrankRuehl"/>
          <w:rtl/>
        </w:rPr>
        <w:t>על עשרים אחוזים מסכום העיצום הכספי הקבוע לגבי המפר בשל אותה הפרה, וזאת בלי לגרוע מסמכותו לפי תקנה 2.</w:t>
      </w:r>
    </w:p>
    <w:p w14:paraId="03DA0D01" w14:textId="77777777" w:rsidR="00E516B4" w:rsidRDefault="00E516B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הממונה יגיש אחת לשנה ליועץ המשפטי לממשלה או למי שהוא יורה דין וחשבון על השימוש בסמכות לפי תקנת משנה (א), והטעמים שבשלהם ניתנה ההפחתה מכוח תקנה זו.</w:t>
      </w:r>
    </w:p>
    <w:p w14:paraId="5F318C65" w14:textId="77777777" w:rsidR="00E516B4" w:rsidRDefault="00E516B4">
      <w:pPr>
        <w:pStyle w:val="P00"/>
        <w:spacing w:before="72"/>
        <w:ind w:left="0" w:right="1134"/>
        <w:rPr>
          <w:rStyle w:val="default"/>
          <w:rFonts w:cs="FrankRuehl" w:hint="cs"/>
          <w:rtl/>
        </w:rPr>
      </w:pPr>
    </w:p>
    <w:p w14:paraId="0AE3DEE7" w14:textId="77777777" w:rsidR="00E516B4" w:rsidRDefault="00E516B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ה' בחשוון התשס"ח (17 באוקטובר 2007)</w:t>
      </w:r>
      <w:r>
        <w:rPr>
          <w:rStyle w:val="default"/>
          <w:rFonts w:cs="FrankRuehl" w:hint="cs"/>
          <w:rtl/>
        </w:rPr>
        <w:tab/>
        <w:t>רוני בר-און</w:t>
      </w:r>
    </w:p>
    <w:p w14:paraId="62EB0015" w14:textId="77777777" w:rsidR="00E516B4" w:rsidRDefault="00E516B4">
      <w:pPr>
        <w:pStyle w:val="sig-0"/>
        <w:tabs>
          <w:tab w:val="clear" w:pos="4820"/>
          <w:tab w:val="center" w:pos="5103"/>
        </w:tabs>
        <w:ind w:left="0" w:right="1134"/>
        <w:rPr>
          <w:rFonts w:cs="FrankRuehl" w:hint="cs"/>
          <w:sz w:val="22"/>
          <w:szCs w:val="22"/>
          <w:rtl/>
        </w:rPr>
      </w:pPr>
      <w:r>
        <w:rPr>
          <w:rFonts w:cs="FrankRuehl" w:hint="cs"/>
          <w:sz w:val="22"/>
          <w:szCs w:val="22"/>
          <w:rtl/>
        </w:rPr>
        <w:tab/>
        <w:t>שר האוצר</w:t>
      </w:r>
    </w:p>
    <w:p w14:paraId="6C6F205C" w14:textId="77777777" w:rsidR="00E516B4" w:rsidRDefault="00E516B4">
      <w:pPr>
        <w:pStyle w:val="sig-0"/>
        <w:tabs>
          <w:tab w:val="clear" w:pos="4820"/>
          <w:tab w:val="center" w:pos="5670"/>
        </w:tabs>
        <w:ind w:left="0" w:right="1134"/>
        <w:rPr>
          <w:rFonts w:cs="FrankRuehl" w:hint="cs"/>
          <w:sz w:val="26"/>
          <w:rtl/>
        </w:rPr>
      </w:pPr>
    </w:p>
    <w:p w14:paraId="7E39577D" w14:textId="77777777" w:rsidR="00E516B4" w:rsidRDefault="00E516B4">
      <w:pPr>
        <w:pStyle w:val="sig-0"/>
        <w:tabs>
          <w:tab w:val="clear" w:pos="4820"/>
          <w:tab w:val="center" w:pos="5670"/>
        </w:tabs>
        <w:ind w:left="0" w:right="1134"/>
        <w:rPr>
          <w:rFonts w:cs="FrankRuehl" w:hint="cs"/>
          <w:sz w:val="26"/>
          <w:rtl/>
        </w:rPr>
      </w:pPr>
    </w:p>
    <w:p w14:paraId="78DE502A" w14:textId="77777777" w:rsidR="00E516B4" w:rsidRDefault="00E516B4">
      <w:pPr>
        <w:pStyle w:val="sig-0"/>
        <w:ind w:left="0" w:right="1134"/>
        <w:rPr>
          <w:rFonts w:cs="FrankRuehl"/>
          <w:sz w:val="26"/>
          <w:rtl/>
        </w:rPr>
      </w:pPr>
    </w:p>
    <w:sectPr w:rsidR="00E516B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E6453" w14:textId="77777777" w:rsidR="00343D61" w:rsidRDefault="00343D61">
      <w:r>
        <w:separator/>
      </w:r>
    </w:p>
  </w:endnote>
  <w:endnote w:type="continuationSeparator" w:id="0">
    <w:p w14:paraId="7AC1F221" w14:textId="77777777" w:rsidR="00343D61" w:rsidRDefault="00343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8656" w14:textId="77777777" w:rsidR="00E516B4" w:rsidRDefault="00E516B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4B1866E" w14:textId="77777777" w:rsidR="00E516B4" w:rsidRDefault="00E516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97F0719" w14:textId="77777777" w:rsidR="00E516B4" w:rsidRDefault="00E516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Z:\000000000000-law\yael\07-10-30\01\999_834.doc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A1505" w14:textId="77777777" w:rsidR="00E516B4" w:rsidRDefault="00E516B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20A4A">
      <w:rPr>
        <w:rFonts w:hAnsi="FrankRuehl" w:cs="FrankRuehl"/>
        <w:noProof/>
        <w:sz w:val="24"/>
        <w:szCs w:val="24"/>
        <w:rtl/>
      </w:rPr>
      <w:t>2</w:t>
    </w:r>
    <w:r>
      <w:rPr>
        <w:rFonts w:hAnsi="FrankRuehl" w:cs="FrankRuehl"/>
        <w:sz w:val="24"/>
        <w:szCs w:val="24"/>
        <w:rtl/>
      </w:rPr>
      <w:fldChar w:fldCharType="end"/>
    </w:r>
  </w:p>
  <w:p w14:paraId="5FB53F86" w14:textId="77777777" w:rsidR="00E516B4" w:rsidRDefault="00E516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752E84C" w14:textId="77777777" w:rsidR="00E516B4" w:rsidRDefault="00E516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Z:\000000000000-law\yael\07-10-30\01\999_834.doc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1E0B" w14:textId="77777777" w:rsidR="00343D61" w:rsidRDefault="00343D61">
      <w:pPr>
        <w:pStyle w:val="a5"/>
        <w:rPr>
          <w:rFonts w:cs="David"/>
          <w:sz w:val="24"/>
          <w:szCs w:val="24"/>
        </w:rPr>
      </w:pPr>
      <w:r>
        <w:separator/>
      </w:r>
    </w:p>
  </w:footnote>
  <w:footnote w:type="continuationSeparator" w:id="0">
    <w:p w14:paraId="4EE51100" w14:textId="77777777" w:rsidR="00343D61" w:rsidRDefault="00343D61">
      <w:r>
        <w:continuationSeparator/>
      </w:r>
    </w:p>
  </w:footnote>
  <w:footnote w:id="1">
    <w:p w14:paraId="45B978D7" w14:textId="77777777" w:rsidR="00E516B4" w:rsidRDefault="00E516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Pr>
            <w:rStyle w:val="Hyperlink"/>
            <w:rFonts w:cs="FrankRuehl" w:hint="cs"/>
            <w:rtl/>
          </w:rPr>
          <w:t>ק"ת תשס"ח מס' 6618</w:t>
        </w:r>
      </w:hyperlink>
      <w:r>
        <w:rPr>
          <w:rFonts w:cs="FrankRuehl" w:hint="cs"/>
          <w:rtl/>
        </w:rPr>
        <w:t xml:space="preserve"> מיום 29.10.2007 עמ' 66.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D446" w14:textId="77777777" w:rsidR="00E516B4" w:rsidRDefault="00E516B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7F85413" w14:textId="77777777" w:rsidR="00E516B4" w:rsidRDefault="00E516B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CBE4428" w14:textId="77777777" w:rsidR="00E516B4" w:rsidRDefault="00E516B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D87B" w14:textId="77777777" w:rsidR="00E516B4" w:rsidRDefault="00E516B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פיננסים (קופות גמל) (הפחתה של סכומי העיצום הכספי), תשס"ח-2007</w:t>
    </w:r>
  </w:p>
  <w:p w14:paraId="559ED19B" w14:textId="77777777" w:rsidR="00E516B4" w:rsidRDefault="00E516B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DC08F1" w14:textId="77777777" w:rsidR="00E516B4" w:rsidRDefault="00E516B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2775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16B4"/>
    <w:rsid w:val="00297F6F"/>
    <w:rsid w:val="00343D61"/>
    <w:rsid w:val="006C5B2F"/>
    <w:rsid w:val="0089244D"/>
    <w:rsid w:val="00A35165"/>
    <w:rsid w:val="00C20A4A"/>
    <w:rsid w:val="00E516B4"/>
    <w:rsid w:val="00ED32CC"/>
    <w:rsid w:val="00F720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B4FDD9C"/>
  <w15:chartTrackingRefBased/>
  <w15:docId w15:val="{3F8A5DFB-6C3C-4786-B746-031AEF50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eb1.nevo.co.il/Law_word/law06/tak-66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2782</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2097160</vt:i4>
      </vt:variant>
      <vt:variant>
        <vt:i4>0</vt:i4>
      </vt:variant>
      <vt:variant>
        <vt:i4>0</vt:i4>
      </vt:variant>
      <vt:variant>
        <vt:i4>5</vt:i4>
      </vt:variant>
      <vt:variant>
        <vt:lpwstr>http://web1.nevo.co.il/Law_word/law06/tak-6618.pdf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tali</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הפיקוח על שירותים פיננסים (קופות גמל) (הפחתה של סכומי העיצום הכספי), תשס"ח-2007</vt:lpwstr>
  </property>
  <property fmtid="{D5CDD505-2E9C-101B-9397-08002B2CF9AE}" pid="4" name="LAWNUMBER">
    <vt:lpwstr>0834</vt:lpwstr>
  </property>
  <property fmtid="{D5CDD505-2E9C-101B-9397-08002B2CF9AE}" pid="5" name="TYPE">
    <vt:lpwstr>01</vt:lpwstr>
  </property>
  <property fmtid="{D5CDD505-2E9C-101B-9397-08002B2CF9AE}" pid="6" name="CHNAME">
    <vt:lpwstr>פיקוח על שירותים פיננסיים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http://web1.nevo.co.il/Law_word/law06/tak-6618.pdf;רשומות – תקנות כלליות#פורסמו ק"ת תשס"ח מס' 6618#מיום 29.10.2007#עמ' 66</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שירותים פיננסיים</vt:lpwstr>
  </property>
  <property fmtid="{D5CDD505-2E9C-101B-9397-08002B2CF9AE}" pid="25" name="NOSE41">
    <vt:lpwstr>קופות גמל</vt:lpwstr>
  </property>
  <property fmtid="{D5CDD505-2E9C-101B-9397-08002B2CF9AE}" pid="26" name="NOSE12">
    <vt:lpwstr>עונשין ומשפט פלילי</vt:lpwstr>
  </property>
  <property fmtid="{D5CDD505-2E9C-101B-9397-08002B2CF9AE}" pid="27" name="NOSE22">
    <vt:lpwstr>ענישה, מאסר ומעצר</vt:lpwstr>
  </property>
  <property fmtid="{D5CDD505-2E9C-101B-9397-08002B2CF9AE}" pid="28" name="NOSE32">
    <vt:lpwstr>עיצום כספי</vt:lpwstr>
  </property>
  <property fmtid="{D5CDD505-2E9C-101B-9397-08002B2CF9AE}" pid="29" name="NOSE42">
    <vt:lpwstr/>
  </property>
  <property fmtid="{D5CDD505-2E9C-101B-9397-08002B2CF9AE}" pid="30" name="NOSE13">
    <vt:lpwstr>משפט פרטי וכלכלה</vt:lpwstr>
  </property>
  <property fmtid="{D5CDD505-2E9C-101B-9397-08002B2CF9AE}" pid="31" name="NOSE23">
    <vt:lpwstr>תאגידים וניירות ערך</vt:lpwstr>
  </property>
  <property fmtid="{D5CDD505-2E9C-101B-9397-08002B2CF9AE}" pid="32" name="NOSE33">
    <vt:lpwstr>קופות גמל</vt:lpwstr>
  </property>
  <property fmtid="{D5CDD505-2E9C-101B-9397-08002B2CF9AE}" pid="33" name="NOSE43">
    <vt:lpwstr/>
  </property>
  <property fmtid="{D5CDD505-2E9C-101B-9397-08002B2CF9AE}" pid="34" name="NOSE14">
    <vt:lpwstr>משפט פרטי וכלכלה</vt:lpwstr>
  </property>
  <property fmtid="{D5CDD505-2E9C-101B-9397-08002B2CF9AE}" pid="35" name="NOSE24">
    <vt:lpwstr>כספים</vt:lpwstr>
  </property>
  <property fmtid="{D5CDD505-2E9C-101B-9397-08002B2CF9AE}" pid="36" name="NOSE34">
    <vt:lpwstr>עיצום כספי</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