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CE682" w14:textId="77777777" w:rsidR="00287B52" w:rsidRDefault="00287B52">
      <w:pPr>
        <w:pStyle w:val="big-header"/>
        <w:ind w:left="0" w:right="1134"/>
      </w:pPr>
      <w:r>
        <w:rPr>
          <w:rtl/>
        </w:rPr>
        <w:t>תקנות הרציף בנמל יפו (מעגן), 1934</w:t>
      </w:r>
    </w:p>
    <w:p w14:paraId="7EF3F412" w14:textId="77777777" w:rsidR="003F52B9" w:rsidRPr="003F52B9" w:rsidRDefault="003F52B9" w:rsidP="003F52B9">
      <w:pPr>
        <w:spacing w:line="320" w:lineRule="auto"/>
        <w:jc w:val="left"/>
        <w:rPr>
          <w:rFonts w:cs="FrankRuehl"/>
          <w:szCs w:val="26"/>
          <w:rtl/>
        </w:rPr>
      </w:pPr>
    </w:p>
    <w:p w14:paraId="6FE757A3" w14:textId="77777777" w:rsidR="003F52B9" w:rsidRDefault="003F52B9" w:rsidP="003F52B9">
      <w:pPr>
        <w:spacing w:line="320" w:lineRule="auto"/>
        <w:jc w:val="left"/>
        <w:rPr>
          <w:rtl/>
        </w:rPr>
      </w:pPr>
    </w:p>
    <w:p w14:paraId="191A0739" w14:textId="77777777" w:rsidR="003F52B9" w:rsidRPr="003F52B9" w:rsidRDefault="003F52B9" w:rsidP="003F52B9">
      <w:pPr>
        <w:spacing w:line="320" w:lineRule="auto"/>
        <w:jc w:val="left"/>
        <w:rPr>
          <w:rFonts w:cs="Miriam"/>
          <w:szCs w:val="22"/>
          <w:rtl/>
        </w:rPr>
      </w:pPr>
      <w:r w:rsidRPr="003F52B9">
        <w:rPr>
          <w:rFonts w:cs="Miriam"/>
          <w:szCs w:val="22"/>
          <w:rtl/>
        </w:rPr>
        <w:t>רשויות ומשפט מנהלי</w:t>
      </w:r>
      <w:r w:rsidRPr="003F52B9">
        <w:rPr>
          <w:rFonts w:cs="FrankRuehl"/>
          <w:szCs w:val="26"/>
          <w:rtl/>
        </w:rPr>
        <w:t xml:space="preserve"> – תשתיות – ספנות ונמלים</w:t>
      </w:r>
    </w:p>
    <w:p w14:paraId="1693C4B1" w14:textId="77777777" w:rsidR="00287B52" w:rsidRDefault="00287B5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87B52" w14:paraId="00E60B36" w14:textId="77777777">
        <w:tblPrEx>
          <w:tblCellMar>
            <w:top w:w="0" w:type="dxa"/>
            <w:bottom w:w="0" w:type="dxa"/>
          </w:tblCellMar>
        </w:tblPrEx>
        <w:tc>
          <w:tcPr>
            <w:tcW w:w="850" w:type="dxa"/>
          </w:tcPr>
          <w:p w14:paraId="3DED6982" w14:textId="77777777" w:rsidR="00287B52" w:rsidRDefault="00287B5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E97A8E">
              <w:rPr>
                <w:noProof/>
                <w:sz w:val="24"/>
                <w:rtl/>
              </w:rPr>
              <w:t>2</w:t>
            </w:r>
            <w:r>
              <w:rPr>
                <w:sz w:val="24"/>
                <w:rtl/>
              </w:rPr>
              <w:fldChar w:fldCharType="end"/>
            </w:r>
          </w:p>
        </w:tc>
        <w:tc>
          <w:tcPr>
            <w:tcW w:w="567" w:type="dxa"/>
          </w:tcPr>
          <w:p w14:paraId="57F56456" w14:textId="77777777" w:rsidR="00287B52" w:rsidRDefault="00287B52">
            <w:pPr>
              <w:spacing w:line="240" w:lineRule="auto"/>
              <w:rPr>
                <w:sz w:val="24"/>
              </w:rPr>
            </w:pPr>
            <w:hyperlink w:anchor="Seif0" w:tooltip="שם" w:history="1">
              <w:r>
                <w:rPr>
                  <w:rStyle w:val="Hyperlink"/>
                </w:rPr>
                <w:t>Go</w:t>
              </w:r>
            </w:hyperlink>
          </w:p>
        </w:tc>
        <w:tc>
          <w:tcPr>
            <w:tcW w:w="5669" w:type="dxa"/>
          </w:tcPr>
          <w:p w14:paraId="7C171559" w14:textId="77777777" w:rsidR="00287B52" w:rsidRDefault="00287B52">
            <w:pPr>
              <w:spacing w:line="240" w:lineRule="auto"/>
              <w:rPr>
                <w:sz w:val="24"/>
                <w:rtl/>
              </w:rPr>
            </w:pPr>
            <w:r>
              <w:rPr>
                <w:sz w:val="24"/>
                <w:rtl/>
              </w:rPr>
              <w:t>שם</w:t>
            </w:r>
          </w:p>
        </w:tc>
        <w:tc>
          <w:tcPr>
            <w:tcW w:w="1247" w:type="dxa"/>
          </w:tcPr>
          <w:p w14:paraId="1C9AFCEF" w14:textId="77777777" w:rsidR="00287B52" w:rsidRDefault="00287B52">
            <w:pPr>
              <w:spacing w:line="240" w:lineRule="auto"/>
              <w:rPr>
                <w:sz w:val="24"/>
              </w:rPr>
            </w:pPr>
            <w:r>
              <w:rPr>
                <w:sz w:val="24"/>
                <w:rtl/>
              </w:rPr>
              <w:t xml:space="preserve">סעיף 1 </w:t>
            </w:r>
          </w:p>
        </w:tc>
      </w:tr>
      <w:tr w:rsidR="00287B52" w14:paraId="2BB4E0EF" w14:textId="77777777">
        <w:tblPrEx>
          <w:tblCellMar>
            <w:top w:w="0" w:type="dxa"/>
            <w:bottom w:w="0" w:type="dxa"/>
          </w:tblCellMar>
        </w:tblPrEx>
        <w:tc>
          <w:tcPr>
            <w:tcW w:w="850" w:type="dxa"/>
          </w:tcPr>
          <w:p w14:paraId="1448B471" w14:textId="77777777" w:rsidR="00287B52" w:rsidRDefault="00287B5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E97A8E">
              <w:rPr>
                <w:noProof/>
                <w:sz w:val="24"/>
                <w:rtl/>
              </w:rPr>
              <w:t>2</w:t>
            </w:r>
            <w:r>
              <w:rPr>
                <w:sz w:val="24"/>
                <w:rtl/>
              </w:rPr>
              <w:fldChar w:fldCharType="end"/>
            </w:r>
          </w:p>
        </w:tc>
        <w:tc>
          <w:tcPr>
            <w:tcW w:w="567" w:type="dxa"/>
          </w:tcPr>
          <w:p w14:paraId="443F11C4" w14:textId="77777777" w:rsidR="00287B52" w:rsidRDefault="00287B52">
            <w:pPr>
              <w:spacing w:line="240" w:lineRule="auto"/>
              <w:rPr>
                <w:sz w:val="24"/>
              </w:rPr>
            </w:pPr>
            <w:hyperlink w:anchor="Seif1" w:tooltip="סידורים לספינות שאינן רשאיות לפרק וכו לאחר הגיען" w:history="1">
              <w:r>
                <w:rPr>
                  <w:rStyle w:val="Hyperlink"/>
                </w:rPr>
                <w:t>Go</w:t>
              </w:r>
            </w:hyperlink>
          </w:p>
        </w:tc>
        <w:tc>
          <w:tcPr>
            <w:tcW w:w="5669" w:type="dxa"/>
          </w:tcPr>
          <w:p w14:paraId="429972D1" w14:textId="77777777" w:rsidR="00287B52" w:rsidRDefault="00287B52">
            <w:pPr>
              <w:spacing w:line="240" w:lineRule="auto"/>
              <w:rPr>
                <w:sz w:val="24"/>
                <w:rtl/>
              </w:rPr>
            </w:pPr>
            <w:r>
              <w:rPr>
                <w:sz w:val="24"/>
                <w:rtl/>
              </w:rPr>
              <w:t>סידורים לספינות שאינן רשאיות לפרק וכו לאחר הגיען</w:t>
            </w:r>
          </w:p>
        </w:tc>
        <w:tc>
          <w:tcPr>
            <w:tcW w:w="1247" w:type="dxa"/>
          </w:tcPr>
          <w:p w14:paraId="13D69F95" w14:textId="77777777" w:rsidR="00287B52" w:rsidRDefault="00287B52">
            <w:pPr>
              <w:spacing w:line="240" w:lineRule="auto"/>
              <w:rPr>
                <w:sz w:val="24"/>
              </w:rPr>
            </w:pPr>
            <w:r>
              <w:rPr>
                <w:sz w:val="24"/>
                <w:rtl/>
              </w:rPr>
              <w:t xml:space="preserve">סעיף 2 </w:t>
            </w:r>
          </w:p>
        </w:tc>
      </w:tr>
    </w:tbl>
    <w:p w14:paraId="55260771" w14:textId="77777777" w:rsidR="00287B52" w:rsidRDefault="00287B52">
      <w:pPr>
        <w:pStyle w:val="big-header"/>
        <w:ind w:left="0" w:right="1134"/>
        <w:rPr>
          <w:rtl/>
        </w:rPr>
      </w:pPr>
    </w:p>
    <w:p w14:paraId="2EF852FE" w14:textId="77777777" w:rsidR="00287B52" w:rsidRDefault="00287B52" w:rsidP="003F52B9">
      <w:pPr>
        <w:pStyle w:val="big-header"/>
        <w:ind w:left="0" w:right="1134"/>
        <w:rPr>
          <w:rStyle w:val="default"/>
          <w:rFonts w:cs="FrankRuehl" w:hint="cs"/>
          <w:rtl/>
        </w:rPr>
      </w:pPr>
      <w:r>
        <w:rPr>
          <w:rtl/>
        </w:rPr>
        <w:br w:type="page"/>
      </w:r>
      <w:r>
        <w:rPr>
          <w:rtl/>
        </w:rPr>
        <w:lastRenderedPageBreak/>
        <w:t>ת</w:t>
      </w:r>
      <w:r>
        <w:rPr>
          <w:rFonts w:hint="cs"/>
          <w:rtl/>
        </w:rPr>
        <w:t>קנות הרציף בנמל יפו (מעגן), 1934</w:t>
      </w:r>
      <w:r w:rsidR="00E97A8E">
        <w:rPr>
          <w:rStyle w:val="a6"/>
          <w:rtl/>
        </w:rPr>
        <w:footnoteReference w:customMarkFollows="1" w:id="1"/>
        <w:t>*</w:t>
      </w:r>
    </w:p>
    <w:p w14:paraId="0794A50E" w14:textId="77777777" w:rsidR="00287B52" w:rsidRDefault="00287B52">
      <w:pPr>
        <w:pStyle w:val="medium-header"/>
        <w:keepNext w:val="0"/>
        <w:keepLines w:val="0"/>
        <w:ind w:left="0" w:right="1134"/>
        <w:rPr>
          <w:rtl/>
        </w:rPr>
      </w:pPr>
      <w:r>
        <w:rPr>
          <w:rtl/>
        </w:rPr>
        <w:t>(</w:t>
      </w:r>
      <w:r>
        <w:rPr>
          <w:rFonts w:hint="cs"/>
          <w:rtl/>
        </w:rPr>
        <w:t>עפ"י סעיף 14(2)(א))</w:t>
      </w:r>
    </w:p>
    <w:p w14:paraId="6C8CC833" w14:textId="77777777" w:rsidR="00287B52" w:rsidRDefault="00287B52">
      <w:pPr>
        <w:pStyle w:val="P00"/>
        <w:spacing w:before="72"/>
        <w:ind w:left="0" w:right="1134"/>
        <w:rPr>
          <w:rStyle w:val="default"/>
          <w:rFonts w:cs="FrankRuehl"/>
          <w:rtl/>
        </w:rPr>
      </w:pPr>
      <w:bookmarkStart w:id="0" w:name="Seif0"/>
      <w:bookmarkEnd w:id="0"/>
      <w:r>
        <w:rPr>
          <w:lang w:val="he-IL"/>
        </w:rPr>
        <w:pict w14:anchorId="314DECAB">
          <v:rect id="_x0000_s1026" style="position:absolute;left:0;text-align:left;margin-left:464.5pt;margin-top:8.05pt;width:75.05pt;height:10pt;z-index:251657216" o:allowincell="f" filled="f" stroked="f" strokecolor="lime" strokeweight=".25pt">
            <v:textbox style="mso-next-textbox:#_x0000_s1026" inset="0,0,0,0">
              <w:txbxContent>
                <w:p w14:paraId="1361C675" w14:textId="77777777" w:rsidR="00287B52" w:rsidRDefault="00287B52">
                  <w:pPr>
                    <w:spacing w:line="160" w:lineRule="exact"/>
                    <w:jc w:val="left"/>
                    <w:rPr>
                      <w:rFonts w:cs="Miriam"/>
                      <w:noProof/>
                      <w:szCs w:val="18"/>
                      <w:rtl/>
                    </w:rPr>
                  </w:pPr>
                  <w:r>
                    <w:rPr>
                      <w:rFonts w:cs="Miriam"/>
                      <w:szCs w:val="18"/>
                      <w:rtl/>
                    </w:rPr>
                    <w:t>ש</w:t>
                  </w:r>
                  <w:r>
                    <w:rPr>
                      <w:rFonts w:cs="Miriam" w:hint="cs"/>
                      <w:szCs w:val="18"/>
                      <w:rtl/>
                    </w:rPr>
                    <w:t>ם</w:t>
                  </w:r>
                </w:p>
              </w:txbxContent>
            </v:textbox>
            <w10:anchorlock/>
          </v:rect>
        </w:pict>
      </w:r>
      <w:r>
        <w:rPr>
          <w:rStyle w:val="big-number"/>
          <w:rFonts w:cs="Miriam"/>
          <w:rtl/>
        </w:rPr>
        <w:t>1.</w:t>
      </w:r>
      <w:r>
        <w:rPr>
          <w:rStyle w:val="big-number"/>
          <w:rFonts w:cs="Miriam"/>
          <w:rtl/>
        </w:rPr>
        <w:tab/>
      </w:r>
      <w:r>
        <w:rPr>
          <w:rStyle w:val="default"/>
          <w:rFonts w:cs="FrankRuehl"/>
          <w:rtl/>
        </w:rPr>
        <w:t>ת</w:t>
      </w:r>
      <w:r>
        <w:rPr>
          <w:rStyle w:val="default"/>
          <w:rFonts w:cs="FrankRuehl" w:hint="cs"/>
          <w:rtl/>
        </w:rPr>
        <w:t>קנות אלה תיקראנה תקנות הרציף בנמל יפ</w:t>
      </w:r>
      <w:r>
        <w:rPr>
          <w:rStyle w:val="default"/>
          <w:rFonts w:cs="FrankRuehl"/>
          <w:rtl/>
        </w:rPr>
        <w:t>ו</w:t>
      </w:r>
      <w:r>
        <w:rPr>
          <w:rStyle w:val="default"/>
          <w:rFonts w:cs="FrankRuehl" w:hint="cs"/>
          <w:rtl/>
        </w:rPr>
        <w:t xml:space="preserve"> (המעגן), 1934.</w:t>
      </w:r>
    </w:p>
    <w:p w14:paraId="6FE93C9E" w14:textId="77777777" w:rsidR="00287B52" w:rsidRDefault="00287B52">
      <w:pPr>
        <w:pStyle w:val="P00"/>
        <w:spacing w:before="72"/>
        <w:ind w:left="0" w:right="1134"/>
        <w:rPr>
          <w:rStyle w:val="default"/>
          <w:rFonts w:cs="FrankRuehl"/>
          <w:rtl/>
        </w:rPr>
      </w:pPr>
      <w:bookmarkStart w:id="1" w:name="Seif1"/>
      <w:bookmarkEnd w:id="1"/>
      <w:r>
        <w:rPr>
          <w:lang w:val="he-IL"/>
        </w:rPr>
        <w:pict w14:anchorId="157D3630">
          <v:rect id="_x0000_s1027" style="position:absolute;left:0;text-align:left;margin-left:462pt;margin-top:7.2pt;width:74.3pt;height:31.75pt;z-index:251658240" o:allowincell="f" filled="f" stroked="f" strokecolor="lime" strokeweight=".25pt">
            <v:textbox style="mso-next-textbox:#_x0000_s1027" inset="0,0,0,0">
              <w:txbxContent>
                <w:p w14:paraId="12F952D3" w14:textId="77777777" w:rsidR="00287B52" w:rsidRDefault="00287B52">
                  <w:pPr>
                    <w:spacing w:line="160" w:lineRule="exact"/>
                    <w:jc w:val="left"/>
                    <w:rPr>
                      <w:rFonts w:cs="Miriam"/>
                      <w:noProof/>
                      <w:szCs w:val="18"/>
                      <w:rtl/>
                    </w:rPr>
                  </w:pPr>
                  <w:r>
                    <w:rPr>
                      <w:rFonts w:cs="Miriam"/>
                      <w:szCs w:val="18"/>
                      <w:rtl/>
                    </w:rPr>
                    <w:t>ס</w:t>
                  </w:r>
                  <w:r>
                    <w:rPr>
                      <w:rFonts w:cs="Miriam" w:hint="cs"/>
                      <w:szCs w:val="18"/>
                      <w:rtl/>
                    </w:rPr>
                    <w:t>ידורים לספינות שאינן רשאיות לפרק וכו' לאחר הגיען</w:t>
                  </w:r>
                </w:p>
              </w:txbxContent>
            </v:textbox>
            <w10:anchorlock/>
          </v:rect>
        </w:pict>
      </w:r>
      <w:r>
        <w:rPr>
          <w:rStyle w:val="big-number"/>
          <w:rFonts w:cs="Miriam"/>
          <w:rtl/>
        </w:rPr>
        <w:t>2.</w:t>
      </w:r>
      <w:r>
        <w:rPr>
          <w:rStyle w:val="big-number"/>
          <w:rFonts w:cs="Miriam"/>
          <w:rtl/>
        </w:rPr>
        <w:tab/>
      </w:r>
      <w:r>
        <w:rPr>
          <w:rStyle w:val="default"/>
          <w:rFonts w:cs="FrankRuehl"/>
          <w:rtl/>
        </w:rPr>
        <w:t>כ</w:t>
      </w:r>
      <w:r>
        <w:rPr>
          <w:rStyle w:val="default"/>
          <w:rFonts w:cs="FrankRuehl" w:hint="cs"/>
          <w:rtl/>
        </w:rPr>
        <w:t>ל אניה או ספינת מוטור המגיעה לרציף הנמל יפו ואינה מורשית לפרק את מטענה ולטעון (או לטעון) מטען, ביום בואה, תהא חייבת לגשת למעגן מחוץ לקו של עשרה פטומים, מיד לאחר שתתקבל תעודת שחרור, ו</w:t>
      </w:r>
      <w:r>
        <w:rPr>
          <w:rStyle w:val="default"/>
          <w:rFonts w:cs="FrankRuehl"/>
          <w:rtl/>
        </w:rPr>
        <w:t>א</w:t>
      </w:r>
      <w:r>
        <w:rPr>
          <w:rStyle w:val="default"/>
          <w:rFonts w:cs="FrankRuehl" w:hint="cs"/>
          <w:rtl/>
        </w:rPr>
        <w:t>ם מזג האויר מרשה זאת עליה להישאר באותו מעגן עד שתינתן לה רשות מטעם מנהל הנמל לפרק את מטענה ולטעון (או לטעון) מטען חדש.</w:t>
      </w:r>
    </w:p>
    <w:p w14:paraId="61C76F69" w14:textId="77777777" w:rsidR="00287B52" w:rsidRDefault="00287B52">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תנאי שמשנתקבלה רשות לפרק או לטעון (ולטעון) יהא רב החובל של אותה ספינה אחראי, הוא בלבד, לכל תנועה של הספינה לאחר מכן למקום עגינה מחוץ ל</w:t>
      </w:r>
      <w:r>
        <w:rPr>
          <w:rStyle w:val="default"/>
          <w:rFonts w:cs="FrankRuehl"/>
          <w:rtl/>
        </w:rPr>
        <w:t>ק</w:t>
      </w:r>
      <w:r>
        <w:rPr>
          <w:rStyle w:val="default"/>
          <w:rFonts w:cs="FrankRuehl" w:hint="cs"/>
          <w:rtl/>
        </w:rPr>
        <w:t>ו עשרת הפטומים, אשר יחליט לעמוד בו.</w:t>
      </w:r>
    </w:p>
    <w:p w14:paraId="3B09EC48" w14:textId="77777777" w:rsidR="00E97A8E" w:rsidRDefault="00E97A8E">
      <w:pPr>
        <w:pStyle w:val="P00"/>
        <w:spacing w:before="72"/>
        <w:ind w:left="0" w:right="1134"/>
        <w:rPr>
          <w:rStyle w:val="default"/>
          <w:rFonts w:cs="FrankRuehl" w:hint="cs"/>
          <w:rtl/>
        </w:rPr>
      </w:pPr>
    </w:p>
    <w:p w14:paraId="06BA5788" w14:textId="77777777" w:rsidR="00E97A8E" w:rsidRDefault="00E97A8E">
      <w:pPr>
        <w:pStyle w:val="P00"/>
        <w:spacing w:before="72"/>
        <w:ind w:left="0" w:right="1134"/>
        <w:rPr>
          <w:rStyle w:val="default"/>
          <w:rFonts w:cs="FrankRuehl"/>
          <w:rtl/>
        </w:rPr>
      </w:pPr>
    </w:p>
    <w:p w14:paraId="35BCB9EC" w14:textId="77777777" w:rsidR="00287B52" w:rsidRPr="00E97A8E" w:rsidRDefault="00287B52" w:rsidP="00E97A8E">
      <w:pPr>
        <w:pStyle w:val="P00"/>
        <w:spacing w:before="72"/>
        <w:ind w:left="0" w:right="1134"/>
        <w:rPr>
          <w:rStyle w:val="default"/>
          <w:rFonts w:cs="FrankRuehl"/>
          <w:rtl/>
        </w:rPr>
      </w:pPr>
      <w:bookmarkStart w:id="2" w:name="LawPartEnd"/>
    </w:p>
    <w:bookmarkEnd w:id="2"/>
    <w:p w14:paraId="24357172" w14:textId="77777777" w:rsidR="00287B52" w:rsidRPr="00E97A8E" w:rsidRDefault="00287B52" w:rsidP="00E97A8E">
      <w:pPr>
        <w:pStyle w:val="P00"/>
        <w:spacing w:before="72"/>
        <w:ind w:left="0" w:right="1134"/>
        <w:rPr>
          <w:rStyle w:val="default"/>
          <w:rFonts w:cs="FrankRuehl"/>
          <w:rtl/>
        </w:rPr>
      </w:pPr>
    </w:p>
    <w:sectPr w:rsidR="00287B52" w:rsidRPr="00E97A8E">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E65F8" w14:textId="77777777" w:rsidR="00E63A91" w:rsidRDefault="00E63A91">
      <w:r>
        <w:separator/>
      </w:r>
    </w:p>
  </w:endnote>
  <w:endnote w:type="continuationSeparator" w:id="0">
    <w:p w14:paraId="22457982" w14:textId="77777777" w:rsidR="00E63A91" w:rsidRDefault="00E63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95541" w14:textId="77777777" w:rsidR="00287B52" w:rsidRDefault="00287B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F88851D" w14:textId="77777777" w:rsidR="00287B52" w:rsidRDefault="00287B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36795F4" w14:textId="77777777" w:rsidR="00287B52" w:rsidRDefault="00287B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97A8E">
      <w:rPr>
        <w:rFonts w:cs="TopType Jerushalmi"/>
        <w:noProof/>
        <w:color w:val="000000"/>
        <w:sz w:val="14"/>
        <w:szCs w:val="14"/>
      </w:rPr>
      <w:t>D:\Yael\hakika\Revadim</w:t>
    </w:r>
    <w:r w:rsidR="00E97A8E">
      <w:rPr>
        <w:rFonts w:cs="TopType Jerushalmi"/>
        <w:noProof/>
        <w:color w:val="000000"/>
        <w:sz w:val="14"/>
        <w:szCs w:val="14"/>
        <w:rtl/>
      </w:rPr>
      <w:t>\קישורים\314_052.</w:t>
    </w:r>
    <w:r w:rsidR="00E97A8E">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0802" w14:textId="77777777" w:rsidR="00287B52" w:rsidRDefault="00287B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F52B9">
      <w:rPr>
        <w:rFonts w:hAnsi="FrankRuehl" w:cs="FrankRuehl"/>
        <w:noProof/>
        <w:sz w:val="24"/>
        <w:szCs w:val="24"/>
        <w:rtl/>
      </w:rPr>
      <w:t>2</w:t>
    </w:r>
    <w:r>
      <w:rPr>
        <w:rFonts w:hAnsi="FrankRuehl" w:cs="FrankRuehl"/>
        <w:sz w:val="24"/>
        <w:szCs w:val="24"/>
        <w:rtl/>
      </w:rPr>
      <w:fldChar w:fldCharType="end"/>
    </w:r>
  </w:p>
  <w:p w14:paraId="0E29E8A8" w14:textId="77777777" w:rsidR="00287B52" w:rsidRDefault="00287B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8CF23C9" w14:textId="77777777" w:rsidR="00287B52" w:rsidRDefault="00287B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97A8E">
      <w:rPr>
        <w:rFonts w:cs="TopType Jerushalmi"/>
        <w:noProof/>
        <w:color w:val="000000"/>
        <w:sz w:val="14"/>
        <w:szCs w:val="14"/>
      </w:rPr>
      <w:t>D:\Yael\hakika\Revadim</w:t>
    </w:r>
    <w:r w:rsidR="00E97A8E">
      <w:rPr>
        <w:rFonts w:cs="TopType Jerushalmi"/>
        <w:noProof/>
        <w:color w:val="000000"/>
        <w:sz w:val="14"/>
        <w:szCs w:val="14"/>
        <w:rtl/>
      </w:rPr>
      <w:t>\קישורים\314_052.</w:t>
    </w:r>
    <w:r w:rsidR="00E97A8E">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48FA6" w14:textId="77777777" w:rsidR="00E63A91" w:rsidRDefault="00E63A91" w:rsidP="00E97A8E">
      <w:pPr>
        <w:spacing w:before="60" w:line="240" w:lineRule="auto"/>
        <w:ind w:right="1134"/>
      </w:pPr>
      <w:r>
        <w:separator/>
      </w:r>
    </w:p>
  </w:footnote>
  <w:footnote w:type="continuationSeparator" w:id="0">
    <w:p w14:paraId="1F6E6A04" w14:textId="77777777" w:rsidR="00E63A91" w:rsidRDefault="00E63A91">
      <w:r>
        <w:continuationSeparator/>
      </w:r>
    </w:p>
  </w:footnote>
  <w:footnote w:id="1">
    <w:p w14:paraId="353FB93D" w14:textId="77777777" w:rsidR="00E97A8E" w:rsidRPr="00E97A8E" w:rsidRDefault="00E97A8E" w:rsidP="00E97A8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E97A8E">
        <w:rPr>
          <w:sz w:val="20"/>
          <w:rtl/>
        </w:rPr>
        <w:t xml:space="preserve">* </w:t>
      </w:r>
      <w:r>
        <w:rPr>
          <w:sz w:val="20"/>
          <w:rtl/>
        </w:rPr>
        <w:t>פ</w:t>
      </w:r>
      <w:r>
        <w:rPr>
          <w:rFonts w:hint="cs"/>
          <w:sz w:val="20"/>
          <w:rtl/>
        </w:rPr>
        <w:t>ורסמו ע"ר מס' 478 מיום 29.11.1934, תוס' 2, עמ' (ע</w:t>
      </w:r>
      <w:r>
        <w:rPr>
          <w:sz w:val="20"/>
          <w:rtl/>
        </w:rPr>
        <w:t>) 982, (</w:t>
      </w:r>
      <w:r>
        <w:rPr>
          <w:rFonts w:hint="cs"/>
          <w:sz w:val="20"/>
          <w:rtl/>
        </w:rPr>
        <w:t>א) 1002.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6E76" w14:textId="77777777" w:rsidR="00287B52" w:rsidRDefault="00287B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הרציף בנמל יפו (מעגן), 1934</w:t>
    </w:r>
  </w:p>
  <w:p w14:paraId="4D828393" w14:textId="77777777" w:rsidR="00287B52" w:rsidRDefault="00287B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FE8F06" w14:textId="77777777" w:rsidR="00287B52" w:rsidRDefault="00287B5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67A52" w14:textId="77777777" w:rsidR="00287B52" w:rsidRDefault="00287B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הרציף בנמל יפו (מעגן), 1934</w:t>
    </w:r>
  </w:p>
  <w:p w14:paraId="40CF4274" w14:textId="77777777" w:rsidR="00287B52" w:rsidRDefault="00287B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352B7D" w14:textId="77777777" w:rsidR="00287B52" w:rsidRDefault="00287B5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7A8E"/>
    <w:rsid w:val="00287B52"/>
    <w:rsid w:val="003F52B9"/>
    <w:rsid w:val="00443B52"/>
    <w:rsid w:val="00E63A91"/>
    <w:rsid w:val="00E97A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29E54A2"/>
  <w15:chartTrackingRefBased/>
  <w15:docId w15:val="{1442A924-3317-44B9-AA55-02C6EAE7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97A8E"/>
    <w:rPr>
      <w:sz w:val="20"/>
      <w:szCs w:val="20"/>
    </w:rPr>
  </w:style>
  <w:style w:type="character" w:styleId="a6">
    <w:name w:val="footnote reference"/>
    <w:basedOn w:val="a0"/>
    <w:semiHidden/>
    <w:rsid w:val="00E97A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922</CharactersWithSpaces>
  <SharedDoc>false</SharedDoc>
  <HLinks>
    <vt:vector size="12"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הרציף בנמל יפו (מעגן), 1934</vt:lpwstr>
  </property>
  <property fmtid="{D5CDD505-2E9C-101B-9397-08002B2CF9AE}" pid="5" name="LAWNUMBER">
    <vt:lpwstr>0052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