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B79" w:rsidRDefault="00F22B79">
      <w:pPr>
        <w:pStyle w:val="big-header"/>
        <w:ind w:left="0" w:right="1134"/>
        <w:rPr>
          <w:rFonts w:hint="cs"/>
          <w:rtl/>
        </w:rPr>
      </w:pPr>
      <w:r>
        <w:rPr>
          <w:rtl/>
        </w:rPr>
        <w:t>תקנות הרשויות המקומיות (בחירות) (סדרי הגשת בקשות ועררים לנספח), תשכ"ט</w:t>
      </w:r>
      <w:r>
        <w:rPr>
          <w:rFonts w:hint="cs"/>
          <w:rtl/>
        </w:rPr>
        <w:t>-</w:t>
      </w:r>
      <w:r>
        <w:rPr>
          <w:rtl/>
        </w:rPr>
        <w:t>1969</w:t>
      </w:r>
    </w:p>
    <w:p w:rsidR="0044337F" w:rsidRPr="0044337F" w:rsidRDefault="0044337F" w:rsidP="0044337F">
      <w:pPr>
        <w:spacing w:line="320" w:lineRule="auto"/>
        <w:jc w:val="left"/>
        <w:rPr>
          <w:rFonts w:cs="FrankRuehl"/>
          <w:szCs w:val="26"/>
          <w:rtl/>
        </w:rPr>
      </w:pPr>
    </w:p>
    <w:p w:rsidR="0044337F" w:rsidRDefault="0044337F" w:rsidP="0044337F">
      <w:pPr>
        <w:spacing w:line="320" w:lineRule="auto"/>
        <w:jc w:val="left"/>
        <w:rPr>
          <w:rFonts w:cs="Miriam"/>
          <w:szCs w:val="22"/>
          <w:rtl/>
        </w:rPr>
      </w:pPr>
      <w:r w:rsidRPr="0044337F">
        <w:rPr>
          <w:rFonts w:cs="Miriam"/>
          <w:szCs w:val="22"/>
          <w:rtl/>
        </w:rPr>
        <w:t xml:space="preserve">דיני חוקה </w:t>
      </w:r>
      <w:r w:rsidRPr="0044337F">
        <w:rPr>
          <w:rFonts w:cs="FrankRuehl"/>
          <w:szCs w:val="26"/>
          <w:rtl/>
        </w:rPr>
        <w:t xml:space="preserve"> – בחירות – בחירות ברשויות</w:t>
      </w:r>
    </w:p>
    <w:p w:rsidR="0044337F" w:rsidRPr="0044337F" w:rsidRDefault="0044337F" w:rsidP="0044337F">
      <w:pPr>
        <w:spacing w:line="320" w:lineRule="auto"/>
        <w:jc w:val="left"/>
        <w:rPr>
          <w:rFonts w:cs="Miriam" w:hint="cs"/>
          <w:szCs w:val="22"/>
          <w:rtl/>
        </w:rPr>
      </w:pPr>
      <w:r w:rsidRPr="0044337F">
        <w:rPr>
          <w:rFonts w:cs="Miriam"/>
          <w:szCs w:val="22"/>
          <w:rtl/>
        </w:rPr>
        <w:t>רשויות ומשפט מנהלי</w:t>
      </w:r>
      <w:r w:rsidRPr="0044337F">
        <w:rPr>
          <w:rFonts w:cs="FrankRuehl"/>
          <w:szCs w:val="26"/>
          <w:rtl/>
        </w:rPr>
        <w:t xml:space="preserve"> – רשויות מקומיות – בחירות</w:t>
      </w:r>
    </w:p>
    <w:p w:rsidR="00F22B79" w:rsidRDefault="00F22B79">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22B79">
        <w:tblPrEx>
          <w:tblCellMar>
            <w:top w:w="0" w:type="dxa"/>
            <w:bottom w:w="0" w:type="dxa"/>
          </w:tblCellMar>
        </w:tblPrEx>
        <w:tc>
          <w:tcPr>
            <w:tcW w:w="850" w:type="dxa"/>
          </w:tcPr>
          <w:p w:rsidR="00F22B79" w:rsidRDefault="00F22B7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22B79" w:rsidRDefault="00F22B79">
            <w:pPr>
              <w:spacing w:line="240" w:lineRule="auto"/>
              <w:rPr>
                <w:sz w:val="24"/>
              </w:rPr>
            </w:pPr>
            <w:hyperlink w:anchor="Seif0" w:tooltip="הגדרות" w:history="1">
              <w:r>
                <w:rPr>
                  <w:rStyle w:val="Hyperlink"/>
                </w:rPr>
                <w:t>Go</w:t>
              </w:r>
            </w:hyperlink>
          </w:p>
        </w:tc>
        <w:tc>
          <w:tcPr>
            <w:tcW w:w="5669" w:type="dxa"/>
          </w:tcPr>
          <w:p w:rsidR="00F22B79" w:rsidRDefault="00F22B79">
            <w:pPr>
              <w:spacing w:line="240" w:lineRule="auto"/>
              <w:rPr>
                <w:sz w:val="24"/>
                <w:rtl/>
              </w:rPr>
            </w:pPr>
            <w:r>
              <w:rPr>
                <w:sz w:val="24"/>
                <w:rtl/>
              </w:rPr>
              <w:t>הגדרות</w:t>
            </w:r>
          </w:p>
        </w:tc>
        <w:tc>
          <w:tcPr>
            <w:tcW w:w="1247" w:type="dxa"/>
          </w:tcPr>
          <w:p w:rsidR="00F22B79" w:rsidRDefault="00F22B79">
            <w:pPr>
              <w:spacing w:line="240" w:lineRule="auto"/>
              <w:rPr>
                <w:sz w:val="24"/>
              </w:rPr>
            </w:pPr>
            <w:r>
              <w:rPr>
                <w:sz w:val="24"/>
                <w:rtl/>
              </w:rPr>
              <w:t xml:space="preserve">סעיף 1 </w:t>
            </w:r>
          </w:p>
        </w:tc>
      </w:tr>
      <w:tr w:rsidR="00F22B79">
        <w:tblPrEx>
          <w:tblCellMar>
            <w:top w:w="0" w:type="dxa"/>
            <w:bottom w:w="0" w:type="dxa"/>
          </w:tblCellMar>
        </w:tblPrEx>
        <w:tc>
          <w:tcPr>
            <w:tcW w:w="850" w:type="dxa"/>
          </w:tcPr>
          <w:p w:rsidR="00F22B79" w:rsidRDefault="00F22B7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22B79" w:rsidRDefault="00F22B79">
            <w:pPr>
              <w:spacing w:line="240" w:lineRule="auto"/>
              <w:rPr>
                <w:sz w:val="24"/>
              </w:rPr>
            </w:pPr>
            <w:hyperlink w:anchor="Seif1" w:tooltip="טופס בקשות ועררים" w:history="1">
              <w:r>
                <w:rPr>
                  <w:rStyle w:val="Hyperlink"/>
                </w:rPr>
                <w:t>Go</w:t>
              </w:r>
            </w:hyperlink>
          </w:p>
        </w:tc>
        <w:tc>
          <w:tcPr>
            <w:tcW w:w="5669" w:type="dxa"/>
          </w:tcPr>
          <w:p w:rsidR="00F22B79" w:rsidRDefault="00F22B79">
            <w:pPr>
              <w:spacing w:line="240" w:lineRule="auto"/>
              <w:rPr>
                <w:sz w:val="24"/>
                <w:rtl/>
              </w:rPr>
            </w:pPr>
            <w:r>
              <w:rPr>
                <w:sz w:val="24"/>
                <w:rtl/>
              </w:rPr>
              <w:t>טופס בקשות ועררים</w:t>
            </w:r>
          </w:p>
        </w:tc>
        <w:tc>
          <w:tcPr>
            <w:tcW w:w="1247" w:type="dxa"/>
          </w:tcPr>
          <w:p w:rsidR="00F22B79" w:rsidRDefault="00F22B79">
            <w:pPr>
              <w:spacing w:line="240" w:lineRule="auto"/>
              <w:rPr>
                <w:sz w:val="24"/>
              </w:rPr>
            </w:pPr>
            <w:r>
              <w:rPr>
                <w:sz w:val="24"/>
                <w:rtl/>
              </w:rPr>
              <w:t xml:space="preserve">סעיף 2 </w:t>
            </w:r>
          </w:p>
        </w:tc>
      </w:tr>
      <w:tr w:rsidR="00F22B79">
        <w:tblPrEx>
          <w:tblCellMar>
            <w:top w:w="0" w:type="dxa"/>
            <w:bottom w:w="0" w:type="dxa"/>
          </w:tblCellMar>
        </w:tblPrEx>
        <w:tc>
          <w:tcPr>
            <w:tcW w:w="850" w:type="dxa"/>
          </w:tcPr>
          <w:p w:rsidR="00F22B79" w:rsidRDefault="00F22B7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22B79" w:rsidRDefault="00F22B79">
            <w:pPr>
              <w:spacing w:line="240" w:lineRule="auto"/>
              <w:rPr>
                <w:sz w:val="24"/>
              </w:rPr>
            </w:pPr>
            <w:hyperlink w:anchor="Seif2" w:tooltip="אופן הגשת בקשות ועררים על רישום או אי רישום העורר" w:history="1">
              <w:r>
                <w:rPr>
                  <w:rStyle w:val="Hyperlink"/>
                </w:rPr>
                <w:t>Go</w:t>
              </w:r>
            </w:hyperlink>
          </w:p>
        </w:tc>
        <w:tc>
          <w:tcPr>
            <w:tcW w:w="5669" w:type="dxa"/>
          </w:tcPr>
          <w:p w:rsidR="00F22B79" w:rsidRDefault="00F22B79">
            <w:pPr>
              <w:spacing w:line="240" w:lineRule="auto"/>
              <w:rPr>
                <w:sz w:val="24"/>
                <w:rtl/>
              </w:rPr>
            </w:pPr>
            <w:r>
              <w:rPr>
                <w:sz w:val="24"/>
                <w:rtl/>
              </w:rPr>
              <w:t>אופן הגשת בקשות ועררים על רישום או אי רישום העורר</w:t>
            </w:r>
          </w:p>
        </w:tc>
        <w:tc>
          <w:tcPr>
            <w:tcW w:w="1247" w:type="dxa"/>
          </w:tcPr>
          <w:p w:rsidR="00F22B79" w:rsidRDefault="00F22B79">
            <w:pPr>
              <w:spacing w:line="240" w:lineRule="auto"/>
              <w:rPr>
                <w:sz w:val="24"/>
              </w:rPr>
            </w:pPr>
            <w:r>
              <w:rPr>
                <w:sz w:val="24"/>
                <w:rtl/>
              </w:rPr>
              <w:t xml:space="preserve">סעיף 3 </w:t>
            </w:r>
          </w:p>
        </w:tc>
      </w:tr>
      <w:tr w:rsidR="00F22B79">
        <w:tblPrEx>
          <w:tblCellMar>
            <w:top w:w="0" w:type="dxa"/>
            <w:bottom w:w="0" w:type="dxa"/>
          </w:tblCellMar>
        </w:tblPrEx>
        <w:tc>
          <w:tcPr>
            <w:tcW w:w="850" w:type="dxa"/>
          </w:tcPr>
          <w:p w:rsidR="00F22B79" w:rsidRDefault="00F22B7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22B79" w:rsidRDefault="00F22B79">
            <w:pPr>
              <w:spacing w:line="240" w:lineRule="auto"/>
              <w:rPr>
                <w:sz w:val="24"/>
              </w:rPr>
            </w:pPr>
            <w:hyperlink w:anchor="Seif3" w:tooltip="אופן הגשת ערר על רישום הזולת" w:history="1">
              <w:r>
                <w:rPr>
                  <w:rStyle w:val="Hyperlink"/>
                </w:rPr>
                <w:t>Go</w:t>
              </w:r>
            </w:hyperlink>
          </w:p>
        </w:tc>
        <w:tc>
          <w:tcPr>
            <w:tcW w:w="5669" w:type="dxa"/>
          </w:tcPr>
          <w:p w:rsidR="00F22B79" w:rsidRDefault="00F22B79">
            <w:pPr>
              <w:spacing w:line="240" w:lineRule="auto"/>
              <w:rPr>
                <w:sz w:val="24"/>
                <w:rtl/>
              </w:rPr>
            </w:pPr>
            <w:r>
              <w:rPr>
                <w:sz w:val="24"/>
                <w:rtl/>
              </w:rPr>
              <w:t>אופן הגשת ערר על רישום הזולת</w:t>
            </w:r>
          </w:p>
        </w:tc>
        <w:tc>
          <w:tcPr>
            <w:tcW w:w="1247" w:type="dxa"/>
          </w:tcPr>
          <w:p w:rsidR="00F22B79" w:rsidRDefault="00F22B79">
            <w:pPr>
              <w:spacing w:line="240" w:lineRule="auto"/>
              <w:rPr>
                <w:sz w:val="24"/>
              </w:rPr>
            </w:pPr>
            <w:r>
              <w:rPr>
                <w:sz w:val="24"/>
                <w:rtl/>
              </w:rPr>
              <w:t xml:space="preserve">סעיף 4 </w:t>
            </w:r>
          </w:p>
        </w:tc>
      </w:tr>
      <w:tr w:rsidR="00F22B79">
        <w:tblPrEx>
          <w:tblCellMar>
            <w:top w:w="0" w:type="dxa"/>
            <w:bottom w:w="0" w:type="dxa"/>
          </w:tblCellMar>
        </w:tblPrEx>
        <w:tc>
          <w:tcPr>
            <w:tcW w:w="850" w:type="dxa"/>
          </w:tcPr>
          <w:p w:rsidR="00F22B79" w:rsidRDefault="00F22B7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22B79" w:rsidRDefault="00F22B79">
            <w:pPr>
              <w:spacing w:line="240" w:lineRule="auto"/>
              <w:rPr>
                <w:sz w:val="24"/>
              </w:rPr>
            </w:pPr>
            <w:hyperlink w:anchor="Seif4" w:tooltip="אישור מסירת בקשות ועררים" w:history="1">
              <w:r>
                <w:rPr>
                  <w:rStyle w:val="Hyperlink"/>
                </w:rPr>
                <w:t>Go</w:t>
              </w:r>
            </w:hyperlink>
          </w:p>
        </w:tc>
        <w:tc>
          <w:tcPr>
            <w:tcW w:w="5669" w:type="dxa"/>
          </w:tcPr>
          <w:p w:rsidR="00F22B79" w:rsidRDefault="00F22B79">
            <w:pPr>
              <w:spacing w:line="240" w:lineRule="auto"/>
              <w:rPr>
                <w:sz w:val="24"/>
                <w:rtl/>
              </w:rPr>
            </w:pPr>
            <w:r>
              <w:rPr>
                <w:sz w:val="24"/>
                <w:rtl/>
              </w:rPr>
              <w:t>אישור מסירת בקשות ועררים</w:t>
            </w:r>
          </w:p>
        </w:tc>
        <w:tc>
          <w:tcPr>
            <w:tcW w:w="1247" w:type="dxa"/>
          </w:tcPr>
          <w:p w:rsidR="00F22B79" w:rsidRDefault="00F22B79">
            <w:pPr>
              <w:spacing w:line="240" w:lineRule="auto"/>
              <w:rPr>
                <w:sz w:val="24"/>
              </w:rPr>
            </w:pPr>
            <w:r>
              <w:rPr>
                <w:sz w:val="24"/>
                <w:rtl/>
              </w:rPr>
              <w:t xml:space="preserve">סעיף 5 </w:t>
            </w:r>
          </w:p>
        </w:tc>
      </w:tr>
      <w:tr w:rsidR="00F22B79">
        <w:tblPrEx>
          <w:tblCellMar>
            <w:top w:w="0" w:type="dxa"/>
            <w:bottom w:w="0" w:type="dxa"/>
          </w:tblCellMar>
        </w:tblPrEx>
        <w:tc>
          <w:tcPr>
            <w:tcW w:w="850" w:type="dxa"/>
          </w:tcPr>
          <w:p w:rsidR="00F22B79" w:rsidRDefault="00F22B7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22B79" w:rsidRDefault="00F22B79">
            <w:pPr>
              <w:spacing w:line="240" w:lineRule="auto"/>
              <w:rPr>
                <w:sz w:val="24"/>
              </w:rPr>
            </w:pPr>
            <w:hyperlink w:anchor="Seif5" w:tooltip="עבירות" w:history="1">
              <w:r>
                <w:rPr>
                  <w:rStyle w:val="Hyperlink"/>
                </w:rPr>
                <w:t>Go</w:t>
              </w:r>
            </w:hyperlink>
          </w:p>
        </w:tc>
        <w:tc>
          <w:tcPr>
            <w:tcW w:w="5669" w:type="dxa"/>
          </w:tcPr>
          <w:p w:rsidR="00F22B79" w:rsidRDefault="00F22B79">
            <w:pPr>
              <w:spacing w:line="240" w:lineRule="auto"/>
              <w:rPr>
                <w:sz w:val="24"/>
                <w:rtl/>
              </w:rPr>
            </w:pPr>
            <w:r>
              <w:rPr>
                <w:sz w:val="24"/>
                <w:rtl/>
              </w:rPr>
              <w:t>עבירות</w:t>
            </w:r>
          </w:p>
        </w:tc>
        <w:tc>
          <w:tcPr>
            <w:tcW w:w="1247" w:type="dxa"/>
          </w:tcPr>
          <w:p w:rsidR="00F22B79" w:rsidRDefault="00F22B79">
            <w:pPr>
              <w:spacing w:line="240" w:lineRule="auto"/>
              <w:rPr>
                <w:sz w:val="24"/>
              </w:rPr>
            </w:pPr>
            <w:r>
              <w:rPr>
                <w:sz w:val="24"/>
                <w:rtl/>
              </w:rPr>
              <w:t xml:space="preserve">סעיף 6 </w:t>
            </w:r>
          </w:p>
        </w:tc>
      </w:tr>
      <w:tr w:rsidR="00F22B79">
        <w:tblPrEx>
          <w:tblCellMar>
            <w:top w:w="0" w:type="dxa"/>
            <w:bottom w:w="0" w:type="dxa"/>
          </w:tblCellMar>
        </w:tblPrEx>
        <w:tc>
          <w:tcPr>
            <w:tcW w:w="850" w:type="dxa"/>
          </w:tcPr>
          <w:p w:rsidR="00F22B79" w:rsidRDefault="00F22B7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22B79" w:rsidRDefault="00F22B79">
            <w:pPr>
              <w:spacing w:line="240" w:lineRule="auto"/>
              <w:rPr>
                <w:sz w:val="24"/>
              </w:rPr>
            </w:pPr>
            <w:hyperlink w:anchor="Seif6" w:tooltip="השם" w:history="1">
              <w:r>
                <w:rPr>
                  <w:rStyle w:val="Hyperlink"/>
                </w:rPr>
                <w:t>Go</w:t>
              </w:r>
            </w:hyperlink>
          </w:p>
        </w:tc>
        <w:tc>
          <w:tcPr>
            <w:tcW w:w="5669" w:type="dxa"/>
          </w:tcPr>
          <w:p w:rsidR="00F22B79" w:rsidRDefault="00F22B79">
            <w:pPr>
              <w:spacing w:line="240" w:lineRule="auto"/>
              <w:rPr>
                <w:sz w:val="24"/>
                <w:rtl/>
              </w:rPr>
            </w:pPr>
            <w:r>
              <w:rPr>
                <w:sz w:val="24"/>
                <w:rtl/>
              </w:rPr>
              <w:t>השם</w:t>
            </w:r>
          </w:p>
        </w:tc>
        <w:tc>
          <w:tcPr>
            <w:tcW w:w="1247" w:type="dxa"/>
          </w:tcPr>
          <w:p w:rsidR="00F22B79" w:rsidRDefault="00F22B79">
            <w:pPr>
              <w:spacing w:line="240" w:lineRule="auto"/>
              <w:rPr>
                <w:sz w:val="24"/>
              </w:rPr>
            </w:pPr>
            <w:r>
              <w:rPr>
                <w:sz w:val="24"/>
                <w:rtl/>
              </w:rPr>
              <w:t xml:space="preserve">סעיף 7 </w:t>
            </w:r>
          </w:p>
        </w:tc>
      </w:tr>
      <w:tr w:rsidR="00F22B79">
        <w:tblPrEx>
          <w:tblCellMar>
            <w:top w:w="0" w:type="dxa"/>
            <w:bottom w:w="0" w:type="dxa"/>
          </w:tblCellMar>
        </w:tblPrEx>
        <w:tc>
          <w:tcPr>
            <w:tcW w:w="850" w:type="dxa"/>
          </w:tcPr>
          <w:p w:rsidR="00F22B79" w:rsidRDefault="00F22B79">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22B79" w:rsidRDefault="00F22B79">
            <w:pPr>
              <w:spacing w:line="240" w:lineRule="auto"/>
              <w:rPr>
                <w:sz w:val="24"/>
              </w:rPr>
            </w:pPr>
            <w:hyperlink w:anchor="med0" w:tooltip="תוספת" w:history="1">
              <w:r>
                <w:rPr>
                  <w:rStyle w:val="Hyperlink"/>
                </w:rPr>
                <w:t>Go</w:t>
              </w:r>
            </w:hyperlink>
          </w:p>
        </w:tc>
        <w:tc>
          <w:tcPr>
            <w:tcW w:w="5669" w:type="dxa"/>
          </w:tcPr>
          <w:p w:rsidR="00F22B79" w:rsidRDefault="00F22B79">
            <w:pPr>
              <w:spacing w:line="240" w:lineRule="auto"/>
              <w:rPr>
                <w:sz w:val="24"/>
              </w:rPr>
            </w:pPr>
            <w:r>
              <w:rPr>
                <w:sz w:val="24"/>
                <w:rtl/>
              </w:rPr>
              <w:t>תוספת</w:t>
            </w:r>
          </w:p>
        </w:tc>
        <w:tc>
          <w:tcPr>
            <w:tcW w:w="1247" w:type="dxa"/>
          </w:tcPr>
          <w:p w:rsidR="00F22B79" w:rsidRDefault="00F22B79">
            <w:pPr>
              <w:spacing w:line="240" w:lineRule="auto"/>
              <w:rPr>
                <w:sz w:val="24"/>
              </w:rPr>
            </w:pPr>
          </w:p>
        </w:tc>
      </w:tr>
    </w:tbl>
    <w:p w:rsidR="00F22B79" w:rsidRDefault="00F22B79">
      <w:pPr>
        <w:pStyle w:val="big-header"/>
        <w:ind w:left="0" w:right="1134"/>
        <w:rPr>
          <w:rtl/>
        </w:rPr>
      </w:pPr>
    </w:p>
    <w:p w:rsidR="00F22B79" w:rsidRDefault="00F22B79" w:rsidP="0044337F">
      <w:pPr>
        <w:pStyle w:val="big-header"/>
        <w:ind w:left="0" w:right="1134"/>
        <w:rPr>
          <w:rStyle w:val="default"/>
          <w:rFonts w:cs="FrankRuehl" w:hint="cs"/>
          <w:rtl/>
        </w:rPr>
      </w:pPr>
      <w:r>
        <w:rPr>
          <w:rtl/>
        </w:rPr>
        <w:br w:type="page"/>
      </w:r>
      <w:r w:rsidR="0044337F">
        <w:rPr>
          <w:rtl/>
        </w:rPr>
        <w:lastRenderedPageBreak/>
        <w:t xml:space="preserve"> </w:t>
      </w:r>
      <w:r>
        <w:rPr>
          <w:rtl/>
        </w:rPr>
        <w:t>ת</w:t>
      </w:r>
      <w:r>
        <w:rPr>
          <w:rFonts w:hint="cs"/>
          <w:rtl/>
        </w:rPr>
        <w:t>קנות הרשויות המקומיות (בחירות) (סדרי הגשת בקשות ועררים לנספח), תשכ"ט-1969</w:t>
      </w:r>
      <w:r>
        <w:rPr>
          <w:rStyle w:val="default"/>
          <w:rtl/>
        </w:rPr>
        <w:footnoteReference w:customMarkFollows="1" w:id="1"/>
        <w:t>*</w:t>
      </w:r>
    </w:p>
    <w:p w:rsidR="00F22B79" w:rsidRDefault="00F22B7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17(ב) ו-100 לחוק הרשויות המקומיות (בחירות), תשכ"ה-1965, אני מתקין תקנו</w:t>
      </w:r>
      <w:r>
        <w:rPr>
          <w:rStyle w:val="default"/>
          <w:rFonts w:cs="FrankRuehl"/>
          <w:rtl/>
        </w:rPr>
        <w:t>ת</w:t>
      </w:r>
      <w:r>
        <w:rPr>
          <w:rStyle w:val="default"/>
          <w:rFonts w:cs="FrankRuehl" w:hint="cs"/>
          <w:rtl/>
        </w:rPr>
        <w:t xml:space="preserve"> אלה:</w:t>
      </w:r>
    </w:p>
    <w:p w:rsidR="00F22B79" w:rsidRDefault="00F22B79">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3.5pt;z-index:251652608" o:allowincell="f" filled="f" stroked="f" strokecolor="lime" strokeweight=".25pt">
            <v:textbox inset="0,0,0,0">
              <w:txbxContent>
                <w:p w:rsidR="00F22B79" w:rsidRDefault="00F22B7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F22B79" w:rsidRDefault="00F22B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בקשה" - בקשה לתקן פרטים המתייחסים למבקש, שנרשמו בנספח באופן לא נכון;</w:t>
      </w:r>
    </w:p>
    <w:p w:rsidR="00F22B79" w:rsidRDefault="00F22B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ערר על אי רישום העורר" - ערר על אי רישום העורר בנספח שלא כדין:</w:t>
      </w:r>
    </w:p>
    <w:p w:rsidR="00F22B79" w:rsidRDefault="00F22B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ערר על רישום העורר" - ערר על רישומו של העורר בנספח שלא כדין;</w:t>
      </w:r>
    </w:p>
    <w:p w:rsidR="00F22B79" w:rsidRDefault="00F22B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ערר על רישום הזולת" - </w:t>
      </w:r>
      <w:r>
        <w:rPr>
          <w:rStyle w:val="default"/>
          <w:rFonts w:cs="FrankRuehl"/>
          <w:rtl/>
        </w:rPr>
        <w:t>ע</w:t>
      </w:r>
      <w:r>
        <w:rPr>
          <w:rStyle w:val="default"/>
          <w:rFonts w:cs="FrankRuehl" w:hint="cs"/>
          <w:rtl/>
        </w:rPr>
        <w:t>רר על רישומו של הזולת בנספח שלא כדין;</w:t>
      </w:r>
    </w:p>
    <w:p w:rsidR="00F22B79" w:rsidRDefault="00F22B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תעודת זהות" - פנקס זיהוי שניתן לפי תקנות-שעת-חירום (רישום תושבים), תש"ח-1948, או תעודת זהות שניתנה לפי פקודת מרשם התושבים, תש"ט-1949, או תעודת זהות שניתנה לפי חוק מרשם האוכלוסין, תשכ"ה-1965;</w:t>
      </w:r>
    </w:p>
    <w:p w:rsidR="00F22B79" w:rsidRDefault="00F22B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לשכת מרשם האוכלוסין" -</w:t>
      </w:r>
      <w:r>
        <w:rPr>
          <w:rStyle w:val="default"/>
          <w:rFonts w:cs="FrankRuehl"/>
          <w:rtl/>
        </w:rPr>
        <w:t xml:space="preserve"> </w:t>
      </w:r>
      <w:r>
        <w:rPr>
          <w:rStyle w:val="default"/>
          <w:rFonts w:cs="FrankRuehl" w:hint="cs"/>
          <w:rtl/>
        </w:rPr>
        <w:t>לשכת מרשם תושבים כמשמעותו בתקנות מרשם האוכלוסין, תשט"ו-1955.</w:t>
      </w:r>
    </w:p>
    <w:p w:rsidR="00F22B79" w:rsidRDefault="00F22B79">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3632" o:allowincell="f" filled="f" stroked="f" strokecolor="lime" strokeweight=".25pt">
            <v:textbox inset="0,0,0,0">
              <w:txbxContent>
                <w:p w:rsidR="00F22B79" w:rsidRDefault="00F22B79">
                  <w:pPr>
                    <w:spacing w:line="160" w:lineRule="exact"/>
                    <w:jc w:val="left"/>
                    <w:rPr>
                      <w:rFonts w:cs="Miriam"/>
                      <w:noProof/>
                      <w:szCs w:val="18"/>
                      <w:rtl/>
                    </w:rPr>
                  </w:pPr>
                  <w:r>
                    <w:rPr>
                      <w:rFonts w:cs="Miriam"/>
                      <w:szCs w:val="18"/>
                      <w:rtl/>
                    </w:rPr>
                    <w:t>ט</w:t>
                  </w:r>
                  <w:r>
                    <w:rPr>
                      <w:rFonts w:cs="Miriam" w:hint="cs"/>
                      <w:szCs w:val="18"/>
                      <w:rtl/>
                    </w:rPr>
                    <w:t xml:space="preserve">ופס בקשות </w:t>
                  </w:r>
                  <w:r>
                    <w:rPr>
                      <w:rFonts w:cs="Miriam"/>
                      <w:szCs w:val="18"/>
                      <w:rtl/>
                    </w:rPr>
                    <w:t>ו</w:t>
                  </w:r>
                  <w:r>
                    <w:rPr>
                      <w:rFonts w:cs="Miriam" w:hint="cs"/>
                      <w:szCs w:val="18"/>
                      <w:rtl/>
                    </w:rPr>
                    <w:t>עררים</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בקשה או ערר על אי רישום העורר ייערכו לפי הנוסח שבטופס מס' 1 בתוספת ויהיו חתומים ביד המבקש או העורר.</w:t>
      </w:r>
    </w:p>
    <w:p w:rsidR="00F22B79" w:rsidRDefault="00F22B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ערר על רישום העורר ייערך לפי הנוסח שבטופס מס' 2 בתוספת ויה</w:t>
      </w:r>
      <w:r>
        <w:rPr>
          <w:rStyle w:val="default"/>
          <w:rFonts w:cs="FrankRuehl"/>
          <w:rtl/>
        </w:rPr>
        <w:t>י</w:t>
      </w:r>
      <w:r>
        <w:rPr>
          <w:rStyle w:val="default"/>
          <w:rFonts w:cs="FrankRuehl" w:hint="cs"/>
          <w:rtl/>
        </w:rPr>
        <w:t>ה חתום ביד העורר.</w:t>
      </w:r>
    </w:p>
    <w:p w:rsidR="00F22B79" w:rsidRDefault="00F22B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ערר על רישום הזולת ייערך לפי הנוסח שבטופס מס' 3 שבתוספת ויהיה חתום ביד העורר.</w:t>
      </w:r>
    </w:p>
    <w:p w:rsidR="00F22B79" w:rsidRDefault="00F22B79">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32pt;z-index:251654656" o:allowincell="f" filled="f" stroked="f" strokecolor="lime" strokeweight=".25pt">
            <v:textbox inset="0,0,0,0">
              <w:txbxContent>
                <w:p w:rsidR="00F22B79" w:rsidRDefault="00F22B79">
                  <w:pPr>
                    <w:spacing w:line="160" w:lineRule="exact"/>
                    <w:jc w:val="left"/>
                    <w:rPr>
                      <w:rFonts w:cs="Miriam"/>
                      <w:noProof/>
                      <w:szCs w:val="18"/>
                      <w:rtl/>
                    </w:rPr>
                  </w:pPr>
                  <w:r>
                    <w:rPr>
                      <w:rFonts w:cs="Miriam"/>
                      <w:szCs w:val="18"/>
                      <w:rtl/>
                    </w:rPr>
                    <w:t>א</w:t>
                  </w:r>
                  <w:r>
                    <w:rPr>
                      <w:rFonts w:cs="Miriam" w:hint="cs"/>
                      <w:szCs w:val="18"/>
                      <w:rtl/>
                    </w:rPr>
                    <w:t xml:space="preserve">ופן הגשת </w:t>
                  </w:r>
                  <w:r>
                    <w:rPr>
                      <w:rFonts w:cs="Miriam"/>
                      <w:szCs w:val="18"/>
                      <w:rtl/>
                    </w:rPr>
                    <w:t>ב</w:t>
                  </w:r>
                  <w:r>
                    <w:rPr>
                      <w:rFonts w:cs="Miriam" w:hint="cs"/>
                      <w:szCs w:val="18"/>
                      <w:rtl/>
                    </w:rPr>
                    <w:t xml:space="preserve">קשות ועררים </w:t>
                  </w:r>
                  <w:r>
                    <w:rPr>
                      <w:rFonts w:cs="Miriam"/>
                      <w:szCs w:val="18"/>
                      <w:rtl/>
                    </w:rPr>
                    <w:t>ע</w:t>
                  </w:r>
                  <w:r>
                    <w:rPr>
                      <w:rFonts w:cs="Miriam" w:hint="cs"/>
                      <w:szCs w:val="18"/>
                      <w:rtl/>
                    </w:rPr>
                    <w:t xml:space="preserve">ל רישום או </w:t>
                  </w:r>
                  <w:r>
                    <w:rPr>
                      <w:rFonts w:cs="Miriam"/>
                      <w:szCs w:val="18"/>
                      <w:rtl/>
                    </w:rPr>
                    <w:t>א</w:t>
                  </w:r>
                  <w:r>
                    <w:rPr>
                      <w:rFonts w:cs="Miriam" w:hint="cs"/>
                      <w:szCs w:val="18"/>
                      <w:rtl/>
                    </w:rPr>
                    <w:t>י-רישום העורר</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בקשה או ערר על אי רישום העורר, או ערר על רישום העורר, יוגשו לשר הפנים באמצעות לשכת מרשם האוכלוסין שבשטח סמכותה נמצא הישוב שהמבקש או העורר תושב בו, בהתאם להודעה שנמסרה לפי חוק מרשם האוכלוסין</w:t>
      </w:r>
      <w:r>
        <w:rPr>
          <w:rStyle w:val="default"/>
          <w:rFonts w:cs="FrankRuehl"/>
          <w:rtl/>
        </w:rPr>
        <w:t xml:space="preserve">, </w:t>
      </w:r>
      <w:r>
        <w:rPr>
          <w:rStyle w:val="default"/>
          <w:rFonts w:cs="FrankRuehl" w:hint="cs"/>
          <w:rtl/>
        </w:rPr>
        <w:t>תשכ"ה-1965.</w:t>
      </w:r>
    </w:p>
    <w:p w:rsidR="00F22B79" w:rsidRDefault="00F22B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בעת הגשת בקשה או ערר כאמור בתקנת משנה (א) תוצג תעודת הזהות של המבקש או העורר.</w:t>
      </w:r>
    </w:p>
    <w:p w:rsidR="00F22B79" w:rsidRDefault="00F22B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ערר על רישום העורר יוגש בשני עתקים.</w:t>
      </w:r>
    </w:p>
    <w:p w:rsidR="00F22B79" w:rsidRDefault="00F22B79">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3.1pt;z-index:251655680" o:allowincell="f" filled="f" stroked="f" strokecolor="lime" strokeweight=".25pt">
            <v:textbox inset="0,0,0,0">
              <w:txbxContent>
                <w:p w:rsidR="00F22B79" w:rsidRDefault="00F22B79">
                  <w:pPr>
                    <w:spacing w:line="160" w:lineRule="exact"/>
                    <w:jc w:val="left"/>
                    <w:rPr>
                      <w:rFonts w:cs="Miriam"/>
                      <w:noProof/>
                      <w:szCs w:val="18"/>
                      <w:rtl/>
                    </w:rPr>
                  </w:pPr>
                  <w:r>
                    <w:rPr>
                      <w:rFonts w:cs="Miriam"/>
                      <w:szCs w:val="18"/>
                      <w:rtl/>
                    </w:rPr>
                    <w:t>א</w:t>
                  </w:r>
                  <w:r>
                    <w:rPr>
                      <w:rFonts w:cs="Miriam" w:hint="cs"/>
                      <w:szCs w:val="18"/>
                      <w:rtl/>
                    </w:rPr>
                    <w:t xml:space="preserve">ופן </w:t>
                  </w:r>
                  <w:r>
                    <w:rPr>
                      <w:rFonts w:cs="Miriam"/>
                      <w:szCs w:val="18"/>
                      <w:rtl/>
                    </w:rPr>
                    <w:t>ה</w:t>
                  </w:r>
                  <w:r>
                    <w:rPr>
                      <w:rFonts w:cs="Miriam" w:hint="cs"/>
                      <w:szCs w:val="18"/>
                      <w:rtl/>
                    </w:rPr>
                    <w:t xml:space="preserve">גשת ערר </w:t>
                  </w:r>
                  <w:r>
                    <w:rPr>
                      <w:rFonts w:cs="Miriam"/>
                      <w:szCs w:val="18"/>
                      <w:rtl/>
                    </w:rPr>
                    <w:t>ע</w:t>
                  </w:r>
                  <w:r>
                    <w:rPr>
                      <w:rFonts w:cs="Miriam" w:hint="cs"/>
                      <w:szCs w:val="18"/>
                      <w:rtl/>
                    </w:rPr>
                    <w:t>ל רישום הזולת</w:t>
                  </w:r>
                </w:p>
              </w:txbxContent>
            </v:textbox>
            <w10:anchorlock/>
          </v:rect>
        </w:pict>
      </w:r>
      <w:r>
        <w:rPr>
          <w:rStyle w:val="big-number"/>
          <w:rFonts w:cs="Miriam"/>
          <w:rtl/>
        </w:rPr>
        <w:t>4.</w:t>
      </w:r>
      <w:r>
        <w:rPr>
          <w:rStyle w:val="big-number"/>
          <w:rFonts w:cs="Miriam"/>
          <w:rtl/>
        </w:rPr>
        <w:tab/>
      </w:r>
      <w:r>
        <w:rPr>
          <w:rStyle w:val="default"/>
          <w:rFonts w:cs="FrankRuehl"/>
          <w:rtl/>
        </w:rPr>
        <w:t>ע</w:t>
      </w:r>
      <w:r>
        <w:rPr>
          <w:rStyle w:val="default"/>
          <w:rFonts w:cs="FrankRuehl" w:hint="cs"/>
          <w:rtl/>
        </w:rPr>
        <w:t>רר על רישום הזולת יוגש לשר הפנים באמצעות לשכת מרשם האוכלוסין שבשטח סמכותה נמצא היש</w:t>
      </w:r>
      <w:r>
        <w:rPr>
          <w:rStyle w:val="default"/>
          <w:rFonts w:cs="FrankRuehl"/>
          <w:rtl/>
        </w:rPr>
        <w:t>ו</w:t>
      </w:r>
      <w:r>
        <w:rPr>
          <w:rStyle w:val="default"/>
          <w:rFonts w:cs="FrankRuehl" w:hint="cs"/>
          <w:rtl/>
        </w:rPr>
        <w:t>ב שאותו אדם תושב בו לפי הרישום בנספח; הערר יוגש בשלושה עתקים.</w:t>
      </w:r>
    </w:p>
    <w:p w:rsidR="00F22B79" w:rsidRDefault="00F22B79">
      <w:pPr>
        <w:pStyle w:val="P00"/>
        <w:spacing w:before="72"/>
        <w:ind w:left="0" w:right="1134"/>
        <w:rPr>
          <w:rStyle w:val="default"/>
          <w:rFonts w:cs="FrankRuehl" w:hint="cs"/>
          <w:rtl/>
        </w:rPr>
      </w:pPr>
      <w:bookmarkStart w:id="4" w:name="Seif4"/>
      <w:bookmarkEnd w:id="4"/>
      <w:r>
        <w:rPr>
          <w:lang w:val="he-IL"/>
        </w:rPr>
        <w:pict>
          <v:rect id="_x0000_s1030" style="position:absolute;left:0;text-align:left;margin-left:464.5pt;margin-top:8.05pt;width:75.05pt;height:18.2pt;z-index:251656704" o:allowincell="f" filled="f" stroked="f" strokecolor="lime" strokeweight=".25pt">
            <v:textbox inset="0,0,0,0">
              <w:txbxContent>
                <w:p w:rsidR="00F22B79" w:rsidRDefault="00F22B79">
                  <w:pPr>
                    <w:spacing w:line="160" w:lineRule="exact"/>
                    <w:jc w:val="left"/>
                    <w:rPr>
                      <w:rFonts w:cs="Miriam"/>
                      <w:noProof/>
                      <w:szCs w:val="18"/>
                      <w:rtl/>
                    </w:rPr>
                  </w:pPr>
                  <w:r>
                    <w:rPr>
                      <w:rFonts w:cs="Miriam"/>
                      <w:szCs w:val="18"/>
                      <w:rtl/>
                    </w:rPr>
                    <w:t>א</w:t>
                  </w:r>
                  <w:r>
                    <w:rPr>
                      <w:rFonts w:cs="Miriam" w:hint="cs"/>
                      <w:szCs w:val="18"/>
                      <w:rtl/>
                    </w:rPr>
                    <w:t xml:space="preserve">ישור מסירת </w:t>
                  </w:r>
                  <w:r>
                    <w:rPr>
                      <w:rFonts w:cs="Miriam"/>
                      <w:szCs w:val="18"/>
                      <w:rtl/>
                    </w:rPr>
                    <w:t>ב</w:t>
                  </w:r>
                  <w:r>
                    <w:rPr>
                      <w:rFonts w:cs="Miriam" w:hint="cs"/>
                      <w:szCs w:val="18"/>
                      <w:rtl/>
                    </w:rPr>
                    <w:t>קשות ועררים</w:t>
                  </w: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 xml:space="preserve">שכת מרשם האוכלוסין תאשר את המסירה של </w:t>
      </w:r>
      <w:r>
        <w:rPr>
          <w:rStyle w:val="default"/>
          <w:rFonts w:cs="FrankRuehl"/>
          <w:rtl/>
        </w:rPr>
        <w:t>–</w:t>
      </w:r>
    </w:p>
    <w:p w:rsidR="00F22B79" w:rsidRDefault="00F22B7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בקשה או ערר על אי רישום העורר על ידי רישום בתעודת הזהות של המבקש או העורר;</w:t>
      </w:r>
    </w:p>
    <w:p w:rsidR="00F22B79" w:rsidRDefault="00F22B7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ערר על רישום העורר או ערר על רישום הזול</w:t>
      </w:r>
      <w:r>
        <w:rPr>
          <w:rStyle w:val="default"/>
          <w:rFonts w:cs="FrankRuehl"/>
          <w:rtl/>
        </w:rPr>
        <w:t>ת</w:t>
      </w:r>
      <w:r>
        <w:rPr>
          <w:rStyle w:val="default"/>
          <w:rFonts w:cs="FrankRuehl" w:hint="cs"/>
          <w:rtl/>
        </w:rPr>
        <w:t xml:space="preserve"> על ידי ציון יום הגשתם על גבי העתק אחד של הערר, אשר יוחזר לידי העורר.</w:t>
      </w:r>
    </w:p>
    <w:p w:rsidR="00F22B79" w:rsidRDefault="00F22B79">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1.9pt;z-index:251657728" o:allowincell="f" filled="f" stroked="f" strokecolor="lime" strokeweight=".25pt">
            <v:textbox inset="0,0,0,0">
              <w:txbxContent>
                <w:p w:rsidR="00F22B79" w:rsidRDefault="00F22B79">
                  <w:pPr>
                    <w:spacing w:line="160" w:lineRule="exact"/>
                    <w:jc w:val="left"/>
                    <w:rPr>
                      <w:rFonts w:cs="Miriam"/>
                      <w:noProof/>
                      <w:szCs w:val="18"/>
                      <w:rtl/>
                    </w:rPr>
                  </w:pPr>
                  <w:r>
                    <w:rPr>
                      <w:rFonts w:cs="Miriam"/>
                      <w:szCs w:val="18"/>
                      <w:rtl/>
                    </w:rPr>
                    <w:t>ע</w:t>
                  </w:r>
                  <w:r>
                    <w:rPr>
                      <w:rFonts w:cs="Miriam" w:hint="cs"/>
                      <w:szCs w:val="18"/>
                      <w:rtl/>
                    </w:rPr>
                    <w:t>בירות</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או עורר חייבים למסור בבקשה או בערר פרטים נכונים.</w:t>
      </w:r>
    </w:p>
    <w:p w:rsidR="00F22B79" w:rsidRDefault="00F22B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העובר על הוראות תקנת משנה (א), דינו - מאסר ששה חדשים או קנס 500 לירות.</w:t>
      </w:r>
    </w:p>
    <w:p w:rsidR="00F22B79" w:rsidRDefault="00F22B79">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2.6pt;z-index:251658752" o:allowincell="f" filled="f" stroked="f" strokecolor="lime" strokeweight=".25pt">
            <v:textbox inset="0,0,0,0">
              <w:txbxContent>
                <w:p w:rsidR="00F22B79" w:rsidRDefault="00F22B79">
                  <w:pPr>
                    <w:spacing w:line="160" w:lineRule="exact"/>
                    <w:jc w:val="left"/>
                    <w:rPr>
                      <w:rFonts w:cs="Miriam"/>
                      <w:noProof/>
                      <w:szCs w:val="18"/>
                      <w:rtl/>
                    </w:rPr>
                  </w:pPr>
                  <w:r>
                    <w:rPr>
                      <w:rFonts w:cs="Miriam"/>
                      <w:szCs w:val="18"/>
                      <w:rtl/>
                    </w:rPr>
                    <w:t>הש</w:t>
                  </w:r>
                  <w:r>
                    <w:rPr>
                      <w:rFonts w:cs="Miriam" w:hint="cs"/>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תקנות אלה ייקרא "תקנות הרשו</w:t>
      </w:r>
      <w:r>
        <w:rPr>
          <w:rStyle w:val="default"/>
          <w:rFonts w:cs="FrankRuehl"/>
          <w:rtl/>
        </w:rPr>
        <w:t>י</w:t>
      </w:r>
      <w:r>
        <w:rPr>
          <w:rStyle w:val="default"/>
          <w:rFonts w:cs="FrankRuehl" w:hint="cs"/>
          <w:rtl/>
        </w:rPr>
        <w:t>ות המקומיות (בחירות) (סדרי הגשת בקשות ועררים לנספח), תשכ"ט-1969".</w:t>
      </w:r>
    </w:p>
    <w:p w:rsidR="00F22B79" w:rsidRDefault="00F22B79">
      <w:pPr>
        <w:pStyle w:val="page"/>
        <w:widowControl/>
        <w:ind w:right="1134"/>
        <w:rPr>
          <w:position w:val="0"/>
          <w:rtl/>
        </w:rPr>
      </w:pPr>
      <w:r>
        <w:rPr>
          <w:position w:val="0"/>
          <w:rtl/>
        </w:rPr>
        <w:t xml:space="preserve"> </w:t>
      </w:r>
    </w:p>
    <w:p w:rsidR="00F22B79" w:rsidRDefault="00F22B79">
      <w:pPr>
        <w:pStyle w:val="medium2-header"/>
        <w:keepLines w:val="0"/>
        <w:spacing w:before="72"/>
        <w:ind w:left="0" w:right="1134"/>
        <w:rPr>
          <w:noProof/>
          <w:sz w:val="26"/>
          <w:szCs w:val="26"/>
          <w:rtl/>
        </w:rPr>
      </w:pPr>
      <w:bookmarkStart w:id="7" w:name="med0"/>
      <w:bookmarkEnd w:id="7"/>
      <w:r>
        <w:rPr>
          <w:noProof/>
          <w:sz w:val="26"/>
          <w:szCs w:val="26"/>
          <w:rtl/>
        </w:rPr>
        <w:lastRenderedPageBreak/>
        <w:t>ת</w:t>
      </w:r>
      <w:r>
        <w:rPr>
          <w:rFonts w:hint="cs"/>
          <w:noProof/>
          <w:sz w:val="26"/>
          <w:szCs w:val="26"/>
          <w:rtl/>
        </w:rPr>
        <w:t>וספת</w:t>
      </w:r>
    </w:p>
    <w:p w:rsidR="00F22B79" w:rsidRDefault="00F22B79">
      <w:pPr>
        <w:pStyle w:val="medium-header"/>
        <w:keepNext w:val="0"/>
        <w:keepLines w:val="0"/>
        <w:ind w:left="0" w:right="1134"/>
        <w:rPr>
          <w:sz w:val="24"/>
          <w:szCs w:val="24"/>
          <w:rtl/>
        </w:rPr>
      </w:pPr>
      <w:r>
        <w:rPr>
          <w:sz w:val="24"/>
          <w:szCs w:val="24"/>
          <w:rtl/>
        </w:rPr>
        <w:t>(</w:t>
      </w:r>
      <w:r>
        <w:rPr>
          <w:rFonts w:hint="cs"/>
          <w:sz w:val="24"/>
          <w:szCs w:val="24"/>
          <w:rtl/>
        </w:rPr>
        <w:t>תקנה 2)</w:t>
      </w:r>
    </w:p>
    <w:p w:rsidR="00F22B79" w:rsidRPr="0073650D" w:rsidRDefault="00F22B79" w:rsidP="0073650D">
      <w:pPr>
        <w:pStyle w:val="P00"/>
        <w:spacing w:before="72"/>
        <w:ind w:left="0" w:right="1134"/>
        <w:rPr>
          <w:rFonts w:cs="David"/>
          <w:sz w:val="22"/>
          <w:szCs w:val="22"/>
          <w:rtl/>
        </w:rPr>
      </w:pPr>
      <w:r w:rsidRPr="0073650D">
        <w:rPr>
          <w:rFonts w:cs="David"/>
          <w:sz w:val="22"/>
          <w:szCs w:val="22"/>
        </w:rPr>
        <w:pict>
          <v:rect id="_x0000_s1033" style="position:absolute;left:0;text-align:left;margin-left:464.5pt;margin-top:8.05pt;width:75.05pt;height:13.5pt;z-index:251659776" o:allowincell="f" filled="f" stroked="f" strokecolor="lime" strokeweight=".25pt">
            <v:textbox inset="0,0,0,0">
              <w:txbxContent>
                <w:p w:rsidR="00F22B79" w:rsidRDefault="00F22B79">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sidRPr="0073650D">
        <w:rPr>
          <w:rFonts w:cs="David"/>
          <w:sz w:val="22"/>
          <w:szCs w:val="22"/>
          <w:rtl/>
        </w:rPr>
        <w:t>ט</w:t>
      </w:r>
      <w:r w:rsidRPr="0073650D">
        <w:rPr>
          <w:rFonts w:cs="David" w:hint="cs"/>
          <w:sz w:val="22"/>
          <w:szCs w:val="22"/>
          <w:rtl/>
        </w:rPr>
        <w:t>ופס 1</w:t>
      </w:r>
    </w:p>
    <w:p w:rsidR="0073650D" w:rsidRDefault="0073650D" w:rsidP="0073650D">
      <w:pPr>
        <w:pStyle w:val="P00"/>
        <w:spacing w:before="72"/>
        <w:ind w:left="0" w:right="1134"/>
        <w:rPr>
          <w:rtl/>
        </w:rPr>
      </w:pPr>
      <w:r w:rsidRPr="00AF1AF9">
        <w:rPr>
          <w:rFonts w:cs="David"/>
          <w:sz w:val="22"/>
          <w:szCs w:val="22"/>
        </w:rPr>
        <w:pict>
          <v:rect id="_x0000_s1034" style="position:absolute;left:0;text-align:left;margin-left:464.5pt;margin-top:8.05pt;width:75.05pt;height:13.5pt;z-index:251660800" o:allowincell="f" filled="f" stroked="f" strokecolor="lime" strokeweight=".25pt">
            <v:textbox inset="0,0,0,0">
              <w:txbxContent>
                <w:p w:rsidR="0073650D" w:rsidRPr="00AF053C" w:rsidRDefault="0073650D" w:rsidP="0073650D">
                  <w:pPr>
                    <w:rPr>
                      <w:szCs w:val="22"/>
                      <w:rtl/>
                    </w:rPr>
                  </w:pPr>
                </w:p>
              </w:txbxContent>
            </v:textbox>
            <w10:anchorlock/>
          </v:rect>
        </w:pict>
      </w:r>
      <w:r>
        <w:rPr>
          <w:rFonts w:cs="David"/>
          <w:sz w:val="22"/>
          <w:szCs w:val="22"/>
        </w:rPr>
        <w:t xml:space="preserve"> </w:t>
      </w:r>
      <w:r>
        <w:rPr>
          <w:rtl/>
        </w:rPr>
        <w:t>(</w:t>
      </w:r>
      <w:r>
        <w:rPr>
          <w:rFonts w:hint="cs"/>
          <w:rtl/>
        </w:rPr>
        <w:t>תקנה 2)</w:t>
      </w:r>
    </w:p>
    <w:p w:rsidR="0073650D" w:rsidRPr="00AF1AF9" w:rsidRDefault="0073650D" w:rsidP="0073650D">
      <w:pPr>
        <w:pStyle w:val="P00"/>
        <w:spacing w:before="72"/>
        <w:ind w:left="0" w:right="1134"/>
        <w:jc w:val="left"/>
        <w:rPr>
          <w:sz w:val="24"/>
          <w:szCs w:val="24"/>
        </w:rPr>
      </w:pPr>
      <w:r w:rsidRPr="00AF1AF9">
        <w:rPr>
          <w:rFonts w:hint="cs"/>
          <w:sz w:val="24"/>
          <w:szCs w:val="24"/>
          <w:rtl/>
        </w:rPr>
        <w:t xml:space="preserve"> [</w:t>
      </w:r>
      <w:hyperlink r:id="rId6" w:history="1">
        <w:r w:rsidRPr="00D05076">
          <w:rPr>
            <w:rStyle w:val="Hyperlink"/>
            <w:rFonts w:hint="cs"/>
            <w:sz w:val="24"/>
            <w:szCs w:val="24"/>
            <w:rtl/>
          </w:rPr>
          <w:t>בקשה/ערר על אי-רישום העורר בנספח לפי סעיף 17 לחוק הרשויות המקומיות (בחירות)</w:t>
        </w:r>
      </w:hyperlink>
      <w:r w:rsidRPr="00AF1AF9">
        <w:rPr>
          <w:rFonts w:hint="cs"/>
          <w:sz w:val="24"/>
          <w:szCs w:val="24"/>
          <w:rtl/>
        </w:rPr>
        <w:t>]</w:t>
      </w:r>
    </w:p>
    <w:p w:rsidR="0073650D" w:rsidRDefault="0073650D" w:rsidP="0073650D">
      <w:pPr>
        <w:pStyle w:val="P00"/>
        <w:spacing w:before="72"/>
        <w:ind w:left="0" w:right="1134"/>
        <w:jc w:val="left"/>
        <w:rPr>
          <w:rFonts w:hint="cs"/>
          <w:rtl/>
        </w:rPr>
      </w:pPr>
    </w:p>
    <w:p w:rsidR="0073650D" w:rsidRPr="00AF1AF9" w:rsidRDefault="0073650D" w:rsidP="0073650D">
      <w:pPr>
        <w:pStyle w:val="P00"/>
        <w:spacing w:before="72"/>
        <w:ind w:left="0" w:right="1134"/>
        <w:rPr>
          <w:rFonts w:cs="David" w:hint="cs"/>
          <w:sz w:val="22"/>
          <w:szCs w:val="22"/>
          <w:rtl/>
        </w:rPr>
      </w:pPr>
      <w:r w:rsidRPr="00AF1AF9">
        <w:rPr>
          <w:rFonts w:cs="David"/>
          <w:sz w:val="22"/>
          <w:szCs w:val="22"/>
        </w:rPr>
        <w:pict>
          <v:rect id="_x0000_s1035" style="position:absolute;left:0;text-align:left;margin-left:464.5pt;margin-top:8.05pt;width:75.05pt;height:13.5pt;z-index:251661824" o:allowincell="f" filled="f" stroked="f" strokecolor="lime" strokeweight=".25pt">
            <v:textbox inset="0,0,0,0">
              <w:txbxContent>
                <w:p w:rsidR="0073650D" w:rsidRPr="00AF053C" w:rsidRDefault="0073650D" w:rsidP="0073650D">
                  <w:pPr>
                    <w:rPr>
                      <w:szCs w:val="22"/>
                      <w:rtl/>
                    </w:rPr>
                  </w:pPr>
                </w:p>
              </w:txbxContent>
            </v:textbox>
            <w10:anchorlock/>
          </v:rect>
        </w:pict>
      </w:r>
      <w:r w:rsidRPr="00AF1AF9">
        <w:rPr>
          <w:rFonts w:cs="David"/>
          <w:sz w:val="22"/>
          <w:szCs w:val="22"/>
          <w:rtl/>
        </w:rPr>
        <w:t>ט</w:t>
      </w:r>
      <w:r w:rsidRPr="00AF1AF9">
        <w:rPr>
          <w:rFonts w:cs="David" w:hint="cs"/>
          <w:sz w:val="22"/>
          <w:szCs w:val="22"/>
          <w:rtl/>
        </w:rPr>
        <w:t xml:space="preserve">ופס </w:t>
      </w:r>
      <w:r>
        <w:rPr>
          <w:rFonts w:cs="David" w:hint="cs"/>
          <w:sz w:val="22"/>
          <w:szCs w:val="22"/>
          <w:rtl/>
        </w:rPr>
        <w:t>2</w:t>
      </w:r>
    </w:p>
    <w:p w:rsidR="0073650D" w:rsidRDefault="0073650D" w:rsidP="0073650D">
      <w:pPr>
        <w:pStyle w:val="medium-header"/>
        <w:keepNext w:val="0"/>
        <w:keepLines w:val="0"/>
        <w:ind w:left="0" w:right="1134"/>
        <w:jc w:val="left"/>
        <w:rPr>
          <w:sz w:val="24"/>
          <w:szCs w:val="24"/>
          <w:rtl/>
        </w:rPr>
      </w:pPr>
      <w:r>
        <w:rPr>
          <w:sz w:val="24"/>
          <w:szCs w:val="24"/>
          <w:rtl/>
        </w:rPr>
        <w:t>(</w:t>
      </w:r>
      <w:r>
        <w:rPr>
          <w:rFonts w:hint="cs"/>
          <w:sz w:val="24"/>
          <w:szCs w:val="24"/>
          <w:rtl/>
        </w:rPr>
        <w:t>תקנה 2)</w:t>
      </w:r>
    </w:p>
    <w:p w:rsidR="0073650D" w:rsidRPr="00AF1AF9" w:rsidRDefault="0073650D" w:rsidP="0073650D">
      <w:pPr>
        <w:pStyle w:val="P00"/>
        <w:spacing w:before="72"/>
        <w:ind w:left="0" w:right="1134"/>
        <w:jc w:val="left"/>
        <w:rPr>
          <w:sz w:val="24"/>
          <w:szCs w:val="24"/>
        </w:rPr>
      </w:pPr>
      <w:r w:rsidRPr="00AF1AF9">
        <w:rPr>
          <w:rFonts w:hint="cs"/>
          <w:sz w:val="24"/>
          <w:szCs w:val="24"/>
          <w:rtl/>
        </w:rPr>
        <w:t xml:space="preserve"> [</w:t>
      </w:r>
      <w:hyperlink r:id="rId7" w:history="1">
        <w:r w:rsidRPr="00D05076">
          <w:rPr>
            <w:rStyle w:val="Hyperlink"/>
            <w:rFonts w:hint="cs"/>
            <w:sz w:val="24"/>
            <w:szCs w:val="24"/>
            <w:rtl/>
          </w:rPr>
          <w:t>ערר על רישום עורר בנספח לפי סעיף 17 לחוק הרשויות המקומיות (בחירות)</w:t>
        </w:r>
      </w:hyperlink>
      <w:r w:rsidRPr="00AF1AF9">
        <w:rPr>
          <w:rFonts w:hint="cs"/>
          <w:sz w:val="24"/>
          <w:szCs w:val="24"/>
          <w:rtl/>
        </w:rPr>
        <w:t>]</w:t>
      </w:r>
    </w:p>
    <w:p w:rsidR="00F22B79" w:rsidRPr="0073650D" w:rsidRDefault="00F22B79">
      <w:pPr>
        <w:pStyle w:val="P00"/>
        <w:spacing w:before="72"/>
        <w:ind w:left="0" w:right="1134"/>
        <w:rPr>
          <w:rStyle w:val="default"/>
          <w:rFonts w:cs="FrankRuehl" w:hint="cs"/>
          <w:rtl/>
        </w:rPr>
      </w:pPr>
    </w:p>
    <w:p w:rsidR="0073650D" w:rsidRPr="00AF1AF9" w:rsidRDefault="0073650D" w:rsidP="0073650D">
      <w:pPr>
        <w:pStyle w:val="P00"/>
        <w:spacing w:before="72"/>
        <w:ind w:left="0" w:right="1134"/>
        <w:rPr>
          <w:rFonts w:cs="David" w:hint="cs"/>
          <w:sz w:val="22"/>
          <w:szCs w:val="22"/>
          <w:rtl/>
        </w:rPr>
      </w:pPr>
      <w:r w:rsidRPr="00AF1AF9">
        <w:rPr>
          <w:rFonts w:cs="David"/>
          <w:sz w:val="22"/>
          <w:szCs w:val="22"/>
        </w:rPr>
        <w:pict>
          <v:rect id="_x0000_s1036" style="position:absolute;left:0;text-align:left;margin-left:464.5pt;margin-top:8.05pt;width:75.05pt;height:13.5pt;z-index:251662848" o:allowincell="f" filled="f" stroked="f" strokecolor="lime" strokeweight=".25pt">
            <v:textbox inset="0,0,0,0">
              <w:txbxContent>
                <w:p w:rsidR="0073650D" w:rsidRPr="00AF053C" w:rsidRDefault="0073650D" w:rsidP="0073650D">
                  <w:pPr>
                    <w:rPr>
                      <w:szCs w:val="22"/>
                      <w:rtl/>
                    </w:rPr>
                  </w:pPr>
                </w:p>
              </w:txbxContent>
            </v:textbox>
            <w10:anchorlock/>
          </v:rect>
        </w:pict>
      </w:r>
      <w:r w:rsidRPr="00AF1AF9">
        <w:rPr>
          <w:rFonts w:cs="David"/>
          <w:sz w:val="22"/>
          <w:szCs w:val="22"/>
          <w:rtl/>
        </w:rPr>
        <w:t>ט</w:t>
      </w:r>
      <w:r w:rsidRPr="00AF1AF9">
        <w:rPr>
          <w:rFonts w:cs="David" w:hint="cs"/>
          <w:sz w:val="22"/>
          <w:szCs w:val="22"/>
          <w:rtl/>
        </w:rPr>
        <w:t xml:space="preserve">ופס </w:t>
      </w:r>
      <w:r>
        <w:rPr>
          <w:rFonts w:cs="David" w:hint="cs"/>
          <w:sz w:val="22"/>
          <w:szCs w:val="22"/>
          <w:rtl/>
        </w:rPr>
        <w:t>3</w:t>
      </w:r>
    </w:p>
    <w:p w:rsidR="0073650D" w:rsidRDefault="0073650D" w:rsidP="0073650D">
      <w:pPr>
        <w:pStyle w:val="medium-header"/>
        <w:keepNext w:val="0"/>
        <w:keepLines w:val="0"/>
        <w:ind w:left="0" w:right="1134"/>
        <w:jc w:val="left"/>
        <w:rPr>
          <w:sz w:val="24"/>
          <w:szCs w:val="24"/>
          <w:rtl/>
        </w:rPr>
      </w:pPr>
      <w:r>
        <w:rPr>
          <w:sz w:val="24"/>
          <w:szCs w:val="24"/>
          <w:rtl/>
        </w:rPr>
        <w:t>(</w:t>
      </w:r>
      <w:r>
        <w:rPr>
          <w:rFonts w:hint="cs"/>
          <w:sz w:val="24"/>
          <w:szCs w:val="24"/>
          <w:rtl/>
        </w:rPr>
        <w:t>תקנה 2)</w:t>
      </w:r>
    </w:p>
    <w:p w:rsidR="0073650D" w:rsidRPr="00AF1AF9" w:rsidRDefault="0073650D" w:rsidP="0073650D">
      <w:pPr>
        <w:pStyle w:val="P00"/>
        <w:spacing w:before="72"/>
        <w:ind w:left="0" w:right="1134"/>
        <w:jc w:val="left"/>
        <w:rPr>
          <w:sz w:val="24"/>
          <w:szCs w:val="24"/>
        </w:rPr>
      </w:pPr>
      <w:r w:rsidRPr="00AF1AF9">
        <w:rPr>
          <w:rFonts w:hint="cs"/>
          <w:sz w:val="24"/>
          <w:szCs w:val="24"/>
          <w:rtl/>
        </w:rPr>
        <w:t xml:space="preserve"> [</w:t>
      </w:r>
      <w:hyperlink r:id="rId8" w:history="1">
        <w:r w:rsidRPr="00D05076">
          <w:rPr>
            <w:rStyle w:val="Hyperlink"/>
            <w:rFonts w:hint="cs"/>
            <w:sz w:val="24"/>
            <w:szCs w:val="24"/>
            <w:rtl/>
          </w:rPr>
          <w:t>ערר על רישום הזולת לפי סעיף 17 לחוק הרשויות המקומיות (בחירות)</w:t>
        </w:r>
      </w:hyperlink>
      <w:r w:rsidRPr="00AF1AF9">
        <w:rPr>
          <w:rFonts w:hint="cs"/>
          <w:sz w:val="24"/>
          <w:szCs w:val="24"/>
          <w:rtl/>
        </w:rPr>
        <w:t>]</w:t>
      </w:r>
    </w:p>
    <w:p w:rsidR="00F22B79" w:rsidRPr="0073650D" w:rsidRDefault="00F22B79">
      <w:pPr>
        <w:pStyle w:val="P00"/>
        <w:spacing w:before="72"/>
        <w:ind w:left="0" w:right="1134"/>
        <w:rPr>
          <w:rStyle w:val="default"/>
          <w:rFonts w:cs="FrankRuehl" w:hint="cs"/>
          <w:rtl/>
        </w:rPr>
      </w:pPr>
    </w:p>
    <w:p w:rsidR="00F22B79" w:rsidRDefault="00F22B79">
      <w:pPr>
        <w:pStyle w:val="P00"/>
        <w:spacing w:before="72"/>
        <w:ind w:left="0" w:right="1134"/>
        <w:rPr>
          <w:rStyle w:val="default"/>
          <w:rFonts w:cs="FrankRuehl"/>
          <w:rtl/>
        </w:rPr>
      </w:pPr>
    </w:p>
    <w:p w:rsidR="00F22B79" w:rsidRDefault="00F22B79">
      <w:pPr>
        <w:pStyle w:val="sig-0"/>
        <w:ind w:left="0" w:right="1134"/>
        <w:rPr>
          <w:rtl/>
        </w:rPr>
      </w:pPr>
      <w:r>
        <w:rPr>
          <w:rtl/>
        </w:rPr>
        <w:t>י</w:t>
      </w:r>
      <w:r>
        <w:rPr>
          <w:rFonts w:hint="cs"/>
          <w:rtl/>
        </w:rPr>
        <w:t>"ב באייר תשכ"ט (30 באפריל 1969)</w:t>
      </w:r>
      <w:r>
        <w:rPr>
          <w:rtl/>
        </w:rPr>
        <w:tab/>
      </w:r>
      <w:r>
        <w:rPr>
          <w:rFonts w:hint="cs"/>
          <w:rtl/>
        </w:rPr>
        <w:t>חיים משה שפירא</w:t>
      </w:r>
    </w:p>
    <w:p w:rsidR="00F22B79" w:rsidRDefault="00F22B79">
      <w:pPr>
        <w:pStyle w:val="sig-1"/>
        <w:widowControl/>
        <w:ind w:left="0" w:right="1134"/>
        <w:rPr>
          <w:rFonts w:hint="cs"/>
          <w:rtl/>
        </w:rPr>
      </w:pPr>
      <w:r>
        <w:rPr>
          <w:rtl/>
        </w:rPr>
        <w:tab/>
      </w:r>
      <w:r>
        <w:rPr>
          <w:rtl/>
        </w:rPr>
        <w:tab/>
      </w:r>
      <w:r>
        <w:rPr>
          <w:rtl/>
        </w:rPr>
        <w:tab/>
      </w:r>
      <w:r>
        <w:rPr>
          <w:rFonts w:hint="cs"/>
          <w:rtl/>
        </w:rPr>
        <w:t>שר הפנים</w:t>
      </w:r>
    </w:p>
    <w:p w:rsidR="00F22B79" w:rsidRDefault="00F22B79">
      <w:pPr>
        <w:pStyle w:val="P00"/>
        <w:spacing w:before="72"/>
        <w:ind w:left="0" w:right="1134"/>
        <w:rPr>
          <w:rStyle w:val="default"/>
          <w:rFonts w:cs="FrankRuehl" w:hint="cs"/>
          <w:rtl/>
        </w:rPr>
      </w:pPr>
    </w:p>
    <w:p w:rsidR="00F22B79" w:rsidRDefault="00F22B79">
      <w:pPr>
        <w:pStyle w:val="P00"/>
        <w:spacing w:before="72"/>
        <w:ind w:left="0" w:right="1134"/>
        <w:rPr>
          <w:rStyle w:val="default"/>
          <w:rFonts w:cs="FrankRuehl"/>
          <w:rtl/>
        </w:rPr>
      </w:pPr>
    </w:p>
    <w:p w:rsidR="00F22B79" w:rsidRDefault="00F22B79">
      <w:pPr>
        <w:pStyle w:val="P00"/>
        <w:spacing w:before="72"/>
        <w:ind w:left="0" w:right="1134"/>
        <w:rPr>
          <w:rStyle w:val="default"/>
          <w:rFonts w:cs="FrankRuehl"/>
          <w:rtl/>
        </w:rPr>
      </w:pPr>
      <w:bookmarkStart w:id="8" w:name="LawPartEnd"/>
    </w:p>
    <w:bookmarkEnd w:id="8"/>
    <w:p w:rsidR="00F22B79" w:rsidRDefault="00F22B79">
      <w:pPr>
        <w:pStyle w:val="P00"/>
        <w:spacing w:before="72"/>
        <w:ind w:left="0" w:right="1134"/>
        <w:rPr>
          <w:rStyle w:val="default"/>
          <w:rFonts w:cs="FrankRuehl"/>
          <w:rtl/>
        </w:rPr>
      </w:pPr>
    </w:p>
    <w:sectPr w:rsidR="00F22B79">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14B0" w:rsidRDefault="00F514B0">
      <w:r>
        <w:separator/>
      </w:r>
    </w:p>
  </w:endnote>
  <w:endnote w:type="continuationSeparator" w:id="0">
    <w:p w:rsidR="00F514B0" w:rsidRDefault="00F51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B79" w:rsidRDefault="00F22B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22B79" w:rsidRDefault="00F22B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22B79" w:rsidRDefault="00F22B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B79" w:rsidRDefault="00F22B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5076">
      <w:rPr>
        <w:rFonts w:hAnsi="FrankRuehl" w:cs="FrankRuehl"/>
        <w:noProof/>
        <w:sz w:val="24"/>
        <w:szCs w:val="24"/>
        <w:rtl/>
      </w:rPr>
      <w:t>3</w:t>
    </w:r>
    <w:r>
      <w:rPr>
        <w:rFonts w:hAnsi="FrankRuehl" w:cs="FrankRuehl"/>
        <w:sz w:val="24"/>
        <w:szCs w:val="24"/>
        <w:rtl/>
      </w:rPr>
      <w:fldChar w:fldCharType="end"/>
    </w:r>
  </w:p>
  <w:p w:rsidR="00F22B79" w:rsidRDefault="00F22B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22B79" w:rsidRDefault="00F22B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14B0" w:rsidRDefault="00F514B0">
      <w:pPr>
        <w:spacing w:before="60" w:line="240" w:lineRule="auto"/>
        <w:ind w:right="1134"/>
      </w:pPr>
      <w:r>
        <w:separator/>
      </w:r>
    </w:p>
  </w:footnote>
  <w:footnote w:type="continuationSeparator" w:id="0">
    <w:p w:rsidR="00F514B0" w:rsidRDefault="00F514B0">
      <w:r>
        <w:continuationSeparator/>
      </w:r>
    </w:p>
  </w:footnote>
  <w:footnote w:id="1">
    <w:p w:rsidR="00F22B79" w:rsidRDefault="00F22B7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תשכ"ט מס' 2389</w:t>
        </w:r>
      </w:hyperlink>
      <w:r>
        <w:rPr>
          <w:rFonts w:hint="cs"/>
          <w:sz w:val="20"/>
          <w:rtl/>
        </w:rPr>
        <w:t xml:space="preserve"> מיום 15.5.1969 עמ' 1464.</w:t>
      </w:r>
    </w:p>
    <w:p w:rsidR="00F22B79" w:rsidRDefault="00F22B7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תשמ"ב מס' 4379</w:t>
        </w:r>
      </w:hyperlink>
      <w:r>
        <w:rPr>
          <w:rFonts w:hint="cs"/>
          <w:sz w:val="20"/>
          <w:rtl/>
        </w:rPr>
        <w:t xml:space="preserve"> מיום 9.7.1982 עמ' 1295 </w:t>
      </w:r>
      <w:r>
        <w:rPr>
          <w:sz w:val="20"/>
          <w:rtl/>
        </w:rPr>
        <w:t>–</w:t>
      </w:r>
      <w:r>
        <w:rPr>
          <w:rFonts w:hint="cs"/>
          <w:sz w:val="20"/>
          <w:rtl/>
        </w:rPr>
        <w:t xml:space="preserve"> תק' תשמ"ב-1982.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B79" w:rsidRDefault="00F22B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(בחירות), (סדרי הגשת בקשות ועררים לנספח), תשכ"ט–1969</w:t>
    </w:r>
  </w:p>
  <w:p w:rsidR="00F22B79" w:rsidRDefault="00F22B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2B79" w:rsidRDefault="00F22B7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B79" w:rsidRDefault="00F22B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(בחירות) (סדרי הגשת בקשות ועררים לנספח), תשכ"ט</w:t>
    </w:r>
    <w:r>
      <w:rPr>
        <w:rFonts w:hAnsi="FrankRuehl" w:cs="FrankRuehl" w:hint="cs"/>
        <w:color w:val="000000"/>
        <w:sz w:val="28"/>
        <w:szCs w:val="28"/>
        <w:rtl/>
      </w:rPr>
      <w:t>-</w:t>
    </w:r>
    <w:r>
      <w:rPr>
        <w:rFonts w:hAnsi="FrankRuehl" w:cs="FrankRuehl"/>
        <w:color w:val="000000"/>
        <w:sz w:val="28"/>
        <w:szCs w:val="28"/>
        <w:rtl/>
      </w:rPr>
      <w:t>1969</w:t>
    </w:r>
  </w:p>
  <w:p w:rsidR="00F22B79" w:rsidRDefault="00F22B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2B79" w:rsidRDefault="00F22B7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337F"/>
    <w:rsid w:val="00184031"/>
    <w:rsid w:val="002125E4"/>
    <w:rsid w:val="0044337F"/>
    <w:rsid w:val="0073650D"/>
    <w:rsid w:val="009D1AD7"/>
    <w:rsid w:val="00BB2C9D"/>
    <w:rsid w:val="00D05076"/>
    <w:rsid w:val="00F22B79"/>
    <w:rsid w:val="00F514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2C336E3-120C-41D7-B23F-39B0DC1C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TFASIM/&#1496;&#1508;&#1505;&#1497;&#1501;%20&#1502;&#1513;&#1508;&#1496;&#1497;&#1497;&#1501;/&#1513;&#1493;&#1504;&#1493;&#1514;/&#1489;&#1495;&#1497;&#1512;&#1493;&#1514;/&#1512;&#1513;&#1493;&#1497;&#1493;&#1514;%20&#1502;&#1511;&#1493;&#1502;&#1497;&#1493;&#1514;/&#1506;&#1512;&#1512;%20&#1506;&#1500;%20&#1512;&#1497;&#1513;&#1493;&#1501;%20&#1492;&#1494;&#1493;&#1500;&#1514;%20&#1500;&#1508;&#1497;%20&#1505;&#1506;&#1497;&#1507;%2017%20&#1500;&#1495;&#1493;&#1511;%20&#1492;&#1512;&#1513;&#1493;&#1497;&#1493;&#1514;%20&#1492;&#1502;&#1511;&#1493;&#1502;&#1497;&#1493;&#1514;%20(&#1489;&#1495;&#1497;&#1512;&#1493;&#1514;).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TFASIM/&#1496;&#1508;&#1505;&#1497;&#1501;%20&#1502;&#1513;&#1508;&#1496;&#1497;&#1497;&#1501;/&#1513;&#1493;&#1504;&#1493;&#1514;/&#1489;&#1495;&#1497;&#1512;&#1493;&#1514;/&#1512;&#1513;&#1493;&#1497;&#1493;&#1514;%20&#1502;&#1511;&#1493;&#1502;&#1497;&#1493;&#1514;/&#1506;&#1512;&#1512;%20&#1506;&#1500;%20&#1512;&#1497;&#1513;&#1493;&#1501;%20&#1506;&#1493;&#1512;&#1512;%20&#1489;&#1504;&#1505;&#1508;&#1495;%20&#1500;&#1508;&#1497;%20&#1505;&#1506;&#1497;&#1507;%2017%20&#1500;&#1495;&#1493;&#1511;%20&#1492;&#1512;&#1513;&#1493;&#1497;&#1493;&#1514;%20&#1492;&#1502;&#1511;&#1493;&#1502;&#1497;&#1493;&#1514;%20(&#1489;&#1495;&#1497;&#1512;&#1493;&#1514;).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TFASIM/&#1496;&#1508;&#1505;&#1497;&#1501;%20&#1502;&#1513;&#1508;&#1496;&#1497;&#1497;&#1501;/&#1513;&#1493;&#1504;&#1493;&#1514;/&#1489;&#1495;&#1497;&#1512;&#1493;&#1514;/&#1512;&#1513;&#1493;&#1497;&#1493;&#1514;%20&#1502;&#1511;&#1493;&#1502;&#1497;&#1493;&#1514;/&#1489;&#1511;&#1513;&#1492;-&#1506;&#1512;&#1512;%20&#1506;&#1500;%20&#1488;&#1497;-&#1512;&#1497;&#1513;&#1493;&#1501;%20&#1492;&#1506;&#1493;&#1512;&#1512;%20&#1489;&#1504;&#1505;&#1508;&#1495;%20&#1500;&#1508;&#1497;%20&#1505;&#1506;&#1497;&#1507;%2017%20&#1500;&#1495;&#1493;&#1511;%20&#1492;&#1512;&#1513;&#1493;&#1497;&#1493;&#1514;%20&#1492;&#1502;&#1511;&#1493;&#1502;&#1497;&#1493;&#1514;%20(&#1489;&#1495;&#1497;&#1512;&#1493;&#1514;).DOC"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379.pdf" TargetMode="External"/><Relationship Id="rId1" Type="http://schemas.openxmlformats.org/officeDocument/2006/relationships/hyperlink" Target="http://www.nevo.co.il/Law_word/law06/TAK-23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3277</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פרק 213</vt:lpstr>
    </vt:vector>
  </TitlesOfParts>
  <Company/>
  <LinksUpToDate>false</LinksUpToDate>
  <CharactersWithSpaces>3844</CharactersWithSpaces>
  <SharedDoc>false</SharedDoc>
  <HLinks>
    <vt:vector size="78" baseType="variant">
      <vt:variant>
        <vt:i4>95027311</vt:i4>
      </vt:variant>
      <vt:variant>
        <vt:i4>54</vt:i4>
      </vt:variant>
      <vt:variant>
        <vt:i4>0</vt:i4>
      </vt:variant>
      <vt:variant>
        <vt:i4>5</vt:i4>
      </vt:variant>
      <vt:variant>
        <vt:lpwstr>http://www.nevo.co.il/TFASIM/טפסים משפטיים/שונות/בחירות/רשויות מקומיות/ערר על רישום הזולת לפי סעיף 17 לחוק הרשויות המקומיות (בחירות).DOC</vt:lpwstr>
      </vt:variant>
      <vt:variant>
        <vt:lpwstr/>
      </vt:variant>
      <vt:variant>
        <vt:i4>1312167</vt:i4>
      </vt:variant>
      <vt:variant>
        <vt:i4>51</vt:i4>
      </vt:variant>
      <vt:variant>
        <vt:i4>0</vt:i4>
      </vt:variant>
      <vt:variant>
        <vt:i4>5</vt:i4>
      </vt:variant>
      <vt:variant>
        <vt:lpwstr>http://www.nevo.co.il/TFASIM/טפסים משפטיים/שונות/בחירות/רשויות מקומיות/ערר על רישום עורר בנספח לפי סעיף 17 לחוק הרשויות המקומיות (בחירות).DOC</vt:lpwstr>
      </vt:variant>
      <vt:variant>
        <vt:lpwstr/>
      </vt:variant>
      <vt:variant>
        <vt:i4>96077244</vt:i4>
      </vt:variant>
      <vt:variant>
        <vt:i4>48</vt:i4>
      </vt:variant>
      <vt:variant>
        <vt:i4>0</vt:i4>
      </vt:variant>
      <vt:variant>
        <vt:i4>5</vt:i4>
      </vt:variant>
      <vt:variant>
        <vt:lpwstr>http://www.nevo.co.il/TFASIM/טפסים משפטיים/שונות/בחירות/רשויות מקומיות/בקשה-ערר על אי-רישום העורר בנספח לפי סעיף 17 לחוק הרשויות המקומיות (בחירות).DOC</vt:lpwstr>
      </vt:variant>
      <vt:variant>
        <vt:lpwstr/>
      </vt:variant>
      <vt:variant>
        <vt:i4>5570569</vt:i4>
      </vt:variant>
      <vt:variant>
        <vt:i4>45</vt:i4>
      </vt:variant>
      <vt:variant>
        <vt:i4>0</vt:i4>
      </vt:variant>
      <vt:variant>
        <vt:i4>5</vt:i4>
      </vt:variant>
      <vt:variant>
        <vt:lpwstr/>
      </vt:variant>
      <vt:variant>
        <vt:lpwstr>med0</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7995394</vt:i4>
      </vt:variant>
      <vt:variant>
        <vt:i4>3</vt:i4>
      </vt:variant>
      <vt:variant>
        <vt:i4>0</vt:i4>
      </vt:variant>
      <vt:variant>
        <vt:i4>5</vt:i4>
      </vt:variant>
      <vt:variant>
        <vt:lpwstr>http://www.nevo.co.il/Law_word/law06/TAK-4379.pdf</vt:lpwstr>
      </vt:variant>
      <vt:variant>
        <vt:lpwstr/>
      </vt:variant>
      <vt:variant>
        <vt:i4>7536642</vt:i4>
      </vt:variant>
      <vt:variant>
        <vt:i4>0</vt:i4>
      </vt:variant>
      <vt:variant>
        <vt:i4>0</vt:i4>
      </vt:variant>
      <vt:variant>
        <vt:i4>5</vt:i4>
      </vt:variant>
      <vt:variant>
        <vt:lpwstr>http://www.nevo.co.il/Law_word/law06/TAK-2389.pdf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eli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תקנות הרשויות המקומיות (בחירות) (סדרי הגשת בקשות ועררים לנספח), תשכ"ט-1969</vt:lpwstr>
  </property>
  <property fmtid="{D5CDD505-2E9C-101B-9397-08002B2CF9AE}" pid="5" name="LAWNUMBER">
    <vt:lpwstr>0047</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ברשויות</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רשויות מקומיות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הרשויות המקומיות (בחירות)</vt:lpwstr>
  </property>
  <property fmtid="{D5CDD505-2E9C-101B-9397-08002B2CF9AE}" pid="48" name="MEKOR_SAIF1">
    <vt:lpwstr>17XבX;100X</vt:lpwstr>
  </property>
</Properties>
</file>