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1638" w14:textId="77777777" w:rsidR="00540E88" w:rsidRDefault="00540E88">
      <w:pPr>
        <w:pStyle w:val="big-header"/>
        <w:ind w:left="0" w:right="1134"/>
      </w:pPr>
      <w:r>
        <w:rPr>
          <w:rtl/>
        </w:rPr>
        <w:t>תקנות הרשויות המקומיות (הסדרת השמירה) (סדרי הדין בפני ועדת ערר), תשכ"ב</w:t>
      </w:r>
      <w:r>
        <w:rPr>
          <w:rFonts w:hint="cs"/>
          <w:rtl/>
        </w:rPr>
        <w:t>-</w:t>
      </w:r>
      <w:r>
        <w:rPr>
          <w:rtl/>
        </w:rPr>
        <w:t>1962</w:t>
      </w:r>
    </w:p>
    <w:p w14:paraId="281C313F" w14:textId="77777777" w:rsidR="00BB04FB" w:rsidRPr="00BB04FB" w:rsidRDefault="00BB04FB" w:rsidP="00BB04FB">
      <w:pPr>
        <w:spacing w:line="320" w:lineRule="auto"/>
        <w:jc w:val="left"/>
        <w:rPr>
          <w:rFonts w:cs="FrankRuehl"/>
          <w:szCs w:val="26"/>
          <w:rtl/>
        </w:rPr>
      </w:pPr>
    </w:p>
    <w:p w14:paraId="5C99FBA0" w14:textId="77777777" w:rsidR="00BB04FB" w:rsidRDefault="00BB04FB" w:rsidP="00BB04FB">
      <w:pPr>
        <w:spacing w:line="320" w:lineRule="auto"/>
        <w:jc w:val="left"/>
        <w:rPr>
          <w:rtl/>
        </w:rPr>
      </w:pPr>
    </w:p>
    <w:p w14:paraId="1A571CBE" w14:textId="77777777" w:rsidR="00BB04FB" w:rsidRPr="00BB04FB" w:rsidRDefault="00BB04FB" w:rsidP="00BB04FB">
      <w:pPr>
        <w:spacing w:line="320" w:lineRule="auto"/>
        <w:jc w:val="left"/>
        <w:rPr>
          <w:rFonts w:cs="Miriam"/>
          <w:szCs w:val="22"/>
          <w:rtl/>
        </w:rPr>
      </w:pPr>
      <w:r w:rsidRPr="00BB04FB">
        <w:rPr>
          <w:rFonts w:cs="Miriam"/>
          <w:szCs w:val="22"/>
          <w:rtl/>
        </w:rPr>
        <w:t>רשויות ומשפט מנהלי</w:t>
      </w:r>
      <w:r w:rsidRPr="00BB04FB">
        <w:rPr>
          <w:rFonts w:cs="FrankRuehl"/>
          <w:szCs w:val="26"/>
          <w:rtl/>
        </w:rPr>
        <w:t xml:space="preserve"> – רשויות מקומיות – הסדרת השמירה – ועדת ערר</w:t>
      </w:r>
    </w:p>
    <w:p w14:paraId="1AF662EB" w14:textId="77777777" w:rsidR="00540E88" w:rsidRDefault="00540E8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40E88" w14:paraId="32F03780" w14:textId="77777777">
        <w:tblPrEx>
          <w:tblCellMar>
            <w:top w:w="0" w:type="dxa"/>
            <w:bottom w:w="0" w:type="dxa"/>
          </w:tblCellMar>
        </w:tblPrEx>
        <w:tc>
          <w:tcPr>
            <w:tcW w:w="850" w:type="dxa"/>
          </w:tcPr>
          <w:p w14:paraId="793D8631"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852082D" w14:textId="77777777" w:rsidR="00540E88" w:rsidRDefault="00540E88">
            <w:pPr>
              <w:spacing w:line="240" w:lineRule="auto"/>
              <w:rPr>
                <w:sz w:val="24"/>
              </w:rPr>
            </w:pPr>
            <w:hyperlink w:anchor="Seif0" w:tooltip="הגדרות" w:history="1">
              <w:r>
                <w:rPr>
                  <w:rStyle w:val="Hyperlink"/>
                </w:rPr>
                <w:t>Go</w:t>
              </w:r>
            </w:hyperlink>
          </w:p>
        </w:tc>
        <w:tc>
          <w:tcPr>
            <w:tcW w:w="5669" w:type="dxa"/>
          </w:tcPr>
          <w:p w14:paraId="0E10824A" w14:textId="77777777" w:rsidR="00540E88" w:rsidRDefault="00540E88">
            <w:pPr>
              <w:spacing w:line="240" w:lineRule="auto"/>
              <w:rPr>
                <w:sz w:val="24"/>
                <w:rtl/>
              </w:rPr>
            </w:pPr>
            <w:r>
              <w:rPr>
                <w:sz w:val="24"/>
                <w:rtl/>
              </w:rPr>
              <w:t>הגדרות</w:t>
            </w:r>
          </w:p>
        </w:tc>
        <w:tc>
          <w:tcPr>
            <w:tcW w:w="1247" w:type="dxa"/>
          </w:tcPr>
          <w:p w14:paraId="2A62FF7D" w14:textId="77777777" w:rsidR="00540E88" w:rsidRDefault="00540E88">
            <w:pPr>
              <w:spacing w:line="240" w:lineRule="auto"/>
              <w:rPr>
                <w:sz w:val="24"/>
              </w:rPr>
            </w:pPr>
            <w:r>
              <w:rPr>
                <w:sz w:val="24"/>
                <w:rtl/>
              </w:rPr>
              <w:t xml:space="preserve">סעיף 1 </w:t>
            </w:r>
          </w:p>
        </w:tc>
      </w:tr>
      <w:tr w:rsidR="00540E88" w14:paraId="16906B31" w14:textId="77777777">
        <w:tblPrEx>
          <w:tblCellMar>
            <w:top w:w="0" w:type="dxa"/>
            <w:bottom w:w="0" w:type="dxa"/>
          </w:tblCellMar>
        </w:tblPrEx>
        <w:tc>
          <w:tcPr>
            <w:tcW w:w="850" w:type="dxa"/>
          </w:tcPr>
          <w:p w14:paraId="448E0237"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6F7D438" w14:textId="77777777" w:rsidR="00540E88" w:rsidRDefault="00540E88">
            <w:pPr>
              <w:spacing w:line="240" w:lineRule="auto"/>
              <w:rPr>
                <w:sz w:val="24"/>
              </w:rPr>
            </w:pPr>
            <w:hyperlink w:anchor="Seif1" w:tooltip="מקום הגשת ערר" w:history="1">
              <w:r>
                <w:rPr>
                  <w:rStyle w:val="Hyperlink"/>
                </w:rPr>
                <w:t>Go</w:t>
              </w:r>
            </w:hyperlink>
          </w:p>
        </w:tc>
        <w:tc>
          <w:tcPr>
            <w:tcW w:w="5669" w:type="dxa"/>
          </w:tcPr>
          <w:p w14:paraId="3C9532D3" w14:textId="77777777" w:rsidR="00540E88" w:rsidRDefault="00540E88">
            <w:pPr>
              <w:spacing w:line="240" w:lineRule="auto"/>
              <w:rPr>
                <w:sz w:val="24"/>
                <w:rtl/>
              </w:rPr>
            </w:pPr>
            <w:r>
              <w:rPr>
                <w:sz w:val="24"/>
                <w:rtl/>
              </w:rPr>
              <w:t>מקום הגשת ערר</w:t>
            </w:r>
          </w:p>
        </w:tc>
        <w:tc>
          <w:tcPr>
            <w:tcW w:w="1247" w:type="dxa"/>
          </w:tcPr>
          <w:p w14:paraId="42CB9142" w14:textId="77777777" w:rsidR="00540E88" w:rsidRDefault="00540E88">
            <w:pPr>
              <w:spacing w:line="240" w:lineRule="auto"/>
              <w:rPr>
                <w:sz w:val="24"/>
              </w:rPr>
            </w:pPr>
            <w:r>
              <w:rPr>
                <w:sz w:val="24"/>
                <w:rtl/>
              </w:rPr>
              <w:t xml:space="preserve">סעיף 2 </w:t>
            </w:r>
          </w:p>
        </w:tc>
      </w:tr>
      <w:tr w:rsidR="00540E88" w14:paraId="648DA306" w14:textId="77777777">
        <w:tblPrEx>
          <w:tblCellMar>
            <w:top w:w="0" w:type="dxa"/>
            <w:bottom w:w="0" w:type="dxa"/>
          </w:tblCellMar>
        </w:tblPrEx>
        <w:tc>
          <w:tcPr>
            <w:tcW w:w="850" w:type="dxa"/>
          </w:tcPr>
          <w:p w14:paraId="3D6D04F4"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A63C96D" w14:textId="77777777" w:rsidR="00540E88" w:rsidRDefault="00540E88">
            <w:pPr>
              <w:spacing w:line="240" w:lineRule="auto"/>
              <w:rPr>
                <w:sz w:val="24"/>
              </w:rPr>
            </w:pPr>
            <w:hyperlink w:anchor="Seif2" w:tooltip="מועד להגשת ערר" w:history="1">
              <w:r>
                <w:rPr>
                  <w:rStyle w:val="Hyperlink"/>
                </w:rPr>
                <w:t>Go</w:t>
              </w:r>
            </w:hyperlink>
          </w:p>
        </w:tc>
        <w:tc>
          <w:tcPr>
            <w:tcW w:w="5669" w:type="dxa"/>
          </w:tcPr>
          <w:p w14:paraId="01332AB3" w14:textId="77777777" w:rsidR="00540E88" w:rsidRDefault="00540E88">
            <w:pPr>
              <w:spacing w:line="240" w:lineRule="auto"/>
              <w:rPr>
                <w:sz w:val="24"/>
                <w:rtl/>
              </w:rPr>
            </w:pPr>
            <w:r>
              <w:rPr>
                <w:sz w:val="24"/>
                <w:rtl/>
              </w:rPr>
              <w:t>מועד להגשת ערר</w:t>
            </w:r>
          </w:p>
        </w:tc>
        <w:tc>
          <w:tcPr>
            <w:tcW w:w="1247" w:type="dxa"/>
          </w:tcPr>
          <w:p w14:paraId="22F9CF2C" w14:textId="77777777" w:rsidR="00540E88" w:rsidRDefault="00540E88">
            <w:pPr>
              <w:spacing w:line="240" w:lineRule="auto"/>
              <w:rPr>
                <w:sz w:val="24"/>
              </w:rPr>
            </w:pPr>
            <w:r>
              <w:rPr>
                <w:sz w:val="24"/>
                <w:rtl/>
              </w:rPr>
              <w:t xml:space="preserve">סעיף 3 </w:t>
            </w:r>
          </w:p>
        </w:tc>
      </w:tr>
      <w:tr w:rsidR="00540E88" w14:paraId="022735A2" w14:textId="77777777">
        <w:tblPrEx>
          <w:tblCellMar>
            <w:top w:w="0" w:type="dxa"/>
            <w:bottom w:w="0" w:type="dxa"/>
          </w:tblCellMar>
        </w:tblPrEx>
        <w:tc>
          <w:tcPr>
            <w:tcW w:w="850" w:type="dxa"/>
          </w:tcPr>
          <w:p w14:paraId="28B412EE"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F470C47" w14:textId="77777777" w:rsidR="00540E88" w:rsidRDefault="00540E88">
            <w:pPr>
              <w:spacing w:line="240" w:lineRule="auto"/>
              <w:rPr>
                <w:sz w:val="24"/>
              </w:rPr>
            </w:pPr>
            <w:hyperlink w:anchor="Seif3" w:tooltip="חתימת הערר" w:history="1">
              <w:r>
                <w:rPr>
                  <w:rStyle w:val="Hyperlink"/>
                </w:rPr>
                <w:t>Go</w:t>
              </w:r>
            </w:hyperlink>
          </w:p>
        </w:tc>
        <w:tc>
          <w:tcPr>
            <w:tcW w:w="5669" w:type="dxa"/>
          </w:tcPr>
          <w:p w14:paraId="03AED524" w14:textId="77777777" w:rsidR="00540E88" w:rsidRDefault="00540E88">
            <w:pPr>
              <w:spacing w:line="240" w:lineRule="auto"/>
              <w:rPr>
                <w:sz w:val="24"/>
                <w:rtl/>
              </w:rPr>
            </w:pPr>
            <w:r>
              <w:rPr>
                <w:sz w:val="24"/>
                <w:rtl/>
              </w:rPr>
              <w:t>חתימת הערר</w:t>
            </w:r>
          </w:p>
        </w:tc>
        <w:tc>
          <w:tcPr>
            <w:tcW w:w="1247" w:type="dxa"/>
          </w:tcPr>
          <w:p w14:paraId="65337548" w14:textId="77777777" w:rsidR="00540E88" w:rsidRDefault="00540E88">
            <w:pPr>
              <w:spacing w:line="240" w:lineRule="auto"/>
              <w:rPr>
                <w:sz w:val="24"/>
              </w:rPr>
            </w:pPr>
            <w:r>
              <w:rPr>
                <w:sz w:val="24"/>
                <w:rtl/>
              </w:rPr>
              <w:t xml:space="preserve">סעיף 4 </w:t>
            </w:r>
          </w:p>
        </w:tc>
      </w:tr>
      <w:tr w:rsidR="00540E88" w14:paraId="06357ABF" w14:textId="77777777">
        <w:tblPrEx>
          <w:tblCellMar>
            <w:top w:w="0" w:type="dxa"/>
            <w:bottom w:w="0" w:type="dxa"/>
          </w:tblCellMar>
        </w:tblPrEx>
        <w:tc>
          <w:tcPr>
            <w:tcW w:w="850" w:type="dxa"/>
          </w:tcPr>
          <w:p w14:paraId="35413F99"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331AFD2" w14:textId="77777777" w:rsidR="00540E88" w:rsidRDefault="00540E88">
            <w:pPr>
              <w:spacing w:line="240" w:lineRule="auto"/>
              <w:rPr>
                <w:sz w:val="24"/>
              </w:rPr>
            </w:pPr>
            <w:hyperlink w:anchor="Seif4" w:tooltip="עותק למשיב" w:history="1">
              <w:r>
                <w:rPr>
                  <w:rStyle w:val="Hyperlink"/>
                </w:rPr>
                <w:t>Go</w:t>
              </w:r>
            </w:hyperlink>
          </w:p>
        </w:tc>
        <w:tc>
          <w:tcPr>
            <w:tcW w:w="5669" w:type="dxa"/>
          </w:tcPr>
          <w:p w14:paraId="4432D099" w14:textId="77777777" w:rsidR="00540E88" w:rsidRDefault="00540E88">
            <w:pPr>
              <w:spacing w:line="240" w:lineRule="auto"/>
              <w:rPr>
                <w:sz w:val="24"/>
                <w:rtl/>
              </w:rPr>
            </w:pPr>
            <w:r>
              <w:rPr>
                <w:sz w:val="24"/>
                <w:rtl/>
              </w:rPr>
              <w:t>עותק למשיב</w:t>
            </w:r>
          </w:p>
        </w:tc>
        <w:tc>
          <w:tcPr>
            <w:tcW w:w="1247" w:type="dxa"/>
          </w:tcPr>
          <w:p w14:paraId="6C795818" w14:textId="77777777" w:rsidR="00540E88" w:rsidRDefault="00540E88">
            <w:pPr>
              <w:spacing w:line="240" w:lineRule="auto"/>
              <w:rPr>
                <w:sz w:val="24"/>
              </w:rPr>
            </w:pPr>
            <w:r>
              <w:rPr>
                <w:sz w:val="24"/>
                <w:rtl/>
              </w:rPr>
              <w:t xml:space="preserve">סעיף 5 </w:t>
            </w:r>
          </w:p>
        </w:tc>
      </w:tr>
      <w:tr w:rsidR="00540E88" w14:paraId="302ECA80" w14:textId="77777777">
        <w:tblPrEx>
          <w:tblCellMar>
            <w:top w:w="0" w:type="dxa"/>
            <w:bottom w:w="0" w:type="dxa"/>
          </w:tblCellMar>
        </w:tblPrEx>
        <w:tc>
          <w:tcPr>
            <w:tcW w:w="850" w:type="dxa"/>
          </w:tcPr>
          <w:p w14:paraId="4CB2A5C3"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C8E0267" w14:textId="77777777" w:rsidR="00540E88" w:rsidRDefault="00540E88">
            <w:pPr>
              <w:spacing w:line="240" w:lineRule="auto"/>
              <w:rPr>
                <w:sz w:val="24"/>
              </w:rPr>
            </w:pPr>
            <w:hyperlink w:anchor="Seif5" w:tooltip="קביעת מועד לשמיעת הערר" w:history="1">
              <w:r>
                <w:rPr>
                  <w:rStyle w:val="Hyperlink"/>
                </w:rPr>
                <w:t>Go</w:t>
              </w:r>
            </w:hyperlink>
          </w:p>
        </w:tc>
        <w:tc>
          <w:tcPr>
            <w:tcW w:w="5669" w:type="dxa"/>
          </w:tcPr>
          <w:p w14:paraId="6EFF1E14" w14:textId="77777777" w:rsidR="00540E88" w:rsidRDefault="00540E88">
            <w:pPr>
              <w:spacing w:line="240" w:lineRule="auto"/>
              <w:rPr>
                <w:sz w:val="24"/>
                <w:rtl/>
              </w:rPr>
            </w:pPr>
            <w:r>
              <w:rPr>
                <w:sz w:val="24"/>
                <w:rtl/>
              </w:rPr>
              <w:t>קביעת מועד לשמיעת הערר</w:t>
            </w:r>
          </w:p>
        </w:tc>
        <w:tc>
          <w:tcPr>
            <w:tcW w:w="1247" w:type="dxa"/>
          </w:tcPr>
          <w:p w14:paraId="4C31DE6D" w14:textId="77777777" w:rsidR="00540E88" w:rsidRDefault="00540E88">
            <w:pPr>
              <w:spacing w:line="240" w:lineRule="auto"/>
              <w:rPr>
                <w:sz w:val="24"/>
              </w:rPr>
            </w:pPr>
            <w:r>
              <w:rPr>
                <w:sz w:val="24"/>
                <w:rtl/>
              </w:rPr>
              <w:t xml:space="preserve">סעיף 6 </w:t>
            </w:r>
          </w:p>
        </w:tc>
      </w:tr>
      <w:tr w:rsidR="00540E88" w14:paraId="1543A55B" w14:textId="77777777">
        <w:tblPrEx>
          <w:tblCellMar>
            <w:top w:w="0" w:type="dxa"/>
            <w:bottom w:w="0" w:type="dxa"/>
          </w:tblCellMar>
        </w:tblPrEx>
        <w:tc>
          <w:tcPr>
            <w:tcW w:w="850" w:type="dxa"/>
          </w:tcPr>
          <w:p w14:paraId="0E1B4E3F"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8956DC6" w14:textId="77777777" w:rsidR="00540E88" w:rsidRDefault="00540E88">
            <w:pPr>
              <w:spacing w:line="240" w:lineRule="auto"/>
              <w:rPr>
                <w:sz w:val="24"/>
              </w:rPr>
            </w:pPr>
            <w:hyperlink w:anchor="Seif6" w:tooltip="ייצוג על ידי היועץ המשפטי לממשלה" w:history="1">
              <w:r>
                <w:rPr>
                  <w:rStyle w:val="Hyperlink"/>
                </w:rPr>
                <w:t>Go</w:t>
              </w:r>
            </w:hyperlink>
          </w:p>
        </w:tc>
        <w:tc>
          <w:tcPr>
            <w:tcW w:w="5669" w:type="dxa"/>
          </w:tcPr>
          <w:p w14:paraId="27A12930" w14:textId="77777777" w:rsidR="00540E88" w:rsidRDefault="00540E88">
            <w:pPr>
              <w:spacing w:line="240" w:lineRule="auto"/>
              <w:rPr>
                <w:sz w:val="24"/>
                <w:rtl/>
              </w:rPr>
            </w:pPr>
            <w:r>
              <w:rPr>
                <w:sz w:val="24"/>
                <w:rtl/>
              </w:rPr>
              <w:t>ייצוג על ידי היועץ המשפטי לממשלה</w:t>
            </w:r>
          </w:p>
        </w:tc>
        <w:tc>
          <w:tcPr>
            <w:tcW w:w="1247" w:type="dxa"/>
          </w:tcPr>
          <w:p w14:paraId="6CB5CB42" w14:textId="77777777" w:rsidR="00540E88" w:rsidRDefault="00540E88">
            <w:pPr>
              <w:spacing w:line="240" w:lineRule="auto"/>
              <w:rPr>
                <w:sz w:val="24"/>
              </w:rPr>
            </w:pPr>
            <w:r>
              <w:rPr>
                <w:sz w:val="24"/>
                <w:rtl/>
              </w:rPr>
              <w:t xml:space="preserve">סעיף 7 </w:t>
            </w:r>
          </w:p>
        </w:tc>
      </w:tr>
      <w:tr w:rsidR="00540E88" w14:paraId="03A962E2" w14:textId="77777777">
        <w:tblPrEx>
          <w:tblCellMar>
            <w:top w:w="0" w:type="dxa"/>
            <w:bottom w:w="0" w:type="dxa"/>
          </w:tblCellMar>
        </w:tblPrEx>
        <w:tc>
          <w:tcPr>
            <w:tcW w:w="850" w:type="dxa"/>
          </w:tcPr>
          <w:p w14:paraId="5F2B49A1"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AB4A0D3" w14:textId="77777777" w:rsidR="00540E88" w:rsidRDefault="00540E88">
            <w:pPr>
              <w:spacing w:line="240" w:lineRule="auto"/>
              <w:rPr>
                <w:sz w:val="24"/>
              </w:rPr>
            </w:pPr>
            <w:hyperlink w:anchor="Seif7" w:tooltip="שמיעת הערר" w:history="1">
              <w:r>
                <w:rPr>
                  <w:rStyle w:val="Hyperlink"/>
                </w:rPr>
                <w:t>Go</w:t>
              </w:r>
            </w:hyperlink>
          </w:p>
        </w:tc>
        <w:tc>
          <w:tcPr>
            <w:tcW w:w="5669" w:type="dxa"/>
          </w:tcPr>
          <w:p w14:paraId="1E8A7162" w14:textId="77777777" w:rsidR="00540E88" w:rsidRDefault="00540E88">
            <w:pPr>
              <w:spacing w:line="240" w:lineRule="auto"/>
              <w:rPr>
                <w:sz w:val="24"/>
                <w:rtl/>
              </w:rPr>
            </w:pPr>
            <w:r>
              <w:rPr>
                <w:sz w:val="24"/>
                <w:rtl/>
              </w:rPr>
              <w:t>שמיעת הערר</w:t>
            </w:r>
          </w:p>
        </w:tc>
        <w:tc>
          <w:tcPr>
            <w:tcW w:w="1247" w:type="dxa"/>
          </w:tcPr>
          <w:p w14:paraId="402C6EF4" w14:textId="77777777" w:rsidR="00540E88" w:rsidRDefault="00540E88">
            <w:pPr>
              <w:spacing w:line="240" w:lineRule="auto"/>
              <w:rPr>
                <w:sz w:val="24"/>
              </w:rPr>
            </w:pPr>
            <w:r>
              <w:rPr>
                <w:sz w:val="24"/>
                <w:rtl/>
              </w:rPr>
              <w:t xml:space="preserve">סעיף 8 </w:t>
            </w:r>
          </w:p>
        </w:tc>
      </w:tr>
      <w:tr w:rsidR="00540E88" w14:paraId="7F66F7F4" w14:textId="77777777">
        <w:tblPrEx>
          <w:tblCellMar>
            <w:top w:w="0" w:type="dxa"/>
            <w:bottom w:w="0" w:type="dxa"/>
          </w:tblCellMar>
        </w:tblPrEx>
        <w:tc>
          <w:tcPr>
            <w:tcW w:w="850" w:type="dxa"/>
          </w:tcPr>
          <w:p w14:paraId="14431C38"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D9E58F2" w14:textId="77777777" w:rsidR="00540E88" w:rsidRDefault="00540E88">
            <w:pPr>
              <w:spacing w:line="240" w:lineRule="auto"/>
              <w:rPr>
                <w:sz w:val="24"/>
              </w:rPr>
            </w:pPr>
            <w:hyperlink w:anchor="Seif8" w:tooltip="התייצבות בעלי הדין" w:history="1">
              <w:r>
                <w:rPr>
                  <w:rStyle w:val="Hyperlink"/>
                </w:rPr>
                <w:t>Go</w:t>
              </w:r>
            </w:hyperlink>
          </w:p>
        </w:tc>
        <w:tc>
          <w:tcPr>
            <w:tcW w:w="5669" w:type="dxa"/>
          </w:tcPr>
          <w:p w14:paraId="6EC73C7D" w14:textId="77777777" w:rsidR="00540E88" w:rsidRDefault="00540E88">
            <w:pPr>
              <w:spacing w:line="240" w:lineRule="auto"/>
              <w:rPr>
                <w:sz w:val="24"/>
                <w:rtl/>
              </w:rPr>
            </w:pPr>
            <w:r>
              <w:rPr>
                <w:sz w:val="24"/>
                <w:rtl/>
              </w:rPr>
              <w:t>התייצבות בעלי הדין</w:t>
            </w:r>
          </w:p>
        </w:tc>
        <w:tc>
          <w:tcPr>
            <w:tcW w:w="1247" w:type="dxa"/>
          </w:tcPr>
          <w:p w14:paraId="6C687BEC" w14:textId="77777777" w:rsidR="00540E88" w:rsidRDefault="00540E88">
            <w:pPr>
              <w:spacing w:line="240" w:lineRule="auto"/>
              <w:rPr>
                <w:sz w:val="24"/>
              </w:rPr>
            </w:pPr>
            <w:r>
              <w:rPr>
                <w:sz w:val="24"/>
                <w:rtl/>
              </w:rPr>
              <w:t xml:space="preserve">סעיף 9 </w:t>
            </w:r>
          </w:p>
        </w:tc>
      </w:tr>
      <w:tr w:rsidR="00540E88" w14:paraId="127728F7" w14:textId="77777777">
        <w:tblPrEx>
          <w:tblCellMar>
            <w:top w:w="0" w:type="dxa"/>
            <w:bottom w:w="0" w:type="dxa"/>
          </w:tblCellMar>
        </w:tblPrEx>
        <w:tc>
          <w:tcPr>
            <w:tcW w:w="850" w:type="dxa"/>
          </w:tcPr>
          <w:p w14:paraId="2C434926"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C59F3DF" w14:textId="77777777" w:rsidR="00540E88" w:rsidRDefault="00540E88">
            <w:pPr>
              <w:spacing w:line="240" w:lineRule="auto"/>
              <w:rPr>
                <w:sz w:val="24"/>
              </w:rPr>
            </w:pPr>
            <w:hyperlink w:anchor="Seif9" w:tooltip="דחיית הדיון" w:history="1">
              <w:r>
                <w:rPr>
                  <w:rStyle w:val="Hyperlink"/>
                </w:rPr>
                <w:t>Go</w:t>
              </w:r>
            </w:hyperlink>
          </w:p>
        </w:tc>
        <w:tc>
          <w:tcPr>
            <w:tcW w:w="5669" w:type="dxa"/>
          </w:tcPr>
          <w:p w14:paraId="11ED8D47" w14:textId="77777777" w:rsidR="00540E88" w:rsidRDefault="00540E88">
            <w:pPr>
              <w:spacing w:line="240" w:lineRule="auto"/>
              <w:rPr>
                <w:sz w:val="24"/>
                <w:rtl/>
              </w:rPr>
            </w:pPr>
            <w:r>
              <w:rPr>
                <w:sz w:val="24"/>
                <w:rtl/>
              </w:rPr>
              <w:t>דחיית הדיון</w:t>
            </w:r>
          </w:p>
        </w:tc>
        <w:tc>
          <w:tcPr>
            <w:tcW w:w="1247" w:type="dxa"/>
          </w:tcPr>
          <w:p w14:paraId="61519969" w14:textId="77777777" w:rsidR="00540E88" w:rsidRDefault="00540E88">
            <w:pPr>
              <w:spacing w:line="240" w:lineRule="auto"/>
              <w:rPr>
                <w:sz w:val="24"/>
              </w:rPr>
            </w:pPr>
            <w:r>
              <w:rPr>
                <w:sz w:val="24"/>
                <w:rtl/>
              </w:rPr>
              <w:t xml:space="preserve">סעיף 10 </w:t>
            </w:r>
          </w:p>
        </w:tc>
      </w:tr>
      <w:tr w:rsidR="00540E88" w14:paraId="0B77FDFB" w14:textId="77777777">
        <w:tblPrEx>
          <w:tblCellMar>
            <w:top w:w="0" w:type="dxa"/>
            <w:bottom w:w="0" w:type="dxa"/>
          </w:tblCellMar>
        </w:tblPrEx>
        <w:tc>
          <w:tcPr>
            <w:tcW w:w="850" w:type="dxa"/>
          </w:tcPr>
          <w:p w14:paraId="006B3AB7"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CB82DB0" w14:textId="77777777" w:rsidR="00540E88" w:rsidRDefault="00540E88">
            <w:pPr>
              <w:spacing w:line="240" w:lineRule="auto"/>
              <w:rPr>
                <w:sz w:val="24"/>
              </w:rPr>
            </w:pPr>
            <w:hyperlink w:anchor="Seif10" w:tooltip="הגשת תצהיר" w:history="1">
              <w:r>
                <w:rPr>
                  <w:rStyle w:val="Hyperlink"/>
                </w:rPr>
                <w:t>Go</w:t>
              </w:r>
            </w:hyperlink>
          </w:p>
        </w:tc>
        <w:tc>
          <w:tcPr>
            <w:tcW w:w="5669" w:type="dxa"/>
          </w:tcPr>
          <w:p w14:paraId="30BD7D0D" w14:textId="77777777" w:rsidR="00540E88" w:rsidRDefault="00540E88">
            <w:pPr>
              <w:spacing w:line="240" w:lineRule="auto"/>
              <w:rPr>
                <w:sz w:val="24"/>
                <w:rtl/>
              </w:rPr>
            </w:pPr>
            <w:r>
              <w:rPr>
                <w:sz w:val="24"/>
                <w:rtl/>
              </w:rPr>
              <w:t>הגשת תצהיר</w:t>
            </w:r>
          </w:p>
        </w:tc>
        <w:tc>
          <w:tcPr>
            <w:tcW w:w="1247" w:type="dxa"/>
          </w:tcPr>
          <w:p w14:paraId="70731EF8" w14:textId="77777777" w:rsidR="00540E88" w:rsidRDefault="00540E88">
            <w:pPr>
              <w:spacing w:line="240" w:lineRule="auto"/>
              <w:rPr>
                <w:sz w:val="24"/>
              </w:rPr>
            </w:pPr>
            <w:r>
              <w:rPr>
                <w:sz w:val="24"/>
                <w:rtl/>
              </w:rPr>
              <w:t xml:space="preserve">סעיף 11 </w:t>
            </w:r>
          </w:p>
        </w:tc>
      </w:tr>
      <w:tr w:rsidR="00540E88" w14:paraId="6B6937CA" w14:textId="77777777">
        <w:tblPrEx>
          <w:tblCellMar>
            <w:top w:w="0" w:type="dxa"/>
            <w:bottom w:w="0" w:type="dxa"/>
          </w:tblCellMar>
        </w:tblPrEx>
        <w:tc>
          <w:tcPr>
            <w:tcW w:w="850" w:type="dxa"/>
          </w:tcPr>
          <w:p w14:paraId="15573504"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D99A216" w14:textId="77777777" w:rsidR="00540E88" w:rsidRDefault="00540E88">
            <w:pPr>
              <w:spacing w:line="240" w:lineRule="auto"/>
              <w:rPr>
                <w:sz w:val="24"/>
              </w:rPr>
            </w:pPr>
            <w:hyperlink w:anchor="Seif11" w:tooltip="התייצבות לחקירה שכנגד" w:history="1">
              <w:r>
                <w:rPr>
                  <w:rStyle w:val="Hyperlink"/>
                </w:rPr>
                <w:t>Go</w:t>
              </w:r>
            </w:hyperlink>
          </w:p>
        </w:tc>
        <w:tc>
          <w:tcPr>
            <w:tcW w:w="5669" w:type="dxa"/>
          </w:tcPr>
          <w:p w14:paraId="19EBF259" w14:textId="77777777" w:rsidR="00540E88" w:rsidRDefault="00540E88">
            <w:pPr>
              <w:spacing w:line="240" w:lineRule="auto"/>
              <w:rPr>
                <w:sz w:val="24"/>
                <w:rtl/>
              </w:rPr>
            </w:pPr>
            <w:r>
              <w:rPr>
                <w:sz w:val="24"/>
                <w:rtl/>
              </w:rPr>
              <w:t>התייצבות לחקירה שכנגד</w:t>
            </w:r>
          </w:p>
        </w:tc>
        <w:tc>
          <w:tcPr>
            <w:tcW w:w="1247" w:type="dxa"/>
          </w:tcPr>
          <w:p w14:paraId="0BBCF755" w14:textId="77777777" w:rsidR="00540E88" w:rsidRDefault="00540E88">
            <w:pPr>
              <w:spacing w:line="240" w:lineRule="auto"/>
              <w:rPr>
                <w:sz w:val="24"/>
              </w:rPr>
            </w:pPr>
            <w:r>
              <w:rPr>
                <w:sz w:val="24"/>
                <w:rtl/>
              </w:rPr>
              <w:t xml:space="preserve">סעיף 12 </w:t>
            </w:r>
          </w:p>
        </w:tc>
      </w:tr>
      <w:tr w:rsidR="00540E88" w14:paraId="0EBF0E77" w14:textId="77777777">
        <w:tblPrEx>
          <w:tblCellMar>
            <w:top w:w="0" w:type="dxa"/>
            <w:bottom w:w="0" w:type="dxa"/>
          </w:tblCellMar>
        </w:tblPrEx>
        <w:tc>
          <w:tcPr>
            <w:tcW w:w="850" w:type="dxa"/>
          </w:tcPr>
          <w:p w14:paraId="3E8E3E43"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1F7702C" w14:textId="77777777" w:rsidR="00540E88" w:rsidRDefault="00540E88">
            <w:pPr>
              <w:spacing w:line="240" w:lineRule="auto"/>
              <w:rPr>
                <w:sz w:val="24"/>
              </w:rPr>
            </w:pPr>
            <w:hyperlink w:anchor="Seif12" w:tooltip="תצהיר כראיה" w:history="1">
              <w:r>
                <w:rPr>
                  <w:rStyle w:val="Hyperlink"/>
                </w:rPr>
                <w:t>Go</w:t>
              </w:r>
            </w:hyperlink>
          </w:p>
        </w:tc>
        <w:tc>
          <w:tcPr>
            <w:tcW w:w="5669" w:type="dxa"/>
          </w:tcPr>
          <w:p w14:paraId="3C972E0A" w14:textId="77777777" w:rsidR="00540E88" w:rsidRDefault="00540E88">
            <w:pPr>
              <w:spacing w:line="240" w:lineRule="auto"/>
              <w:rPr>
                <w:sz w:val="24"/>
                <w:rtl/>
              </w:rPr>
            </w:pPr>
            <w:r>
              <w:rPr>
                <w:sz w:val="24"/>
                <w:rtl/>
              </w:rPr>
              <w:t>תצהיר כראיה</w:t>
            </w:r>
          </w:p>
        </w:tc>
        <w:tc>
          <w:tcPr>
            <w:tcW w:w="1247" w:type="dxa"/>
          </w:tcPr>
          <w:p w14:paraId="0ECDF866" w14:textId="77777777" w:rsidR="00540E88" w:rsidRDefault="00540E88">
            <w:pPr>
              <w:spacing w:line="240" w:lineRule="auto"/>
              <w:rPr>
                <w:sz w:val="24"/>
              </w:rPr>
            </w:pPr>
            <w:r>
              <w:rPr>
                <w:sz w:val="24"/>
                <w:rtl/>
              </w:rPr>
              <w:t xml:space="preserve">סעיף 13 </w:t>
            </w:r>
          </w:p>
        </w:tc>
      </w:tr>
      <w:tr w:rsidR="00540E88" w14:paraId="6B6AAB7D" w14:textId="77777777">
        <w:tblPrEx>
          <w:tblCellMar>
            <w:top w:w="0" w:type="dxa"/>
            <w:bottom w:w="0" w:type="dxa"/>
          </w:tblCellMar>
        </w:tblPrEx>
        <w:tc>
          <w:tcPr>
            <w:tcW w:w="850" w:type="dxa"/>
          </w:tcPr>
          <w:p w14:paraId="529AA18D"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1349284" w14:textId="77777777" w:rsidR="00540E88" w:rsidRDefault="00540E88">
            <w:pPr>
              <w:spacing w:line="240" w:lineRule="auto"/>
              <w:rPr>
                <w:sz w:val="24"/>
              </w:rPr>
            </w:pPr>
            <w:hyperlink w:anchor="Seif13" w:tooltip="פרטים נוספים" w:history="1">
              <w:r>
                <w:rPr>
                  <w:rStyle w:val="Hyperlink"/>
                </w:rPr>
                <w:t>Go</w:t>
              </w:r>
            </w:hyperlink>
          </w:p>
        </w:tc>
        <w:tc>
          <w:tcPr>
            <w:tcW w:w="5669" w:type="dxa"/>
          </w:tcPr>
          <w:p w14:paraId="28E581D6" w14:textId="77777777" w:rsidR="00540E88" w:rsidRDefault="00540E88">
            <w:pPr>
              <w:spacing w:line="240" w:lineRule="auto"/>
              <w:rPr>
                <w:sz w:val="24"/>
                <w:rtl/>
              </w:rPr>
            </w:pPr>
            <w:r>
              <w:rPr>
                <w:sz w:val="24"/>
                <w:rtl/>
              </w:rPr>
              <w:t>פרטים נוספים</w:t>
            </w:r>
          </w:p>
        </w:tc>
        <w:tc>
          <w:tcPr>
            <w:tcW w:w="1247" w:type="dxa"/>
          </w:tcPr>
          <w:p w14:paraId="07B2A4D8" w14:textId="77777777" w:rsidR="00540E88" w:rsidRDefault="00540E88">
            <w:pPr>
              <w:spacing w:line="240" w:lineRule="auto"/>
              <w:rPr>
                <w:sz w:val="24"/>
              </w:rPr>
            </w:pPr>
            <w:r>
              <w:rPr>
                <w:sz w:val="24"/>
                <w:rtl/>
              </w:rPr>
              <w:t xml:space="preserve">סעיף 14 </w:t>
            </w:r>
          </w:p>
        </w:tc>
      </w:tr>
      <w:tr w:rsidR="00540E88" w14:paraId="39470F03" w14:textId="77777777">
        <w:tblPrEx>
          <w:tblCellMar>
            <w:top w:w="0" w:type="dxa"/>
            <w:bottom w:w="0" w:type="dxa"/>
          </w:tblCellMar>
        </w:tblPrEx>
        <w:tc>
          <w:tcPr>
            <w:tcW w:w="850" w:type="dxa"/>
          </w:tcPr>
          <w:p w14:paraId="7641BD03"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2FD1DCA" w14:textId="77777777" w:rsidR="00540E88" w:rsidRDefault="00540E88">
            <w:pPr>
              <w:spacing w:line="240" w:lineRule="auto"/>
              <w:rPr>
                <w:sz w:val="24"/>
              </w:rPr>
            </w:pPr>
            <w:hyperlink w:anchor="Seif14" w:tooltip="מועד למתן החלטה" w:history="1">
              <w:r>
                <w:rPr>
                  <w:rStyle w:val="Hyperlink"/>
                </w:rPr>
                <w:t>Go</w:t>
              </w:r>
            </w:hyperlink>
          </w:p>
        </w:tc>
        <w:tc>
          <w:tcPr>
            <w:tcW w:w="5669" w:type="dxa"/>
          </w:tcPr>
          <w:p w14:paraId="536CB868" w14:textId="77777777" w:rsidR="00540E88" w:rsidRDefault="00540E88">
            <w:pPr>
              <w:spacing w:line="240" w:lineRule="auto"/>
              <w:rPr>
                <w:sz w:val="24"/>
                <w:rtl/>
              </w:rPr>
            </w:pPr>
            <w:r>
              <w:rPr>
                <w:sz w:val="24"/>
                <w:rtl/>
              </w:rPr>
              <w:t>מועד למתן החלטה</w:t>
            </w:r>
          </w:p>
        </w:tc>
        <w:tc>
          <w:tcPr>
            <w:tcW w:w="1247" w:type="dxa"/>
          </w:tcPr>
          <w:p w14:paraId="0CEB4873" w14:textId="77777777" w:rsidR="00540E88" w:rsidRDefault="00540E88">
            <w:pPr>
              <w:spacing w:line="240" w:lineRule="auto"/>
              <w:rPr>
                <w:sz w:val="24"/>
              </w:rPr>
            </w:pPr>
            <w:r>
              <w:rPr>
                <w:sz w:val="24"/>
                <w:rtl/>
              </w:rPr>
              <w:t xml:space="preserve">סעיף 15 </w:t>
            </w:r>
          </w:p>
        </w:tc>
      </w:tr>
      <w:tr w:rsidR="00540E88" w14:paraId="3AC3E25D" w14:textId="77777777">
        <w:tblPrEx>
          <w:tblCellMar>
            <w:top w:w="0" w:type="dxa"/>
            <w:bottom w:w="0" w:type="dxa"/>
          </w:tblCellMar>
        </w:tblPrEx>
        <w:tc>
          <w:tcPr>
            <w:tcW w:w="850" w:type="dxa"/>
          </w:tcPr>
          <w:p w14:paraId="7617B882"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70E4BF1" w14:textId="77777777" w:rsidR="00540E88" w:rsidRDefault="00540E88">
            <w:pPr>
              <w:spacing w:line="240" w:lineRule="auto"/>
              <w:rPr>
                <w:sz w:val="24"/>
              </w:rPr>
            </w:pPr>
            <w:hyperlink w:anchor="Seif15" w:tooltip="החלטת הועדה" w:history="1">
              <w:r>
                <w:rPr>
                  <w:rStyle w:val="Hyperlink"/>
                </w:rPr>
                <w:t>Go</w:t>
              </w:r>
            </w:hyperlink>
          </w:p>
        </w:tc>
        <w:tc>
          <w:tcPr>
            <w:tcW w:w="5669" w:type="dxa"/>
          </w:tcPr>
          <w:p w14:paraId="4A8401A4" w14:textId="77777777" w:rsidR="00540E88" w:rsidRDefault="00540E88">
            <w:pPr>
              <w:spacing w:line="240" w:lineRule="auto"/>
              <w:rPr>
                <w:sz w:val="24"/>
                <w:rtl/>
              </w:rPr>
            </w:pPr>
            <w:r>
              <w:rPr>
                <w:sz w:val="24"/>
                <w:rtl/>
              </w:rPr>
              <w:t>החלטת הועדה</w:t>
            </w:r>
          </w:p>
        </w:tc>
        <w:tc>
          <w:tcPr>
            <w:tcW w:w="1247" w:type="dxa"/>
          </w:tcPr>
          <w:p w14:paraId="453FC70C" w14:textId="77777777" w:rsidR="00540E88" w:rsidRDefault="00540E88">
            <w:pPr>
              <w:spacing w:line="240" w:lineRule="auto"/>
              <w:rPr>
                <w:sz w:val="24"/>
              </w:rPr>
            </w:pPr>
            <w:r>
              <w:rPr>
                <w:sz w:val="24"/>
                <w:rtl/>
              </w:rPr>
              <w:t xml:space="preserve">סעיף 16 </w:t>
            </w:r>
          </w:p>
        </w:tc>
      </w:tr>
      <w:tr w:rsidR="00540E88" w14:paraId="0E75F5BF" w14:textId="77777777">
        <w:tblPrEx>
          <w:tblCellMar>
            <w:top w:w="0" w:type="dxa"/>
            <w:bottom w:w="0" w:type="dxa"/>
          </w:tblCellMar>
        </w:tblPrEx>
        <w:tc>
          <w:tcPr>
            <w:tcW w:w="850" w:type="dxa"/>
          </w:tcPr>
          <w:p w14:paraId="07CFDCCF"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C56AE91" w14:textId="77777777" w:rsidR="00540E88" w:rsidRDefault="00540E88">
            <w:pPr>
              <w:spacing w:line="240" w:lineRule="auto"/>
              <w:rPr>
                <w:sz w:val="24"/>
              </w:rPr>
            </w:pPr>
            <w:hyperlink w:anchor="Seif16" w:tooltip="מסירת העתק ההחלטה" w:history="1">
              <w:r>
                <w:rPr>
                  <w:rStyle w:val="Hyperlink"/>
                </w:rPr>
                <w:t>Go</w:t>
              </w:r>
            </w:hyperlink>
          </w:p>
        </w:tc>
        <w:tc>
          <w:tcPr>
            <w:tcW w:w="5669" w:type="dxa"/>
          </w:tcPr>
          <w:p w14:paraId="3473C173" w14:textId="77777777" w:rsidR="00540E88" w:rsidRDefault="00540E88">
            <w:pPr>
              <w:spacing w:line="240" w:lineRule="auto"/>
              <w:rPr>
                <w:sz w:val="24"/>
                <w:rtl/>
              </w:rPr>
            </w:pPr>
            <w:r>
              <w:rPr>
                <w:sz w:val="24"/>
                <w:rtl/>
              </w:rPr>
              <w:t>מסירת העתק ההחלטה</w:t>
            </w:r>
          </w:p>
        </w:tc>
        <w:tc>
          <w:tcPr>
            <w:tcW w:w="1247" w:type="dxa"/>
          </w:tcPr>
          <w:p w14:paraId="57D12B46" w14:textId="77777777" w:rsidR="00540E88" w:rsidRDefault="00540E88">
            <w:pPr>
              <w:spacing w:line="240" w:lineRule="auto"/>
              <w:rPr>
                <w:sz w:val="24"/>
              </w:rPr>
            </w:pPr>
            <w:r>
              <w:rPr>
                <w:sz w:val="24"/>
                <w:rtl/>
              </w:rPr>
              <w:t xml:space="preserve">סעיף 17 </w:t>
            </w:r>
          </w:p>
        </w:tc>
      </w:tr>
      <w:tr w:rsidR="00540E88" w14:paraId="4E85CA8A" w14:textId="77777777">
        <w:tblPrEx>
          <w:tblCellMar>
            <w:top w:w="0" w:type="dxa"/>
            <w:bottom w:w="0" w:type="dxa"/>
          </w:tblCellMar>
        </w:tblPrEx>
        <w:tc>
          <w:tcPr>
            <w:tcW w:w="850" w:type="dxa"/>
          </w:tcPr>
          <w:p w14:paraId="5E6167A4"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9D1F4D0" w14:textId="77777777" w:rsidR="00540E88" w:rsidRDefault="00540E88">
            <w:pPr>
              <w:spacing w:line="240" w:lineRule="auto"/>
              <w:rPr>
                <w:sz w:val="24"/>
              </w:rPr>
            </w:pPr>
            <w:hyperlink w:anchor="Seif17" w:tooltip="מיזוג עררים" w:history="1">
              <w:r>
                <w:rPr>
                  <w:rStyle w:val="Hyperlink"/>
                </w:rPr>
                <w:t>Go</w:t>
              </w:r>
            </w:hyperlink>
          </w:p>
        </w:tc>
        <w:tc>
          <w:tcPr>
            <w:tcW w:w="5669" w:type="dxa"/>
          </w:tcPr>
          <w:p w14:paraId="66A9C187" w14:textId="77777777" w:rsidR="00540E88" w:rsidRDefault="00540E88">
            <w:pPr>
              <w:spacing w:line="240" w:lineRule="auto"/>
              <w:rPr>
                <w:sz w:val="24"/>
                <w:rtl/>
              </w:rPr>
            </w:pPr>
            <w:r>
              <w:rPr>
                <w:sz w:val="24"/>
                <w:rtl/>
              </w:rPr>
              <w:t>מיזוג עררים</w:t>
            </w:r>
          </w:p>
        </w:tc>
        <w:tc>
          <w:tcPr>
            <w:tcW w:w="1247" w:type="dxa"/>
          </w:tcPr>
          <w:p w14:paraId="19723C73" w14:textId="77777777" w:rsidR="00540E88" w:rsidRDefault="00540E88">
            <w:pPr>
              <w:spacing w:line="240" w:lineRule="auto"/>
              <w:rPr>
                <w:sz w:val="24"/>
              </w:rPr>
            </w:pPr>
            <w:r>
              <w:rPr>
                <w:sz w:val="24"/>
                <w:rtl/>
              </w:rPr>
              <w:t xml:space="preserve">סעיף 18 </w:t>
            </w:r>
          </w:p>
        </w:tc>
      </w:tr>
      <w:tr w:rsidR="00540E88" w14:paraId="2B9FC6FD" w14:textId="77777777">
        <w:tblPrEx>
          <w:tblCellMar>
            <w:top w:w="0" w:type="dxa"/>
            <w:bottom w:w="0" w:type="dxa"/>
          </w:tblCellMar>
        </w:tblPrEx>
        <w:tc>
          <w:tcPr>
            <w:tcW w:w="850" w:type="dxa"/>
          </w:tcPr>
          <w:p w14:paraId="7DB7E3E6" w14:textId="77777777" w:rsidR="00540E88" w:rsidRDefault="00540E88">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2AEF19B" w14:textId="77777777" w:rsidR="00540E88" w:rsidRDefault="00540E88">
            <w:pPr>
              <w:spacing w:line="240" w:lineRule="auto"/>
              <w:rPr>
                <w:sz w:val="24"/>
              </w:rPr>
            </w:pPr>
            <w:hyperlink w:anchor="Seif18" w:tooltip="השם" w:history="1">
              <w:r>
                <w:rPr>
                  <w:rStyle w:val="Hyperlink"/>
                </w:rPr>
                <w:t>Go</w:t>
              </w:r>
            </w:hyperlink>
          </w:p>
        </w:tc>
        <w:tc>
          <w:tcPr>
            <w:tcW w:w="5669" w:type="dxa"/>
          </w:tcPr>
          <w:p w14:paraId="5C77954F" w14:textId="77777777" w:rsidR="00540E88" w:rsidRDefault="00540E88">
            <w:pPr>
              <w:spacing w:line="240" w:lineRule="auto"/>
              <w:rPr>
                <w:sz w:val="24"/>
                <w:rtl/>
              </w:rPr>
            </w:pPr>
            <w:r>
              <w:rPr>
                <w:sz w:val="24"/>
                <w:rtl/>
              </w:rPr>
              <w:t>השם</w:t>
            </w:r>
          </w:p>
        </w:tc>
        <w:tc>
          <w:tcPr>
            <w:tcW w:w="1247" w:type="dxa"/>
          </w:tcPr>
          <w:p w14:paraId="72A7D4E8" w14:textId="77777777" w:rsidR="00540E88" w:rsidRDefault="00540E88">
            <w:pPr>
              <w:spacing w:line="240" w:lineRule="auto"/>
              <w:rPr>
                <w:sz w:val="24"/>
              </w:rPr>
            </w:pPr>
            <w:r>
              <w:rPr>
                <w:sz w:val="24"/>
                <w:rtl/>
              </w:rPr>
              <w:t xml:space="preserve">סעיף 19 </w:t>
            </w:r>
          </w:p>
        </w:tc>
      </w:tr>
    </w:tbl>
    <w:p w14:paraId="2BA19162" w14:textId="77777777" w:rsidR="00540E88" w:rsidRDefault="00540E88">
      <w:pPr>
        <w:pStyle w:val="big-header"/>
        <w:ind w:left="0" w:right="1134"/>
        <w:rPr>
          <w:rtl/>
        </w:rPr>
      </w:pPr>
    </w:p>
    <w:p w14:paraId="70531C4A" w14:textId="77777777" w:rsidR="00540E88" w:rsidRDefault="00540E88" w:rsidP="00BB04FB">
      <w:pPr>
        <w:pStyle w:val="big-header"/>
        <w:ind w:left="0" w:right="1134"/>
        <w:rPr>
          <w:rStyle w:val="default"/>
          <w:rFonts w:cs="FrankRuehl" w:hint="cs"/>
          <w:rtl/>
        </w:rPr>
      </w:pPr>
      <w:r>
        <w:rPr>
          <w:rtl/>
        </w:rPr>
        <w:br w:type="page"/>
      </w:r>
      <w:r>
        <w:rPr>
          <w:rtl/>
        </w:rPr>
        <w:lastRenderedPageBreak/>
        <w:t>ת</w:t>
      </w:r>
      <w:r>
        <w:rPr>
          <w:rFonts w:hint="cs"/>
          <w:rtl/>
        </w:rPr>
        <w:t>קנות הרשויות המקומיות (הסדרת השמירה) (סדרי הדין בפני ועדת ערר), תשכ"ב-1962</w:t>
      </w:r>
      <w:r>
        <w:rPr>
          <w:rStyle w:val="default"/>
          <w:rtl/>
        </w:rPr>
        <w:footnoteReference w:customMarkFollows="1" w:id="1"/>
        <w:t>*</w:t>
      </w:r>
    </w:p>
    <w:p w14:paraId="3F712BDC" w14:textId="77777777" w:rsidR="00540E88" w:rsidRDefault="00540E8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14 לחוק הרשויות המקומיות (הסדרת השמירה), </w:t>
      </w:r>
      <w:r>
        <w:rPr>
          <w:rStyle w:val="default"/>
          <w:rFonts w:cs="FrankRuehl"/>
          <w:rtl/>
        </w:rPr>
        <w:t>ת</w:t>
      </w:r>
      <w:r>
        <w:rPr>
          <w:rStyle w:val="default"/>
          <w:rFonts w:cs="FrankRuehl" w:hint="cs"/>
          <w:rtl/>
        </w:rPr>
        <w:t>שכ"א-1961, אני מתקין תקנות אלה:</w:t>
      </w:r>
    </w:p>
    <w:p w14:paraId="73AC5CD4" w14:textId="77777777" w:rsidR="00540E88" w:rsidRDefault="00540E88">
      <w:pPr>
        <w:pStyle w:val="P00"/>
        <w:spacing w:before="72"/>
        <w:ind w:left="0" w:right="1134"/>
        <w:rPr>
          <w:rStyle w:val="default"/>
          <w:rFonts w:cs="FrankRuehl" w:hint="cs"/>
          <w:rtl/>
        </w:rPr>
      </w:pPr>
      <w:bookmarkStart w:id="0" w:name="Seif0"/>
      <w:bookmarkEnd w:id="0"/>
      <w:r>
        <w:rPr>
          <w:lang w:val="he-IL"/>
        </w:rPr>
        <w:pict w14:anchorId="0F446B1E">
          <v:rect id="_x0000_s1026" style="position:absolute;left:0;text-align:left;margin-left:464.5pt;margin-top:8.05pt;width:75.05pt;height:13.5pt;z-index:251648512" o:allowincell="f" filled="f" stroked="f" strokecolor="lime" strokeweight=".25pt">
            <v:textbox inset="0,0,0,0">
              <w:txbxContent>
                <w:p w14:paraId="23EA04DF" w14:textId="77777777" w:rsidR="00540E88" w:rsidRDefault="00540E8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36721CEA" w14:textId="77777777" w:rsidR="00540E88" w:rsidRDefault="00540E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ועדה" - ועדת ערר שנתמנתה לפי סעיף 12 לחוק;</w:t>
      </w:r>
    </w:p>
    <w:p w14:paraId="52CC0610" w14:textId="77777777" w:rsidR="00540E88" w:rsidRDefault="00540E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משיב" - יושב ראש רשות שמירה שנקבעה בהתאם לסעיף 5(א) לחוק על ידי רשות מקומית או אם לא נקבעה רשות שמירה כאמור - הממונה על השמירה כאמור בסעיף 5(ב) לחוק;</w:t>
      </w:r>
    </w:p>
    <w:p w14:paraId="78117178" w14:textId="77777777" w:rsidR="00540E88" w:rsidRDefault="00540E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רשות מקומית" - רשות מקומית לרבות ישוב שבתחומו נמצא מקום מגוריו של העורר;</w:t>
      </w:r>
    </w:p>
    <w:p w14:paraId="503B0ABE" w14:textId="77777777" w:rsidR="00540E88" w:rsidRDefault="00540E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החלטה" - החלטה בדבר הטלת חובת השמירה על העורר.</w:t>
      </w:r>
    </w:p>
    <w:p w14:paraId="0418087F" w14:textId="77777777" w:rsidR="00540E88" w:rsidRDefault="00540E88">
      <w:pPr>
        <w:pStyle w:val="P00"/>
        <w:spacing w:before="72"/>
        <w:ind w:left="0" w:right="1134"/>
        <w:rPr>
          <w:rStyle w:val="default"/>
          <w:rFonts w:cs="FrankRuehl"/>
          <w:rtl/>
        </w:rPr>
      </w:pPr>
      <w:bookmarkStart w:id="1" w:name="Seif1"/>
      <w:bookmarkEnd w:id="1"/>
      <w:r>
        <w:rPr>
          <w:lang w:val="he-IL"/>
        </w:rPr>
        <w:pict w14:anchorId="4ECE1CFD">
          <v:rect id="_x0000_s1027" style="position:absolute;left:0;text-align:left;margin-left:464.5pt;margin-top:8.05pt;width:75.05pt;height:14.7pt;z-index:251649536" o:allowincell="f" filled="f" stroked="f" strokecolor="lime" strokeweight=".25pt">
            <v:textbox inset="0,0,0,0">
              <w:txbxContent>
                <w:p w14:paraId="4AA32D70" w14:textId="77777777" w:rsidR="00540E88" w:rsidRDefault="00540E88">
                  <w:pPr>
                    <w:spacing w:line="160" w:lineRule="exact"/>
                    <w:jc w:val="left"/>
                    <w:rPr>
                      <w:rFonts w:cs="Miriam"/>
                      <w:noProof/>
                      <w:szCs w:val="18"/>
                      <w:rtl/>
                    </w:rPr>
                  </w:pPr>
                  <w:r>
                    <w:rPr>
                      <w:rFonts w:cs="Miriam"/>
                      <w:szCs w:val="18"/>
                      <w:rtl/>
                    </w:rPr>
                    <w:t>מ</w:t>
                  </w:r>
                  <w:r>
                    <w:rPr>
                      <w:rFonts w:cs="Miriam" w:hint="cs"/>
                      <w:szCs w:val="18"/>
                      <w:rtl/>
                    </w:rPr>
                    <w:t xml:space="preserve">קום </w:t>
                  </w:r>
                  <w:r>
                    <w:rPr>
                      <w:rFonts w:cs="Miriam"/>
                      <w:szCs w:val="18"/>
                      <w:rtl/>
                    </w:rPr>
                    <w:t>ה</w:t>
                  </w:r>
                  <w:r>
                    <w:rPr>
                      <w:rFonts w:cs="Miriam" w:hint="cs"/>
                      <w:szCs w:val="18"/>
                      <w:rtl/>
                    </w:rPr>
                    <w:t>גשת ערר</w:t>
                  </w:r>
                </w:p>
              </w:txbxContent>
            </v:textbox>
            <w10:anchorlock/>
          </v:rect>
        </w:pict>
      </w:r>
      <w:r>
        <w:rPr>
          <w:rStyle w:val="big-number"/>
          <w:rFonts w:cs="Miriam"/>
          <w:rtl/>
        </w:rPr>
        <w:t>2.</w:t>
      </w:r>
      <w:r>
        <w:rPr>
          <w:rStyle w:val="big-number"/>
          <w:rFonts w:cs="Miriam"/>
          <w:rtl/>
        </w:rPr>
        <w:tab/>
      </w:r>
      <w:r>
        <w:rPr>
          <w:rStyle w:val="default"/>
          <w:rFonts w:cs="FrankRuehl"/>
          <w:rtl/>
        </w:rPr>
        <w:t>כ</w:t>
      </w:r>
      <w:r>
        <w:rPr>
          <w:rStyle w:val="default"/>
          <w:rFonts w:cs="FrankRuehl" w:hint="cs"/>
          <w:rtl/>
        </w:rPr>
        <w:t>תב ערר יש להגיש במשרד המינהל המחוזי של המחוז או של הנפה שבהם נמצא מקום מגוריו של העורר.</w:t>
      </w:r>
    </w:p>
    <w:p w14:paraId="290AB213" w14:textId="77777777" w:rsidR="00540E88" w:rsidRDefault="00540E88">
      <w:pPr>
        <w:pStyle w:val="P00"/>
        <w:spacing w:before="72"/>
        <w:ind w:left="0" w:right="1134"/>
        <w:rPr>
          <w:rStyle w:val="default"/>
          <w:rFonts w:cs="FrankRuehl"/>
          <w:rtl/>
        </w:rPr>
      </w:pPr>
      <w:bookmarkStart w:id="2" w:name="Seif2"/>
      <w:bookmarkEnd w:id="2"/>
      <w:r>
        <w:rPr>
          <w:lang w:val="he-IL"/>
        </w:rPr>
        <w:pict w14:anchorId="543AED80">
          <v:rect id="_x0000_s1028" style="position:absolute;left:0;text-align:left;margin-left:464.5pt;margin-top:8.05pt;width:75.05pt;height:9.8pt;z-index:251650560" o:allowincell="f" filled="f" stroked="f" strokecolor="lime" strokeweight=".25pt">
            <v:textbox inset="0,0,0,0">
              <w:txbxContent>
                <w:p w14:paraId="0292A156" w14:textId="77777777" w:rsidR="00540E88" w:rsidRDefault="00540E88">
                  <w:pPr>
                    <w:spacing w:line="160" w:lineRule="exact"/>
                    <w:jc w:val="left"/>
                    <w:rPr>
                      <w:rFonts w:cs="Miriam"/>
                      <w:noProof/>
                      <w:szCs w:val="18"/>
                      <w:rtl/>
                    </w:rPr>
                  </w:pPr>
                  <w:r>
                    <w:rPr>
                      <w:rFonts w:cs="Miriam"/>
                      <w:szCs w:val="18"/>
                      <w:rtl/>
                    </w:rPr>
                    <w:t>מ</w:t>
                  </w:r>
                  <w:r>
                    <w:rPr>
                      <w:rFonts w:cs="Miriam" w:hint="cs"/>
                      <w:szCs w:val="18"/>
                      <w:rtl/>
                    </w:rPr>
                    <w:t>ועד להגשת ערר</w:t>
                  </w:r>
                </w:p>
              </w:txbxContent>
            </v:textbox>
            <w10:anchorlock/>
          </v:rect>
        </w:pict>
      </w:r>
      <w:r>
        <w:rPr>
          <w:rStyle w:val="big-number"/>
          <w:rFonts w:cs="Miriam"/>
          <w:rtl/>
        </w:rPr>
        <w:t>3.</w:t>
      </w:r>
      <w:r>
        <w:rPr>
          <w:rStyle w:val="big-number"/>
          <w:rFonts w:cs="Miriam"/>
          <w:rtl/>
        </w:rPr>
        <w:tab/>
      </w:r>
      <w:r>
        <w:rPr>
          <w:rStyle w:val="default"/>
          <w:rFonts w:cs="FrankRuehl"/>
          <w:rtl/>
        </w:rPr>
        <w:t>כת</w:t>
      </w:r>
      <w:r>
        <w:rPr>
          <w:rStyle w:val="default"/>
          <w:rFonts w:cs="FrankRuehl" w:hint="cs"/>
          <w:rtl/>
        </w:rPr>
        <w:t>ב ערר יוגש בשני עותקים תוך חמישה ימים מיום שבו נמסרה ההחלטה לעורר או מיום שבו הוצגה ההחלטה במשרדי רשות מקומית; לא הוגש כתב ערר בזמן האמור והועדה סבורה כי היתה לעורר סיבה סבירה להגשתו באיחור, רשאית הועדה להאריך את המועד להגשת כתב הערר לתקופה שתקבע.</w:t>
      </w:r>
    </w:p>
    <w:p w14:paraId="1A5E56C0" w14:textId="77777777" w:rsidR="00540E88" w:rsidRDefault="00540E88">
      <w:pPr>
        <w:pStyle w:val="P00"/>
        <w:spacing w:before="72"/>
        <w:ind w:left="0" w:right="1134"/>
        <w:rPr>
          <w:rStyle w:val="default"/>
          <w:rFonts w:cs="FrankRuehl"/>
          <w:rtl/>
        </w:rPr>
      </w:pPr>
      <w:bookmarkStart w:id="3" w:name="Seif3"/>
      <w:bookmarkEnd w:id="3"/>
      <w:r>
        <w:rPr>
          <w:lang w:val="he-IL"/>
        </w:rPr>
        <w:pict w14:anchorId="73B62E4C">
          <v:rect id="_x0000_s1029" style="position:absolute;left:0;text-align:left;margin-left:464.5pt;margin-top:8.05pt;width:75.05pt;height:12.45pt;z-index:251651584" o:allowincell="f" filled="f" stroked="f" strokecolor="lime" strokeweight=".25pt">
            <v:textbox inset="0,0,0,0">
              <w:txbxContent>
                <w:p w14:paraId="25284659" w14:textId="77777777" w:rsidR="00540E88" w:rsidRDefault="00540E88">
                  <w:pPr>
                    <w:spacing w:line="160" w:lineRule="exact"/>
                    <w:jc w:val="left"/>
                    <w:rPr>
                      <w:rFonts w:cs="Miriam"/>
                      <w:noProof/>
                      <w:szCs w:val="18"/>
                      <w:rtl/>
                    </w:rPr>
                  </w:pPr>
                  <w:r>
                    <w:rPr>
                      <w:rFonts w:cs="Miriam"/>
                      <w:szCs w:val="18"/>
                      <w:rtl/>
                    </w:rPr>
                    <w:t>ח</w:t>
                  </w:r>
                  <w:r>
                    <w:rPr>
                      <w:rFonts w:cs="Miriam" w:hint="cs"/>
                      <w:szCs w:val="18"/>
                      <w:rtl/>
                    </w:rPr>
                    <w:t>תי</w:t>
                  </w:r>
                  <w:r>
                    <w:rPr>
                      <w:rFonts w:cs="Miriam"/>
                      <w:szCs w:val="18"/>
                      <w:rtl/>
                    </w:rPr>
                    <w:t>מ</w:t>
                  </w:r>
                  <w:r>
                    <w:rPr>
                      <w:rFonts w:cs="Miriam" w:hint="cs"/>
                      <w:szCs w:val="18"/>
                      <w:rtl/>
                    </w:rPr>
                    <w:t>ת ה</w:t>
                  </w:r>
                  <w:r>
                    <w:rPr>
                      <w:rFonts w:cs="Miriam"/>
                      <w:szCs w:val="18"/>
                      <w:rtl/>
                    </w:rPr>
                    <w:t>ע</w:t>
                  </w:r>
                  <w:r>
                    <w:rPr>
                      <w:rFonts w:cs="Miriam" w:hint="cs"/>
                      <w:szCs w:val="18"/>
                      <w:rtl/>
                    </w:rPr>
                    <w:t>רר</w:t>
                  </w:r>
                </w:p>
              </w:txbxContent>
            </v:textbox>
            <w10:anchorlock/>
          </v:rect>
        </w:pict>
      </w:r>
      <w:r>
        <w:rPr>
          <w:rStyle w:val="big-number"/>
          <w:rFonts w:cs="Miriam"/>
          <w:rtl/>
        </w:rPr>
        <w:t>4.</w:t>
      </w:r>
      <w:r>
        <w:rPr>
          <w:rStyle w:val="big-number"/>
          <w:rFonts w:cs="Miriam"/>
          <w:rtl/>
        </w:rPr>
        <w:tab/>
      </w:r>
      <w:r>
        <w:rPr>
          <w:rStyle w:val="default"/>
          <w:rFonts w:cs="FrankRuehl"/>
          <w:rtl/>
        </w:rPr>
        <w:t>כ</w:t>
      </w:r>
      <w:r>
        <w:rPr>
          <w:rStyle w:val="default"/>
          <w:rFonts w:cs="FrankRuehl" w:hint="cs"/>
          <w:rtl/>
        </w:rPr>
        <w:t>תב הערר ייחתם ביד העורר או ביד בא כוחו.</w:t>
      </w:r>
    </w:p>
    <w:p w14:paraId="3032C10B" w14:textId="77777777" w:rsidR="00540E88" w:rsidRDefault="00540E88">
      <w:pPr>
        <w:pStyle w:val="P00"/>
        <w:spacing w:before="72"/>
        <w:ind w:left="0" w:right="1134"/>
        <w:rPr>
          <w:rStyle w:val="default"/>
          <w:rFonts w:cs="FrankRuehl"/>
          <w:rtl/>
        </w:rPr>
      </w:pPr>
      <w:bookmarkStart w:id="4" w:name="Seif4"/>
      <w:bookmarkEnd w:id="4"/>
      <w:r>
        <w:rPr>
          <w:lang w:val="he-IL"/>
        </w:rPr>
        <w:pict w14:anchorId="2F1B21E8">
          <v:rect id="_x0000_s1030" style="position:absolute;left:0;text-align:left;margin-left:464.5pt;margin-top:8.05pt;width:75.05pt;height:14.95pt;z-index:251652608" o:allowincell="f" filled="f" stroked="f" strokecolor="lime" strokeweight=".25pt">
            <v:textbox inset="0,0,0,0">
              <w:txbxContent>
                <w:p w14:paraId="74F05E99" w14:textId="77777777" w:rsidR="00540E88" w:rsidRDefault="00540E88">
                  <w:pPr>
                    <w:spacing w:line="160" w:lineRule="exact"/>
                    <w:jc w:val="left"/>
                    <w:rPr>
                      <w:rFonts w:cs="Miriam"/>
                      <w:noProof/>
                      <w:szCs w:val="18"/>
                      <w:rtl/>
                    </w:rPr>
                  </w:pPr>
                  <w:r>
                    <w:rPr>
                      <w:rFonts w:cs="Miriam"/>
                      <w:szCs w:val="18"/>
                      <w:rtl/>
                    </w:rPr>
                    <w:t>ע</w:t>
                  </w:r>
                  <w:r>
                    <w:rPr>
                      <w:rFonts w:cs="Miriam" w:hint="cs"/>
                      <w:szCs w:val="18"/>
                      <w:rtl/>
                    </w:rPr>
                    <w:t>ותק למשיב</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וגש כתב ערר יישלח למשיב עותק אחד של כתב הערר.</w:t>
      </w:r>
    </w:p>
    <w:p w14:paraId="26248CCD" w14:textId="77777777" w:rsidR="00540E88" w:rsidRDefault="00540E88">
      <w:pPr>
        <w:pStyle w:val="P00"/>
        <w:spacing w:before="72"/>
        <w:ind w:left="0" w:right="1134"/>
        <w:rPr>
          <w:rStyle w:val="default"/>
          <w:rFonts w:cs="FrankRuehl"/>
          <w:rtl/>
        </w:rPr>
      </w:pPr>
      <w:bookmarkStart w:id="5" w:name="Seif5"/>
      <w:bookmarkEnd w:id="5"/>
      <w:r>
        <w:rPr>
          <w:lang w:val="he-IL"/>
        </w:rPr>
        <w:pict w14:anchorId="3EF08458">
          <v:rect id="_x0000_s1031" style="position:absolute;left:0;text-align:left;margin-left:464.5pt;margin-top:8.05pt;width:75.05pt;height:17.45pt;z-index:251653632" o:allowincell="f" filled="f" stroked="f" strokecolor="lime" strokeweight=".25pt">
            <v:textbox inset="0,0,0,0">
              <w:txbxContent>
                <w:p w14:paraId="346BF902" w14:textId="77777777" w:rsidR="00540E88" w:rsidRDefault="00540E88">
                  <w:pPr>
                    <w:spacing w:line="160" w:lineRule="exact"/>
                    <w:jc w:val="left"/>
                    <w:rPr>
                      <w:rFonts w:cs="Miriam"/>
                      <w:noProof/>
                      <w:szCs w:val="18"/>
                      <w:rtl/>
                    </w:rPr>
                  </w:pPr>
                  <w:r>
                    <w:rPr>
                      <w:rFonts w:cs="Miriam"/>
                      <w:szCs w:val="18"/>
                      <w:rtl/>
                    </w:rPr>
                    <w:t>ק</w:t>
                  </w:r>
                  <w:r>
                    <w:rPr>
                      <w:rFonts w:cs="Miriam" w:hint="cs"/>
                      <w:szCs w:val="18"/>
                      <w:rtl/>
                    </w:rPr>
                    <w:t>ביעת מועד לשמי</w:t>
                  </w:r>
                  <w:r>
                    <w:rPr>
                      <w:rFonts w:cs="Miriam"/>
                      <w:szCs w:val="18"/>
                      <w:rtl/>
                    </w:rPr>
                    <w:t>ע</w:t>
                  </w:r>
                  <w:r>
                    <w:rPr>
                      <w:rFonts w:cs="Miriam" w:hint="cs"/>
                      <w:szCs w:val="18"/>
                      <w:rtl/>
                    </w:rPr>
                    <w:t>ת הערר</w:t>
                  </w:r>
                </w:p>
              </w:txbxContent>
            </v:textbox>
            <w10:anchorlock/>
          </v:rect>
        </w:pict>
      </w:r>
      <w:r>
        <w:rPr>
          <w:rStyle w:val="big-number"/>
          <w:rFonts w:cs="Miriam"/>
          <w:rtl/>
        </w:rPr>
        <w:t>6.</w:t>
      </w:r>
      <w:r>
        <w:rPr>
          <w:rStyle w:val="big-number"/>
          <w:rFonts w:cs="Miriam"/>
          <w:rtl/>
        </w:rPr>
        <w:tab/>
      </w:r>
      <w:r>
        <w:rPr>
          <w:rStyle w:val="default"/>
          <w:rFonts w:cs="FrankRuehl"/>
          <w:rtl/>
        </w:rPr>
        <w:t>י</w:t>
      </w:r>
      <w:r>
        <w:rPr>
          <w:rStyle w:val="default"/>
          <w:rFonts w:cs="FrankRuehl" w:hint="cs"/>
          <w:rtl/>
        </w:rPr>
        <w:t>ושב ראש הועדה יקבע מועד לשמירת הערר; הזמנות יישלחו לעורר ולמשיב לפחות חמישה ימים לפני המועד האמור.</w:t>
      </w:r>
    </w:p>
    <w:p w14:paraId="633A6B17" w14:textId="77777777" w:rsidR="00540E88" w:rsidRDefault="00540E88">
      <w:pPr>
        <w:pStyle w:val="P00"/>
        <w:spacing w:before="72"/>
        <w:ind w:left="0" w:right="1134"/>
        <w:rPr>
          <w:rStyle w:val="default"/>
          <w:rFonts w:cs="FrankRuehl"/>
          <w:rtl/>
        </w:rPr>
      </w:pPr>
      <w:bookmarkStart w:id="6" w:name="Seif6"/>
      <w:bookmarkEnd w:id="6"/>
      <w:r>
        <w:rPr>
          <w:lang w:val="he-IL"/>
        </w:rPr>
        <w:pict w14:anchorId="2C11ED40">
          <v:rect id="_x0000_s1032" style="position:absolute;left:0;text-align:left;margin-left:464.5pt;margin-top:8.05pt;width:75.05pt;height:23.7pt;z-index:251654656" o:allowincell="f" filled="f" stroked="f" strokecolor="lime" strokeweight=".25pt">
            <v:textbox inset="0,0,0,0">
              <w:txbxContent>
                <w:p w14:paraId="053DA87C" w14:textId="77777777" w:rsidR="00540E88" w:rsidRDefault="00540E88">
                  <w:pPr>
                    <w:spacing w:line="160" w:lineRule="exact"/>
                    <w:jc w:val="left"/>
                    <w:rPr>
                      <w:rFonts w:cs="Miriam"/>
                      <w:noProof/>
                      <w:szCs w:val="18"/>
                      <w:rtl/>
                    </w:rPr>
                  </w:pPr>
                  <w:r>
                    <w:rPr>
                      <w:rFonts w:cs="Miriam"/>
                      <w:szCs w:val="18"/>
                      <w:rtl/>
                    </w:rPr>
                    <w:t>י</w:t>
                  </w:r>
                  <w:r>
                    <w:rPr>
                      <w:rFonts w:cs="Miriam" w:hint="cs"/>
                      <w:szCs w:val="18"/>
                      <w:rtl/>
                    </w:rPr>
                    <w:t>יצוג על</w:t>
                  </w:r>
                  <w:r>
                    <w:rPr>
                      <w:rFonts w:cs="Miriam"/>
                      <w:szCs w:val="18"/>
                      <w:rtl/>
                    </w:rPr>
                    <w:t xml:space="preserve"> </w:t>
                  </w:r>
                  <w:r>
                    <w:rPr>
                      <w:rFonts w:cs="Miriam" w:hint="cs"/>
                      <w:szCs w:val="18"/>
                      <w:rtl/>
                    </w:rPr>
                    <w:t>ידי</w:t>
                  </w:r>
                  <w:r>
                    <w:rPr>
                      <w:rFonts w:cs="Miriam"/>
                      <w:szCs w:val="18"/>
                      <w:rtl/>
                    </w:rPr>
                    <w:t xml:space="preserve"> </w:t>
                  </w:r>
                  <w:r>
                    <w:rPr>
                      <w:rFonts w:cs="Miriam" w:hint="cs"/>
                      <w:szCs w:val="18"/>
                      <w:rtl/>
                    </w:rPr>
                    <w:t>היועץ המשפטי לממשלה</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ממונה על השמירה כאמור בסעיף 5(ב) לחוק יכול להיות מיוצג לפני הועדה על ידי היועץ המשפטי לממשלה או בא כוחו.</w:t>
      </w:r>
    </w:p>
    <w:p w14:paraId="532B2A4B" w14:textId="77777777" w:rsidR="00540E88" w:rsidRDefault="00540E88">
      <w:pPr>
        <w:pStyle w:val="P00"/>
        <w:spacing w:before="72"/>
        <w:ind w:left="0" w:right="1134"/>
        <w:rPr>
          <w:rStyle w:val="default"/>
          <w:rFonts w:cs="FrankRuehl"/>
          <w:rtl/>
        </w:rPr>
      </w:pPr>
      <w:bookmarkStart w:id="7" w:name="Seif7"/>
      <w:bookmarkEnd w:id="7"/>
      <w:r>
        <w:rPr>
          <w:lang w:val="he-IL"/>
        </w:rPr>
        <w:pict w14:anchorId="46C77C74">
          <v:rect id="_x0000_s1033" style="position:absolute;left:0;text-align:left;margin-left:464.5pt;margin-top:8.05pt;width:75.05pt;height:13.2pt;z-index:251655680" o:allowincell="f" filled="f" stroked="f" strokecolor="lime" strokeweight=".25pt">
            <v:textbox inset="0,0,0,0">
              <w:txbxContent>
                <w:p w14:paraId="175F36AB" w14:textId="77777777" w:rsidR="00540E88" w:rsidRDefault="00540E88">
                  <w:pPr>
                    <w:spacing w:line="160" w:lineRule="exact"/>
                    <w:jc w:val="left"/>
                    <w:rPr>
                      <w:rFonts w:cs="Miriam"/>
                      <w:noProof/>
                      <w:szCs w:val="18"/>
                      <w:rtl/>
                    </w:rPr>
                  </w:pPr>
                  <w:r>
                    <w:rPr>
                      <w:rFonts w:cs="Miriam"/>
                      <w:szCs w:val="18"/>
                      <w:rtl/>
                    </w:rPr>
                    <w:t>ש</w:t>
                  </w:r>
                  <w:r>
                    <w:rPr>
                      <w:rFonts w:cs="Miriam" w:hint="cs"/>
                      <w:szCs w:val="18"/>
                      <w:rtl/>
                    </w:rPr>
                    <w:t>מיעת הערר</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ועדה תשמע תחילה את טענות העורר ולאחר מכן את טענות המשיב; הועדה רשאית, ככל שהדבר ייראה לה, להתיר לעורר להש</w:t>
      </w:r>
      <w:r>
        <w:rPr>
          <w:rStyle w:val="default"/>
          <w:rFonts w:cs="FrankRuehl"/>
          <w:rtl/>
        </w:rPr>
        <w:t>י</w:t>
      </w:r>
      <w:r>
        <w:rPr>
          <w:rStyle w:val="default"/>
          <w:rFonts w:cs="FrankRuehl" w:hint="cs"/>
          <w:rtl/>
        </w:rPr>
        <w:t>ב לטענות המשיב.</w:t>
      </w:r>
    </w:p>
    <w:p w14:paraId="3A027063" w14:textId="77777777" w:rsidR="00540E88" w:rsidRDefault="00540E88">
      <w:pPr>
        <w:pStyle w:val="P00"/>
        <w:spacing w:before="72"/>
        <w:ind w:left="0" w:right="1134"/>
        <w:rPr>
          <w:rStyle w:val="default"/>
          <w:rFonts w:cs="FrankRuehl"/>
          <w:rtl/>
        </w:rPr>
      </w:pPr>
      <w:bookmarkStart w:id="8" w:name="Seif8"/>
      <w:bookmarkEnd w:id="8"/>
      <w:r>
        <w:rPr>
          <w:lang w:val="he-IL"/>
        </w:rPr>
        <w:pict w14:anchorId="6DFE3D90">
          <v:rect id="_x0000_s1034" style="position:absolute;left:0;text-align:left;margin-left:464.5pt;margin-top:8.05pt;width:75.05pt;height:13.85pt;z-index:251656704" o:allowincell="f" filled="f" stroked="f" strokecolor="lime" strokeweight=".25pt">
            <v:textbox inset="0,0,0,0">
              <w:txbxContent>
                <w:p w14:paraId="1ADB3FE6" w14:textId="77777777" w:rsidR="00540E88" w:rsidRDefault="00540E88">
                  <w:pPr>
                    <w:spacing w:line="160" w:lineRule="exact"/>
                    <w:jc w:val="left"/>
                    <w:rPr>
                      <w:rFonts w:cs="Miriam"/>
                      <w:noProof/>
                      <w:szCs w:val="18"/>
                      <w:rtl/>
                    </w:rPr>
                  </w:pPr>
                  <w:r>
                    <w:rPr>
                      <w:rFonts w:cs="Miriam"/>
                      <w:szCs w:val="18"/>
                      <w:rtl/>
                    </w:rPr>
                    <w:t>ה</w:t>
                  </w:r>
                  <w:r>
                    <w:rPr>
                      <w:rFonts w:cs="Miriam" w:hint="cs"/>
                      <w:szCs w:val="18"/>
                      <w:rtl/>
                    </w:rPr>
                    <w:t>תייצבות בעלי הדין</w:t>
                  </w:r>
                </w:p>
              </w:txbxContent>
            </v:textbox>
            <w10:anchorlock/>
          </v:rect>
        </w:pict>
      </w:r>
      <w:r>
        <w:rPr>
          <w:rStyle w:val="big-number"/>
          <w:rFonts w:cs="Miriam"/>
          <w:rtl/>
        </w:rPr>
        <w:t>9.</w:t>
      </w:r>
      <w:r>
        <w:rPr>
          <w:rStyle w:val="big-number"/>
          <w:rFonts w:cs="Miriam"/>
          <w:rtl/>
        </w:rPr>
        <w:tab/>
      </w:r>
      <w:r>
        <w:rPr>
          <w:rStyle w:val="default"/>
          <w:rFonts w:cs="FrankRuehl"/>
          <w:rtl/>
        </w:rPr>
        <w:t>ל</w:t>
      </w:r>
      <w:r>
        <w:rPr>
          <w:rStyle w:val="default"/>
          <w:rFonts w:cs="FrankRuehl" w:hint="cs"/>
          <w:rtl/>
        </w:rPr>
        <w:t>א התייצב אחד מבעלי הדין לפני הועדה במועד הקבוע לשמיעת הערר והוכח שההזמנה נמסרה לו, רשאית הועדה לדון בערר ולהחליט שלא בפניו.</w:t>
      </w:r>
    </w:p>
    <w:p w14:paraId="0A9E6A73" w14:textId="77777777" w:rsidR="00540E88" w:rsidRDefault="00540E88">
      <w:pPr>
        <w:pStyle w:val="P00"/>
        <w:spacing w:before="72"/>
        <w:ind w:left="0" w:right="1134"/>
        <w:rPr>
          <w:rStyle w:val="default"/>
          <w:rFonts w:cs="FrankRuehl"/>
          <w:rtl/>
        </w:rPr>
      </w:pPr>
      <w:bookmarkStart w:id="9" w:name="Seif9"/>
      <w:bookmarkEnd w:id="9"/>
      <w:r>
        <w:rPr>
          <w:lang w:val="he-IL"/>
        </w:rPr>
        <w:pict w14:anchorId="4D8CABD5">
          <v:rect id="_x0000_s1035" style="position:absolute;left:0;text-align:left;margin-left:464.5pt;margin-top:8.05pt;width:75.05pt;height:14.55pt;z-index:251657728" o:allowincell="f" filled="f" stroked="f" strokecolor="lime" strokeweight=".25pt">
            <v:textbox inset="0,0,0,0">
              <w:txbxContent>
                <w:p w14:paraId="710BF122" w14:textId="77777777" w:rsidR="00540E88" w:rsidRDefault="00540E88">
                  <w:pPr>
                    <w:spacing w:line="160" w:lineRule="exact"/>
                    <w:jc w:val="left"/>
                    <w:rPr>
                      <w:rFonts w:cs="Miriam"/>
                      <w:noProof/>
                      <w:szCs w:val="18"/>
                      <w:rtl/>
                    </w:rPr>
                  </w:pPr>
                  <w:r>
                    <w:rPr>
                      <w:rFonts w:cs="Miriam"/>
                      <w:szCs w:val="18"/>
                      <w:rtl/>
                    </w:rPr>
                    <w:t>ד</w:t>
                  </w:r>
                  <w:r>
                    <w:rPr>
                      <w:rFonts w:cs="Miriam" w:hint="cs"/>
                      <w:szCs w:val="18"/>
                      <w:rtl/>
                    </w:rPr>
                    <w:t>חיית הדיון</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ועדה רשאית לדחות את שמיעת הערר למועד אחר, ומשהתחילה בשמיעתו, לדחות את</w:t>
      </w:r>
      <w:r>
        <w:rPr>
          <w:rStyle w:val="default"/>
          <w:rFonts w:cs="FrankRuehl"/>
          <w:rtl/>
        </w:rPr>
        <w:t xml:space="preserve"> </w:t>
      </w:r>
      <w:r>
        <w:rPr>
          <w:rStyle w:val="default"/>
          <w:rFonts w:cs="FrankRuehl" w:hint="cs"/>
          <w:rtl/>
        </w:rPr>
        <w:t>המשך הדיון בו, אם הדחיה דרושה, לדעתה, למען הצדק.</w:t>
      </w:r>
    </w:p>
    <w:p w14:paraId="7A666124" w14:textId="77777777" w:rsidR="00540E88" w:rsidRDefault="00540E88">
      <w:pPr>
        <w:pStyle w:val="P00"/>
        <w:spacing w:before="72"/>
        <w:ind w:left="0" w:right="1134"/>
        <w:rPr>
          <w:rStyle w:val="default"/>
          <w:rFonts w:cs="FrankRuehl"/>
          <w:rtl/>
        </w:rPr>
      </w:pPr>
      <w:bookmarkStart w:id="10" w:name="Seif10"/>
      <w:bookmarkEnd w:id="10"/>
      <w:r>
        <w:rPr>
          <w:lang w:val="he-IL"/>
        </w:rPr>
        <w:pict w14:anchorId="28A8E139">
          <v:rect id="_x0000_s1036" style="position:absolute;left:0;text-align:left;margin-left:464.5pt;margin-top:8.05pt;width:75.05pt;height:15.2pt;z-index:251658752" o:allowincell="f" filled="f" stroked="f" strokecolor="lime" strokeweight=".25pt">
            <v:textbox inset="0,0,0,0">
              <w:txbxContent>
                <w:p w14:paraId="0369A0B6" w14:textId="77777777" w:rsidR="00540E88" w:rsidRDefault="00540E88">
                  <w:pPr>
                    <w:spacing w:line="160" w:lineRule="exact"/>
                    <w:jc w:val="left"/>
                    <w:rPr>
                      <w:rFonts w:cs="Miriam"/>
                      <w:noProof/>
                      <w:szCs w:val="18"/>
                      <w:rtl/>
                    </w:rPr>
                  </w:pPr>
                  <w:r>
                    <w:rPr>
                      <w:rFonts w:cs="Miriam"/>
                      <w:szCs w:val="18"/>
                      <w:rtl/>
                    </w:rPr>
                    <w:t>ה</w:t>
                  </w:r>
                  <w:r>
                    <w:rPr>
                      <w:rFonts w:cs="Miriam" w:hint="cs"/>
                      <w:szCs w:val="18"/>
                      <w:rtl/>
                    </w:rPr>
                    <w:t>גשת תצהיר</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ועדה רשאית לדרוש מבעל דין שיגיש לה תצהיר לאימות העובדות שעליהן הוא מסתמך.</w:t>
      </w:r>
    </w:p>
    <w:p w14:paraId="44A99817" w14:textId="77777777" w:rsidR="00540E88" w:rsidRDefault="00540E88">
      <w:pPr>
        <w:pStyle w:val="P00"/>
        <w:spacing w:before="72"/>
        <w:ind w:left="0" w:right="1134"/>
        <w:rPr>
          <w:rStyle w:val="default"/>
          <w:rFonts w:cs="FrankRuehl"/>
          <w:rtl/>
        </w:rPr>
      </w:pPr>
      <w:bookmarkStart w:id="11" w:name="Seif11"/>
      <w:bookmarkEnd w:id="11"/>
      <w:r>
        <w:rPr>
          <w:lang w:val="he-IL"/>
        </w:rPr>
        <w:pict w14:anchorId="71D50F30">
          <v:rect id="_x0000_s1037" style="position:absolute;left:0;text-align:left;margin-left:464.5pt;margin-top:8.05pt;width:75.05pt;height:23.3pt;z-index:251659776" o:allowincell="f" filled="f" stroked="f" strokecolor="lime" strokeweight=".25pt">
            <v:textbox inset="0,0,0,0">
              <w:txbxContent>
                <w:p w14:paraId="72629A3B" w14:textId="77777777" w:rsidR="00540E88" w:rsidRDefault="00540E88">
                  <w:pPr>
                    <w:spacing w:line="160" w:lineRule="exact"/>
                    <w:jc w:val="left"/>
                    <w:rPr>
                      <w:rFonts w:cs="Miriam"/>
                      <w:noProof/>
                      <w:szCs w:val="18"/>
                      <w:rtl/>
                    </w:rPr>
                  </w:pPr>
                  <w:r>
                    <w:rPr>
                      <w:rFonts w:cs="Miriam"/>
                      <w:szCs w:val="18"/>
                      <w:rtl/>
                    </w:rPr>
                    <w:t>הת</w:t>
                  </w:r>
                  <w:r>
                    <w:rPr>
                      <w:rFonts w:cs="Miriam" w:hint="cs"/>
                      <w:szCs w:val="18"/>
                      <w:rtl/>
                    </w:rPr>
                    <w:t>ייצ</w:t>
                  </w:r>
                  <w:r>
                    <w:rPr>
                      <w:rFonts w:cs="Miriam"/>
                      <w:szCs w:val="18"/>
                      <w:rtl/>
                    </w:rPr>
                    <w:t>ב</w:t>
                  </w:r>
                  <w:r>
                    <w:rPr>
                      <w:rFonts w:cs="Miriam" w:hint="cs"/>
                      <w:szCs w:val="18"/>
                      <w:rtl/>
                    </w:rPr>
                    <w:t xml:space="preserve">ות </w:t>
                  </w:r>
                  <w:r>
                    <w:rPr>
                      <w:rFonts w:cs="Miriam"/>
                      <w:szCs w:val="18"/>
                      <w:rtl/>
                    </w:rPr>
                    <w:t>ל</w:t>
                  </w:r>
                  <w:r>
                    <w:rPr>
                      <w:rFonts w:cs="Miriam" w:hint="cs"/>
                      <w:szCs w:val="18"/>
                      <w:rtl/>
                    </w:rPr>
                    <w:t>חקירה שכנגד</w:t>
                  </w:r>
                </w:p>
              </w:txbxContent>
            </v:textbox>
            <w10:anchorlock/>
          </v:rect>
        </w:pict>
      </w:r>
      <w:r>
        <w:rPr>
          <w:rStyle w:val="big-number"/>
          <w:rFonts w:cs="Miriam"/>
          <w:rtl/>
        </w:rPr>
        <w:t>12.</w:t>
      </w:r>
      <w:r>
        <w:rPr>
          <w:rStyle w:val="big-number"/>
          <w:rFonts w:cs="Miriam"/>
          <w:rtl/>
        </w:rPr>
        <w:tab/>
      </w:r>
      <w:r>
        <w:rPr>
          <w:rStyle w:val="default"/>
          <w:rFonts w:cs="FrankRuehl"/>
          <w:rtl/>
        </w:rPr>
        <w:t>ר</w:t>
      </w:r>
      <w:r>
        <w:rPr>
          <w:rStyle w:val="default"/>
          <w:rFonts w:cs="FrankRuehl" w:hint="cs"/>
          <w:rtl/>
        </w:rPr>
        <w:t>צה אחד מבעלי הדין לחקור חקירה שכנגד אדם שמסר תצהיר בהתאם לתקנה 11, יודיע על כך בכתב לבעל הדין השני שלושה ימים לפחות לפני מועד השמיעה וימסור העתק של הודעתו ליושב ראש הועדה.</w:t>
      </w:r>
    </w:p>
    <w:p w14:paraId="393C877E" w14:textId="77777777" w:rsidR="00540E88" w:rsidRDefault="00540E88">
      <w:pPr>
        <w:pStyle w:val="P00"/>
        <w:spacing w:before="72"/>
        <w:ind w:left="0" w:right="1134"/>
        <w:rPr>
          <w:rStyle w:val="default"/>
          <w:rFonts w:cs="FrankRuehl"/>
          <w:rtl/>
        </w:rPr>
      </w:pPr>
      <w:bookmarkStart w:id="12" w:name="Seif12"/>
      <w:bookmarkEnd w:id="12"/>
      <w:r>
        <w:rPr>
          <w:lang w:val="he-IL"/>
        </w:rPr>
        <w:pict w14:anchorId="15B48938">
          <v:rect id="_x0000_s1038" style="position:absolute;left:0;text-align:left;margin-left:464.5pt;margin-top:8.05pt;width:75.05pt;height:11pt;z-index:251660800" o:allowincell="f" filled="f" stroked="f" strokecolor="lime" strokeweight=".25pt">
            <v:textbox inset="0,0,0,0">
              <w:txbxContent>
                <w:p w14:paraId="2F271A77" w14:textId="77777777" w:rsidR="00540E88" w:rsidRDefault="00540E88">
                  <w:pPr>
                    <w:spacing w:line="160" w:lineRule="exact"/>
                    <w:jc w:val="left"/>
                    <w:rPr>
                      <w:rFonts w:cs="Miriam"/>
                      <w:noProof/>
                      <w:szCs w:val="18"/>
                      <w:rtl/>
                    </w:rPr>
                  </w:pPr>
                  <w:r>
                    <w:rPr>
                      <w:rFonts w:cs="Miriam"/>
                      <w:szCs w:val="18"/>
                      <w:rtl/>
                    </w:rPr>
                    <w:t>ת</w:t>
                  </w:r>
                  <w:r>
                    <w:rPr>
                      <w:rFonts w:cs="Miriam" w:hint="cs"/>
                      <w:szCs w:val="18"/>
                      <w:rtl/>
                    </w:rPr>
                    <w:t>צהיר כראיה</w:t>
                  </w:r>
                </w:p>
              </w:txbxContent>
            </v:textbox>
            <w10:anchorlock/>
          </v:rect>
        </w:pict>
      </w:r>
      <w:r>
        <w:rPr>
          <w:rStyle w:val="big-number"/>
          <w:rFonts w:cs="Miriam"/>
          <w:rtl/>
        </w:rPr>
        <w:t>13.</w:t>
      </w:r>
      <w:r>
        <w:rPr>
          <w:rStyle w:val="big-number"/>
          <w:rFonts w:cs="Miriam"/>
          <w:rtl/>
        </w:rPr>
        <w:tab/>
      </w:r>
      <w:r>
        <w:rPr>
          <w:rStyle w:val="default"/>
          <w:rFonts w:cs="FrankRuehl"/>
          <w:rtl/>
        </w:rPr>
        <w:t>ה</w:t>
      </w:r>
      <w:r>
        <w:rPr>
          <w:rStyle w:val="default"/>
          <w:rFonts w:cs="FrankRuehl" w:hint="cs"/>
          <w:rtl/>
        </w:rPr>
        <w:t xml:space="preserve">ודיע אחד מבעלי הדין כאמור בתקנה 12, לא </w:t>
      </w:r>
      <w:r>
        <w:rPr>
          <w:rStyle w:val="default"/>
          <w:rFonts w:cs="FrankRuehl"/>
          <w:rtl/>
        </w:rPr>
        <w:t>י</w:t>
      </w:r>
      <w:r>
        <w:rPr>
          <w:rStyle w:val="default"/>
          <w:rFonts w:cs="FrankRuehl" w:hint="cs"/>
          <w:rtl/>
        </w:rPr>
        <w:t>שמש התצהיר שעליו ניתנה ההודעה ראיה, אלא אם היה המצהיר נוכח בשמיעת הערר כשהוא מוכן לחקירה שכנגד זולת אם היתה הועדה משוכנעת שקבלת התצהיר דרושה למען הצדק.</w:t>
      </w:r>
    </w:p>
    <w:p w14:paraId="6226BE25" w14:textId="77777777" w:rsidR="00540E88" w:rsidRDefault="00540E88">
      <w:pPr>
        <w:pStyle w:val="P00"/>
        <w:spacing w:before="72"/>
        <w:ind w:left="0" w:right="1134"/>
        <w:rPr>
          <w:rStyle w:val="default"/>
          <w:rFonts w:cs="FrankRuehl"/>
          <w:rtl/>
        </w:rPr>
      </w:pPr>
      <w:bookmarkStart w:id="13" w:name="Seif13"/>
      <w:bookmarkEnd w:id="13"/>
      <w:r>
        <w:rPr>
          <w:lang w:val="he-IL"/>
        </w:rPr>
        <w:pict w14:anchorId="4A00E8A8">
          <v:rect id="_x0000_s1039" style="position:absolute;left:0;text-align:left;margin-left:464.5pt;margin-top:8.05pt;width:75.05pt;height:13.5pt;z-index:251661824" o:allowincell="f" filled="f" stroked="f" strokecolor="lime" strokeweight=".25pt">
            <v:textbox inset="0,0,0,0">
              <w:txbxContent>
                <w:p w14:paraId="4C486A65" w14:textId="77777777" w:rsidR="00540E88" w:rsidRDefault="00540E88">
                  <w:pPr>
                    <w:spacing w:line="160" w:lineRule="exact"/>
                    <w:jc w:val="left"/>
                    <w:rPr>
                      <w:rFonts w:cs="Miriam"/>
                      <w:noProof/>
                      <w:szCs w:val="18"/>
                      <w:rtl/>
                    </w:rPr>
                  </w:pPr>
                  <w:r>
                    <w:rPr>
                      <w:rFonts w:cs="Miriam"/>
                      <w:szCs w:val="18"/>
                      <w:rtl/>
                    </w:rPr>
                    <w:t>פ</w:t>
                  </w:r>
                  <w:r>
                    <w:rPr>
                      <w:rFonts w:cs="Miriam" w:hint="cs"/>
                      <w:szCs w:val="18"/>
                      <w:rtl/>
                    </w:rPr>
                    <w:t>רטים נוספים</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ועדה רשאית להורות לעורר או למשיב להגיש פרטים נוספים הדרושים לבירור הערר.</w:t>
      </w:r>
    </w:p>
    <w:p w14:paraId="03597553" w14:textId="77777777" w:rsidR="00540E88" w:rsidRDefault="00540E88">
      <w:pPr>
        <w:pStyle w:val="P00"/>
        <w:spacing w:before="72"/>
        <w:ind w:left="0" w:right="1134"/>
        <w:rPr>
          <w:rStyle w:val="default"/>
          <w:rFonts w:cs="FrankRuehl"/>
          <w:rtl/>
        </w:rPr>
      </w:pPr>
      <w:bookmarkStart w:id="14" w:name="Seif14"/>
      <w:bookmarkEnd w:id="14"/>
      <w:r>
        <w:rPr>
          <w:lang w:val="he-IL"/>
        </w:rPr>
        <w:pict w14:anchorId="1FEA6188">
          <v:rect id="_x0000_s1040" style="position:absolute;left:0;text-align:left;margin-left:464.5pt;margin-top:8.05pt;width:75.05pt;height:16pt;z-index:251662848" o:allowincell="f" filled="f" stroked="f" strokecolor="lime" strokeweight=".25pt">
            <v:textbox inset="0,0,0,0">
              <w:txbxContent>
                <w:p w14:paraId="0A9AB28F" w14:textId="77777777" w:rsidR="00540E88" w:rsidRDefault="00540E88">
                  <w:pPr>
                    <w:spacing w:line="160" w:lineRule="exact"/>
                    <w:jc w:val="left"/>
                    <w:rPr>
                      <w:rFonts w:cs="Miriam"/>
                      <w:noProof/>
                      <w:szCs w:val="18"/>
                      <w:rtl/>
                    </w:rPr>
                  </w:pPr>
                  <w:r>
                    <w:rPr>
                      <w:rFonts w:cs="Miriam"/>
                      <w:szCs w:val="18"/>
                      <w:rtl/>
                    </w:rPr>
                    <w:t>מו</w:t>
                  </w:r>
                  <w:r>
                    <w:rPr>
                      <w:rFonts w:cs="Miriam" w:hint="cs"/>
                      <w:szCs w:val="18"/>
                      <w:rtl/>
                    </w:rPr>
                    <w:t xml:space="preserve">עד למתן </w:t>
                  </w:r>
                  <w:r>
                    <w:rPr>
                      <w:rFonts w:cs="Miriam"/>
                      <w:szCs w:val="18"/>
                      <w:rtl/>
                    </w:rPr>
                    <w:t>ה</w:t>
                  </w:r>
                  <w:r>
                    <w:rPr>
                      <w:rFonts w:cs="Miriam" w:hint="cs"/>
                      <w:szCs w:val="18"/>
                      <w:rtl/>
                    </w:rPr>
                    <w:t>חלטה</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ועדה תדון ותפסוק בערר תוך שלושים יום מהיום שבו הוגש כתב הערר.</w:t>
      </w:r>
    </w:p>
    <w:p w14:paraId="19F6A980" w14:textId="77777777" w:rsidR="00540E88" w:rsidRDefault="00540E88">
      <w:pPr>
        <w:pStyle w:val="P00"/>
        <w:spacing w:before="72"/>
        <w:ind w:left="0" w:right="1134"/>
        <w:rPr>
          <w:rStyle w:val="default"/>
          <w:rFonts w:cs="FrankRuehl"/>
          <w:rtl/>
        </w:rPr>
      </w:pPr>
      <w:bookmarkStart w:id="15" w:name="Seif15"/>
      <w:bookmarkEnd w:id="15"/>
      <w:r>
        <w:rPr>
          <w:lang w:val="he-IL"/>
        </w:rPr>
        <w:pict w14:anchorId="7DAC527A">
          <v:rect id="_x0000_s1041" style="position:absolute;left:0;text-align:left;margin-left:464.5pt;margin-top:8.05pt;width:75.05pt;height:12.85pt;z-index:251663872" o:allowincell="f" filled="f" stroked="f" strokecolor="lime" strokeweight=".25pt">
            <v:textbox inset="0,0,0,0">
              <w:txbxContent>
                <w:p w14:paraId="5F263C4F" w14:textId="77777777" w:rsidR="00540E88" w:rsidRDefault="00540E88">
                  <w:pPr>
                    <w:spacing w:line="160" w:lineRule="exact"/>
                    <w:jc w:val="left"/>
                    <w:rPr>
                      <w:rFonts w:cs="Miriam"/>
                      <w:noProof/>
                      <w:szCs w:val="18"/>
                      <w:rtl/>
                    </w:rPr>
                  </w:pPr>
                  <w:r>
                    <w:rPr>
                      <w:rFonts w:cs="Miriam"/>
                      <w:szCs w:val="18"/>
                      <w:rtl/>
                    </w:rPr>
                    <w:t>ה</w:t>
                  </w:r>
                  <w:r>
                    <w:rPr>
                      <w:rFonts w:cs="Miriam" w:hint="cs"/>
                      <w:szCs w:val="18"/>
                      <w:rtl/>
                    </w:rPr>
                    <w:t>חלטת הועדה</w:t>
                  </w:r>
                </w:p>
              </w:txbxContent>
            </v:textbox>
            <w10:anchorlock/>
          </v:rect>
        </w:pict>
      </w:r>
      <w:r>
        <w:rPr>
          <w:rStyle w:val="big-number"/>
          <w:rFonts w:cs="Miriam"/>
          <w:rtl/>
        </w:rPr>
        <w:t>16.</w:t>
      </w:r>
      <w:r>
        <w:rPr>
          <w:rStyle w:val="big-number"/>
          <w:rFonts w:cs="Miriam"/>
          <w:rtl/>
        </w:rPr>
        <w:tab/>
      </w:r>
      <w:r>
        <w:rPr>
          <w:rStyle w:val="default"/>
          <w:rFonts w:cs="FrankRuehl"/>
          <w:rtl/>
        </w:rPr>
        <w:t>ה</w:t>
      </w:r>
      <w:r>
        <w:rPr>
          <w:rStyle w:val="default"/>
          <w:rFonts w:cs="FrankRuehl" w:hint="cs"/>
          <w:rtl/>
        </w:rPr>
        <w:t>חלטת הועדה תיערך בכתב ותיחתם ביד היושב ראש ושני חבריה.</w:t>
      </w:r>
    </w:p>
    <w:p w14:paraId="26D15DC1" w14:textId="77777777" w:rsidR="00540E88" w:rsidRDefault="00540E88">
      <w:pPr>
        <w:pStyle w:val="P00"/>
        <w:spacing w:before="72"/>
        <w:ind w:left="0" w:right="1134"/>
        <w:rPr>
          <w:rStyle w:val="default"/>
          <w:rFonts w:cs="FrankRuehl"/>
          <w:rtl/>
        </w:rPr>
      </w:pPr>
      <w:bookmarkStart w:id="16" w:name="Seif16"/>
      <w:bookmarkEnd w:id="16"/>
      <w:r>
        <w:rPr>
          <w:lang w:val="he-IL"/>
        </w:rPr>
        <w:lastRenderedPageBreak/>
        <w:pict w14:anchorId="56E51BBD">
          <v:rect id="_x0000_s1042" style="position:absolute;left:0;text-align:left;margin-left:464.5pt;margin-top:8.05pt;width:75.05pt;height:20.9pt;z-index:251664896" o:allowincell="f" filled="f" stroked="f" strokecolor="lime" strokeweight=".25pt">
            <v:textbox inset="0,0,0,0">
              <w:txbxContent>
                <w:p w14:paraId="54AC5C36" w14:textId="77777777" w:rsidR="00540E88" w:rsidRDefault="00540E88">
                  <w:pPr>
                    <w:spacing w:line="160" w:lineRule="exact"/>
                    <w:jc w:val="left"/>
                    <w:rPr>
                      <w:rFonts w:cs="Miriam"/>
                      <w:noProof/>
                      <w:szCs w:val="18"/>
                      <w:rtl/>
                    </w:rPr>
                  </w:pPr>
                  <w:r>
                    <w:rPr>
                      <w:rFonts w:cs="Miriam"/>
                      <w:szCs w:val="18"/>
                      <w:rtl/>
                    </w:rPr>
                    <w:t>מ</w:t>
                  </w:r>
                  <w:r>
                    <w:rPr>
                      <w:rFonts w:cs="Miriam" w:hint="cs"/>
                      <w:szCs w:val="18"/>
                      <w:rtl/>
                    </w:rPr>
                    <w:t xml:space="preserve">סירת העתק </w:t>
                  </w:r>
                  <w:r>
                    <w:rPr>
                      <w:rFonts w:cs="Miriam"/>
                      <w:szCs w:val="18"/>
                      <w:rtl/>
                    </w:rPr>
                    <w:t>ה</w:t>
                  </w:r>
                  <w:r>
                    <w:rPr>
                      <w:rFonts w:cs="Miriam" w:hint="cs"/>
                      <w:szCs w:val="18"/>
                      <w:rtl/>
                    </w:rPr>
                    <w:t>החלטה</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עתק מאושר של החלטת הועדה יישלח לעורר ולמשיב סמוך ככל האפשר למתן ההחלטה.</w:t>
      </w:r>
    </w:p>
    <w:p w14:paraId="49068F2D" w14:textId="77777777" w:rsidR="00540E88" w:rsidRDefault="00540E88">
      <w:pPr>
        <w:pStyle w:val="P00"/>
        <w:spacing w:before="72"/>
        <w:ind w:left="0" w:right="1134"/>
        <w:rPr>
          <w:rStyle w:val="default"/>
          <w:rFonts w:cs="FrankRuehl" w:hint="cs"/>
          <w:rtl/>
        </w:rPr>
      </w:pPr>
      <w:bookmarkStart w:id="17" w:name="Seif17"/>
      <w:bookmarkEnd w:id="17"/>
      <w:r>
        <w:rPr>
          <w:lang w:val="he-IL"/>
        </w:rPr>
        <w:pict w14:anchorId="2E660098">
          <v:rect id="_x0000_s1043" style="position:absolute;left:0;text-align:left;margin-left:464.5pt;margin-top:8.05pt;width:75.05pt;height:10.4pt;z-index:251665920" o:allowincell="f" filled="f" stroked="f" strokecolor="lime" strokeweight=".25pt">
            <v:textbox inset="0,0,0,0">
              <w:txbxContent>
                <w:p w14:paraId="6F60C4E9" w14:textId="77777777" w:rsidR="00540E88" w:rsidRDefault="00540E88">
                  <w:pPr>
                    <w:spacing w:line="160" w:lineRule="exact"/>
                    <w:jc w:val="left"/>
                    <w:rPr>
                      <w:rFonts w:cs="Miriam"/>
                      <w:noProof/>
                      <w:szCs w:val="18"/>
                      <w:rtl/>
                    </w:rPr>
                  </w:pPr>
                  <w:r>
                    <w:rPr>
                      <w:rFonts w:cs="Miriam"/>
                      <w:szCs w:val="18"/>
                      <w:rtl/>
                    </w:rPr>
                    <w:t>מ</w:t>
                  </w:r>
                  <w:r>
                    <w:rPr>
                      <w:rFonts w:cs="Miriam" w:hint="cs"/>
                      <w:szCs w:val="18"/>
                      <w:rtl/>
                    </w:rPr>
                    <w:t>יז</w:t>
                  </w:r>
                  <w:r>
                    <w:rPr>
                      <w:rFonts w:cs="Miriam"/>
                      <w:szCs w:val="18"/>
                      <w:rtl/>
                    </w:rPr>
                    <w:t>ו</w:t>
                  </w:r>
                  <w:r>
                    <w:rPr>
                      <w:rFonts w:cs="Miriam" w:hint="cs"/>
                      <w:szCs w:val="18"/>
                      <w:rtl/>
                    </w:rPr>
                    <w:t xml:space="preserve">ג </w:t>
                  </w:r>
                  <w:r>
                    <w:rPr>
                      <w:rFonts w:cs="Miriam"/>
                      <w:szCs w:val="18"/>
                      <w:rtl/>
                    </w:rPr>
                    <w:t>ע</w:t>
                  </w:r>
                  <w:r>
                    <w:rPr>
                      <w:rFonts w:cs="Miriam" w:hint="cs"/>
                      <w:szCs w:val="18"/>
                      <w:rtl/>
                    </w:rPr>
                    <w:t>ררים</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 xml:space="preserve">ועדה רשאית לאחד עררים התלויים ועומדים לפניה, לדון בהם במשותף ולתת החלטה אחת בכולם </w:t>
      </w:r>
      <w:r>
        <w:rPr>
          <w:rStyle w:val="default"/>
          <w:rFonts w:cs="FrankRuehl"/>
          <w:rtl/>
        </w:rPr>
        <w:t>–</w:t>
      </w:r>
    </w:p>
    <w:p w14:paraId="1BAF97ED" w14:textId="77777777" w:rsidR="00540E88" w:rsidRDefault="00540E8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העררים הוגשו על החלטה אחת, או</w:t>
      </w:r>
    </w:p>
    <w:p w14:paraId="3A642C20" w14:textId="77777777" w:rsidR="00540E88" w:rsidRDefault="00540E8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כרוכות בהם אותן בעיות משפטיות או עובדתיות, או בעיות משפטיות או עובדתיות דומות.</w:t>
      </w:r>
    </w:p>
    <w:p w14:paraId="2FFD96FA" w14:textId="77777777" w:rsidR="00540E88" w:rsidRDefault="00540E88">
      <w:pPr>
        <w:pStyle w:val="P00"/>
        <w:spacing w:before="72"/>
        <w:ind w:left="0" w:right="1134"/>
        <w:rPr>
          <w:rStyle w:val="default"/>
          <w:rFonts w:cs="FrankRuehl"/>
          <w:rtl/>
        </w:rPr>
      </w:pPr>
      <w:bookmarkStart w:id="18" w:name="Seif18"/>
      <w:bookmarkEnd w:id="18"/>
      <w:r>
        <w:rPr>
          <w:lang w:val="he-IL"/>
        </w:rPr>
        <w:pict w14:anchorId="1A31A661">
          <v:rect id="_x0000_s1044" style="position:absolute;left:0;text-align:left;margin-left:464.5pt;margin-top:8.05pt;width:75.05pt;height:18.95pt;z-index:251666944" o:allowincell="f" filled="f" stroked="f" strokecolor="lime" strokeweight=".25pt">
            <v:textbox inset="0,0,0,0">
              <w:txbxContent>
                <w:p w14:paraId="3724C669" w14:textId="77777777" w:rsidR="00540E88" w:rsidRDefault="00540E8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19.</w:t>
      </w:r>
      <w:r>
        <w:rPr>
          <w:rStyle w:val="big-number"/>
          <w:rFonts w:cs="Miriam"/>
          <w:rtl/>
        </w:rPr>
        <w:tab/>
      </w:r>
      <w:r>
        <w:rPr>
          <w:rStyle w:val="default"/>
          <w:rFonts w:cs="FrankRuehl"/>
          <w:rtl/>
        </w:rPr>
        <w:t>ל</w:t>
      </w:r>
      <w:r>
        <w:rPr>
          <w:rStyle w:val="default"/>
          <w:rFonts w:cs="FrankRuehl" w:hint="cs"/>
          <w:rtl/>
        </w:rPr>
        <w:t xml:space="preserve">תקנות אלה ייקרא "תקנות </w:t>
      </w:r>
      <w:r>
        <w:rPr>
          <w:rStyle w:val="default"/>
          <w:rFonts w:cs="FrankRuehl"/>
          <w:rtl/>
        </w:rPr>
        <w:t>ה</w:t>
      </w:r>
      <w:r>
        <w:rPr>
          <w:rStyle w:val="default"/>
          <w:rFonts w:cs="FrankRuehl" w:hint="cs"/>
          <w:rtl/>
        </w:rPr>
        <w:t>רשויות המקומיות (הסדרת השמירה) (סדרי הדין בפני ועדת ערר), תשכ"ב-1962".</w:t>
      </w:r>
    </w:p>
    <w:p w14:paraId="2E95B602" w14:textId="77777777" w:rsidR="00540E88" w:rsidRDefault="00540E88">
      <w:pPr>
        <w:pStyle w:val="P00"/>
        <w:spacing w:before="72"/>
        <w:ind w:left="0" w:right="1134"/>
        <w:rPr>
          <w:rStyle w:val="default"/>
          <w:rFonts w:cs="FrankRuehl" w:hint="cs"/>
          <w:rtl/>
        </w:rPr>
      </w:pPr>
    </w:p>
    <w:p w14:paraId="4074459D" w14:textId="77777777" w:rsidR="00540E88" w:rsidRDefault="00540E88">
      <w:pPr>
        <w:pStyle w:val="P00"/>
        <w:spacing w:before="72"/>
        <w:ind w:left="0" w:right="1134"/>
        <w:rPr>
          <w:rStyle w:val="default"/>
          <w:rFonts w:cs="FrankRuehl" w:hint="cs"/>
          <w:rtl/>
        </w:rPr>
      </w:pPr>
    </w:p>
    <w:p w14:paraId="479F7E89" w14:textId="77777777" w:rsidR="00540E88" w:rsidRDefault="00540E88">
      <w:pPr>
        <w:pStyle w:val="sig-0"/>
        <w:ind w:left="0" w:right="1134"/>
        <w:rPr>
          <w:rtl/>
        </w:rPr>
      </w:pPr>
      <w:r>
        <w:rPr>
          <w:rtl/>
        </w:rPr>
        <w:t>ט</w:t>
      </w:r>
      <w:r>
        <w:rPr>
          <w:rFonts w:hint="cs"/>
          <w:rtl/>
        </w:rPr>
        <w:t>' באייר תשכ"ב (13 במאי 1962)</w:t>
      </w:r>
      <w:r>
        <w:rPr>
          <w:rtl/>
        </w:rPr>
        <w:tab/>
      </w:r>
      <w:r>
        <w:rPr>
          <w:rFonts w:hint="cs"/>
          <w:rtl/>
        </w:rPr>
        <w:t>דב יוסף</w:t>
      </w:r>
    </w:p>
    <w:p w14:paraId="4CC63A31" w14:textId="77777777" w:rsidR="00540E88" w:rsidRDefault="00540E88">
      <w:pPr>
        <w:pStyle w:val="sig-1"/>
        <w:widowControl/>
        <w:ind w:left="0" w:right="1134"/>
        <w:rPr>
          <w:rFonts w:hint="cs"/>
          <w:rtl/>
        </w:rPr>
      </w:pPr>
      <w:r>
        <w:rPr>
          <w:rtl/>
        </w:rPr>
        <w:tab/>
      </w:r>
      <w:r>
        <w:rPr>
          <w:rtl/>
        </w:rPr>
        <w:tab/>
      </w:r>
      <w:r>
        <w:rPr>
          <w:rtl/>
        </w:rPr>
        <w:tab/>
      </w:r>
      <w:r>
        <w:rPr>
          <w:rFonts w:hint="cs"/>
          <w:rtl/>
        </w:rPr>
        <w:t>שר המשפטים</w:t>
      </w:r>
    </w:p>
    <w:p w14:paraId="6BB33D45" w14:textId="77777777" w:rsidR="00540E88" w:rsidRDefault="00540E88">
      <w:pPr>
        <w:pStyle w:val="P00"/>
        <w:spacing w:before="72"/>
        <w:ind w:left="0" w:right="1134"/>
        <w:rPr>
          <w:rStyle w:val="default"/>
          <w:rFonts w:cs="FrankRuehl" w:hint="cs"/>
          <w:rtl/>
        </w:rPr>
      </w:pPr>
    </w:p>
    <w:p w14:paraId="5642673E" w14:textId="77777777" w:rsidR="00540E88" w:rsidRDefault="00540E88">
      <w:pPr>
        <w:pStyle w:val="P00"/>
        <w:spacing w:before="72"/>
        <w:ind w:left="0" w:right="1134"/>
        <w:rPr>
          <w:rStyle w:val="default"/>
          <w:rFonts w:cs="FrankRuehl"/>
          <w:rtl/>
        </w:rPr>
      </w:pPr>
    </w:p>
    <w:p w14:paraId="4C7F9402" w14:textId="77777777" w:rsidR="00540E88" w:rsidRDefault="00540E88">
      <w:pPr>
        <w:pStyle w:val="P00"/>
        <w:spacing w:before="72"/>
        <w:ind w:left="0" w:right="1134"/>
        <w:rPr>
          <w:rStyle w:val="default"/>
          <w:rFonts w:cs="FrankRuehl"/>
          <w:rtl/>
        </w:rPr>
      </w:pPr>
      <w:bookmarkStart w:id="19" w:name="LawPartEnd"/>
    </w:p>
    <w:bookmarkEnd w:id="19"/>
    <w:p w14:paraId="555DEC70" w14:textId="77777777" w:rsidR="00540E88" w:rsidRDefault="00540E88">
      <w:pPr>
        <w:pStyle w:val="P00"/>
        <w:spacing w:before="72"/>
        <w:ind w:left="0" w:right="1134"/>
        <w:rPr>
          <w:rStyle w:val="default"/>
          <w:rFonts w:cs="FrankRuehl"/>
          <w:rtl/>
        </w:rPr>
      </w:pPr>
    </w:p>
    <w:sectPr w:rsidR="00540E8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A265" w14:textId="77777777" w:rsidR="003D18FD" w:rsidRDefault="003D18FD">
      <w:r>
        <w:separator/>
      </w:r>
    </w:p>
  </w:endnote>
  <w:endnote w:type="continuationSeparator" w:id="0">
    <w:p w14:paraId="6D1BCE1B" w14:textId="77777777" w:rsidR="003D18FD" w:rsidRDefault="003D1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C8647" w14:textId="77777777" w:rsidR="00540E88" w:rsidRDefault="00540E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3D829C3" w14:textId="77777777" w:rsidR="00540E88" w:rsidRDefault="00540E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6C6DAC2" w14:textId="77777777" w:rsidR="00540E88" w:rsidRDefault="00540E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D0B2" w14:textId="77777777" w:rsidR="00540E88" w:rsidRDefault="00540E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04FB">
      <w:rPr>
        <w:rFonts w:hAnsi="FrankRuehl" w:cs="FrankRuehl"/>
        <w:noProof/>
        <w:sz w:val="24"/>
        <w:szCs w:val="24"/>
        <w:rtl/>
      </w:rPr>
      <w:t>1</w:t>
    </w:r>
    <w:r>
      <w:rPr>
        <w:rFonts w:hAnsi="FrankRuehl" w:cs="FrankRuehl"/>
        <w:sz w:val="24"/>
        <w:szCs w:val="24"/>
        <w:rtl/>
      </w:rPr>
      <w:fldChar w:fldCharType="end"/>
    </w:r>
  </w:p>
  <w:p w14:paraId="2CE913BB" w14:textId="77777777" w:rsidR="00540E88" w:rsidRDefault="00540E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4A6C953" w14:textId="77777777" w:rsidR="00540E88" w:rsidRDefault="00540E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8A4EF" w14:textId="77777777" w:rsidR="003D18FD" w:rsidRDefault="003D18FD">
      <w:pPr>
        <w:spacing w:before="60" w:line="240" w:lineRule="auto"/>
        <w:ind w:right="1134"/>
      </w:pPr>
      <w:r>
        <w:separator/>
      </w:r>
    </w:p>
  </w:footnote>
  <w:footnote w:type="continuationSeparator" w:id="0">
    <w:p w14:paraId="7C805749" w14:textId="77777777" w:rsidR="003D18FD" w:rsidRDefault="003D18FD">
      <w:r>
        <w:continuationSeparator/>
      </w:r>
    </w:p>
  </w:footnote>
  <w:footnote w:id="1">
    <w:p w14:paraId="460E745D" w14:textId="77777777" w:rsidR="00540E88" w:rsidRDefault="00540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תשכ"ב מס' 1313</w:t>
        </w:r>
      </w:hyperlink>
      <w:r>
        <w:rPr>
          <w:rFonts w:hint="cs"/>
          <w:sz w:val="20"/>
          <w:rtl/>
        </w:rPr>
        <w:t xml:space="preserve"> מיום 24.5.1962 עמ' 1948.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4196C" w14:textId="77777777" w:rsidR="00540E88" w:rsidRDefault="00540E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(הסדרת השמירה) (סדרי הדין בפני ועדת ערר), תשכ"ב–1962</w:t>
    </w:r>
  </w:p>
  <w:p w14:paraId="07702C63" w14:textId="77777777" w:rsidR="00540E88" w:rsidRDefault="00540E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6397DF" w14:textId="77777777" w:rsidR="00540E88" w:rsidRDefault="00540E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80B3" w14:textId="77777777" w:rsidR="00540E88" w:rsidRDefault="00540E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(הסדרת השמירה) (סדרי הדין בפני ועדת ערר), תשכ"ב</w:t>
    </w:r>
    <w:r>
      <w:rPr>
        <w:rFonts w:hAnsi="FrankRuehl" w:cs="FrankRuehl" w:hint="cs"/>
        <w:color w:val="000000"/>
        <w:sz w:val="28"/>
        <w:szCs w:val="28"/>
        <w:rtl/>
      </w:rPr>
      <w:t>-</w:t>
    </w:r>
    <w:r>
      <w:rPr>
        <w:rFonts w:hAnsi="FrankRuehl" w:cs="FrankRuehl"/>
        <w:color w:val="000000"/>
        <w:sz w:val="28"/>
        <w:szCs w:val="28"/>
        <w:rtl/>
      </w:rPr>
      <w:t>1962</w:t>
    </w:r>
  </w:p>
  <w:p w14:paraId="54D730B0" w14:textId="77777777" w:rsidR="00540E88" w:rsidRDefault="00540E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73ABB9" w14:textId="77777777" w:rsidR="00540E88" w:rsidRDefault="00540E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E88"/>
    <w:rsid w:val="003D18FD"/>
    <w:rsid w:val="00540E88"/>
    <w:rsid w:val="005F047C"/>
    <w:rsid w:val="00A347F5"/>
    <w:rsid w:val="00BB04FB"/>
    <w:rsid w:val="00E00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0F22A95"/>
  <w15:chartTrackingRefBased/>
  <w15:docId w15:val="{1E73B387-9D34-41A8-921F-C5091375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3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4605</CharactersWithSpaces>
  <SharedDoc>false</SharedDoc>
  <HLinks>
    <vt:vector size="120" baseType="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7929864</vt:i4>
      </vt:variant>
      <vt:variant>
        <vt:i4>0</vt:i4>
      </vt:variant>
      <vt:variant>
        <vt:i4>0</vt:i4>
      </vt:variant>
      <vt:variant>
        <vt:i4>5</vt:i4>
      </vt:variant>
      <vt:variant>
        <vt:lpwstr>http://www.nevo.co.il/Law_word/law06/TAK-1313.pdf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(הסדרת השמירה) (סדרי הדין בפני ועדת ערר), תשכ"ב-1962</vt:lpwstr>
  </property>
  <property fmtid="{D5CDD505-2E9C-101B-9397-08002B2CF9AE}" pid="5" name="LAWNUMBER">
    <vt:lpwstr>0026</vt:lpwstr>
  </property>
  <property fmtid="{D5CDD505-2E9C-101B-9397-08002B2CF9AE}" pid="6" name="TYPE">
    <vt:lpwstr>01</vt:lpwstr>
  </property>
  <property fmtid="{D5CDD505-2E9C-101B-9397-08002B2CF9AE}" pid="7" name="MEKOR_NAME1">
    <vt:lpwstr>חוק הרשויות המקומיות (הסדרת השמירה)</vt:lpwstr>
  </property>
  <property fmtid="{D5CDD505-2E9C-101B-9397-08002B2CF9AE}" pid="8" name="MEKOR_SAIF1">
    <vt:lpwstr>14X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הסדרת השמירה</vt:lpwstr>
  </property>
  <property fmtid="{D5CDD505-2E9C-101B-9397-08002B2CF9AE}" pid="12" name="NOSE41">
    <vt:lpwstr>ועדת ערר</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