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5F25" w14:textId="77777777" w:rsidR="001A14FF" w:rsidRDefault="001A14FF" w:rsidP="00BA64DA">
      <w:pPr>
        <w:pStyle w:val="big-header"/>
        <w:ind w:left="0" w:right="1134"/>
        <w:rPr>
          <w:rFonts w:cs="FrankRuehl" w:hint="cs"/>
          <w:sz w:val="32"/>
          <w:rtl/>
        </w:rPr>
      </w:pPr>
      <w:r>
        <w:rPr>
          <w:rFonts w:cs="FrankRuehl"/>
          <w:sz w:val="32"/>
          <w:rtl/>
        </w:rPr>
        <w:t xml:space="preserve">תקנות </w:t>
      </w:r>
      <w:r w:rsidR="008F1EA7">
        <w:rPr>
          <w:rFonts w:cs="FrankRuehl" w:hint="cs"/>
          <w:sz w:val="32"/>
          <w:rtl/>
        </w:rPr>
        <w:t>הרשות הארצית לכבאות והצלה (</w:t>
      </w:r>
      <w:r w:rsidR="00BA64DA">
        <w:rPr>
          <w:rFonts w:cs="FrankRuehl" w:hint="cs"/>
          <w:sz w:val="32"/>
          <w:rtl/>
        </w:rPr>
        <w:t>כללי התנהגות ובטיחות אש בקיום מדורות</w:t>
      </w:r>
      <w:r w:rsidR="008F1EA7">
        <w:rPr>
          <w:rFonts w:cs="FrankRuehl" w:hint="cs"/>
          <w:sz w:val="32"/>
          <w:rtl/>
        </w:rPr>
        <w:t>), תשע"</w:t>
      </w:r>
      <w:r w:rsidR="00BA64DA">
        <w:rPr>
          <w:rFonts w:cs="FrankRuehl" w:hint="cs"/>
          <w:sz w:val="32"/>
          <w:rtl/>
        </w:rPr>
        <w:t>ה</w:t>
      </w:r>
      <w:r w:rsidR="008F1EA7">
        <w:rPr>
          <w:rFonts w:cs="FrankRuehl" w:hint="cs"/>
          <w:sz w:val="32"/>
          <w:rtl/>
        </w:rPr>
        <w:t>-201</w:t>
      </w:r>
      <w:r w:rsidR="00BA64DA">
        <w:rPr>
          <w:rFonts w:cs="FrankRuehl" w:hint="cs"/>
          <w:sz w:val="32"/>
          <w:rtl/>
        </w:rPr>
        <w:t>5</w:t>
      </w:r>
    </w:p>
    <w:p w14:paraId="27011324" w14:textId="77777777" w:rsidR="00ED00B1" w:rsidRPr="00ED00B1" w:rsidRDefault="00ED00B1" w:rsidP="00ED00B1">
      <w:pPr>
        <w:spacing w:line="320" w:lineRule="auto"/>
        <w:jc w:val="left"/>
        <w:rPr>
          <w:rFonts w:cs="FrankRuehl"/>
          <w:szCs w:val="26"/>
          <w:rtl/>
        </w:rPr>
      </w:pPr>
    </w:p>
    <w:p w14:paraId="6F4819ED" w14:textId="77777777" w:rsidR="00ED00B1" w:rsidRPr="00ED00B1" w:rsidRDefault="00ED00B1" w:rsidP="00ED00B1">
      <w:pPr>
        <w:spacing w:line="320" w:lineRule="auto"/>
        <w:jc w:val="left"/>
        <w:rPr>
          <w:rFonts w:cs="Miriam" w:hint="cs"/>
          <w:szCs w:val="22"/>
          <w:rtl/>
        </w:rPr>
      </w:pPr>
      <w:r w:rsidRPr="00ED00B1">
        <w:rPr>
          <w:rFonts w:cs="Miriam"/>
          <w:szCs w:val="22"/>
          <w:rtl/>
        </w:rPr>
        <w:t>בטחון</w:t>
      </w:r>
      <w:r w:rsidRPr="00ED00B1">
        <w:rPr>
          <w:rFonts w:cs="FrankRuehl"/>
          <w:szCs w:val="26"/>
          <w:rtl/>
        </w:rPr>
        <w:t xml:space="preserve"> – כבאות</w:t>
      </w:r>
    </w:p>
    <w:p w14:paraId="3C178EBC" w14:textId="77777777"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531D" w:rsidRPr="009C531D" w14:paraId="1C9B1627" w14:textId="77777777" w:rsidTr="009C531D">
        <w:tblPrEx>
          <w:tblCellMar>
            <w:top w:w="0" w:type="dxa"/>
            <w:bottom w:w="0" w:type="dxa"/>
          </w:tblCellMar>
        </w:tblPrEx>
        <w:tc>
          <w:tcPr>
            <w:tcW w:w="1247" w:type="dxa"/>
          </w:tcPr>
          <w:p w14:paraId="6ECBA307" w14:textId="77777777" w:rsidR="009C531D" w:rsidRPr="009C531D" w:rsidRDefault="009C531D" w:rsidP="009C531D">
            <w:pPr>
              <w:spacing w:line="240" w:lineRule="auto"/>
              <w:jc w:val="left"/>
              <w:rPr>
                <w:rFonts w:cs="Frankruhel"/>
                <w:sz w:val="24"/>
                <w:rtl/>
              </w:rPr>
            </w:pPr>
            <w:r>
              <w:rPr>
                <w:sz w:val="24"/>
                <w:rtl/>
              </w:rPr>
              <w:t xml:space="preserve">סעיף 1 </w:t>
            </w:r>
          </w:p>
        </w:tc>
        <w:tc>
          <w:tcPr>
            <w:tcW w:w="5669" w:type="dxa"/>
          </w:tcPr>
          <w:p w14:paraId="153A307E" w14:textId="77777777" w:rsidR="009C531D" w:rsidRPr="009C531D" w:rsidRDefault="009C531D" w:rsidP="009C531D">
            <w:pPr>
              <w:spacing w:line="240" w:lineRule="auto"/>
              <w:jc w:val="left"/>
              <w:rPr>
                <w:rFonts w:cs="Frankruhel"/>
                <w:sz w:val="24"/>
                <w:rtl/>
              </w:rPr>
            </w:pPr>
            <w:r>
              <w:rPr>
                <w:sz w:val="24"/>
                <w:rtl/>
              </w:rPr>
              <w:t>הגדרות</w:t>
            </w:r>
          </w:p>
        </w:tc>
        <w:tc>
          <w:tcPr>
            <w:tcW w:w="567" w:type="dxa"/>
          </w:tcPr>
          <w:p w14:paraId="74630971" w14:textId="77777777" w:rsidR="009C531D" w:rsidRPr="009C531D" w:rsidRDefault="009C531D" w:rsidP="009C531D">
            <w:pPr>
              <w:spacing w:line="240" w:lineRule="auto"/>
              <w:jc w:val="left"/>
              <w:rPr>
                <w:rStyle w:val="Hyperlink"/>
                <w:rtl/>
              </w:rPr>
            </w:pPr>
            <w:hyperlink w:anchor="Seif1" w:tooltip="הגדרות" w:history="1">
              <w:r w:rsidRPr="009C531D">
                <w:rPr>
                  <w:rStyle w:val="Hyperlink"/>
                </w:rPr>
                <w:t>Go</w:t>
              </w:r>
            </w:hyperlink>
          </w:p>
        </w:tc>
        <w:tc>
          <w:tcPr>
            <w:tcW w:w="850" w:type="dxa"/>
          </w:tcPr>
          <w:p w14:paraId="166E32AF"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531D" w:rsidRPr="009C531D" w14:paraId="50E8B529" w14:textId="77777777" w:rsidTr="009C531D">
        <w:tblPrEx>
          <w:tblCellMar>
            <w:top w:w="0" w:type="dxa"/>
            <w:bottom w:w="0" w:type="dxa"/>
          </w:tblCellMar>
        </w:tblPrEx>
        <w:tc>
          <w:tcPr>
            <w:tcW w:w="1247" w:type="dxa"/>
          </w:tcPr>
          <w:p w14:paraId="04ADA0F3" w14:textId="77777777" w:rsidR="009C531D" w:rsidRPr="009C531D" w:rsidRDefault="009C531D" w:rsidP="009C531D">
            <w:pPr>
              <w:spacing w:line="240" w:lineRule="auto"/>
              <w:jc w:val="left"/>
              <w:rPr>
                <w:rFonts w:cs="Frankruhel"/>
                <w:sz w:val="24"/>
                <w:rtl/>
              </w:rPr>
            </w:pPr>
            <w:r>
              <w:rPr>
                <w:sz w:val="24"/>
                <w:rtl/>
              </w:rPr>
              <w:t xml:space="preserve">סעיף 2 </w:t>
            </w:r>
          </w:p>
        </w:tc>
        <w:tc>
          <w:tcPr>
            <w:tcW w:w="5669" w:type="dxa"/>
          </w:tcPr>
          <w:p w14:paraId="14044865" w14:textId="77777777" w:rsidR="009C531D" w:rsidRPr="009C531D" w:rsidRDefault="009C531D" w:rsidP="009C531D">
            <w:pPr>
              <w:spacing w:line="240" w:lineRule="auto"/>
              <w:jc w:val="left"/>
              <w:rPr>
                <w:rFonts w:cs="Frankruhel"/>
                <w:sz w:val="24"/>
                <w:rtl/>
              </w:rPr>
            </w:pPr>
            <w:r>
              <w:rPr>
                <w:sz w:val="24"/>
                <w:rtl/>
              </w:rPr>
              <w:t>כללי התנהגות ובטיחות אש בקיום מדורה</w:t>
            </w:r>
          </w:p>
        </w:tc>
        <w:tc>
          <w:tcPr>
            <w:tcW w:w="567" w:type="dxa"/>
          </w:tcPr>
          <w:p w14:paraId="035A146D" w14:textId="77777777" w:rsidR="009C531D" w:rsidRPr="009C531D" w:rsidRDefault="009C531D" w:rsidP="009C531D">
            <w:pPr>
              <w:spacing w:line="240" w:lineRule="auto"/>
              <w:jc w:val="left"/>
              <w:rPr>
                <w:rStyle w:val="Hyperlink"/>
                <w:rtl/>
              </w:rPr>
            </w:pPr>
            <w:hyperlink w:anchor="Seif2" w:tooltip="כללי התנהגות ובטיחות אש בקיום מדורה" w:history="1">
              <w:r w:rsidRPr="009C531D">
                <w:rPr>
                  <w:rStyle w:val="Hyperlink"/>
                </w:rPr>
                <w:t>Go</w:t>
              </w:r>
            </w:hyperlink>
          </w:p>
        </w:tc>
        <w:tc>
          <w:tcPr>
            <w:tcW w:w="850" w:type="dxa"/>
          </w:tcPr>
          <w:p w14:paraId="31CE42E2"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531D" w:rsidRPr="009C531D" w14:paraId="7370EA18" w14:textId="77777777" w:rsidTr="009C531D">
        <w:tblPrEx>
          <w:tblCellMar>
            <w:top w:w="0" w:type="dxa"/>
            <w:bottom w:w="0" w:type="dxa"/>
          </w:tblCellMar>
        </w:tblPrEx>
        <w:tc>
          <w:tcPr>
            <w:tcW w:w="1247" w:type="dxa"/>
          </w:tcPr>
          <w:p w14:paraId="0A7AD6AA" w14:textId="77777777" w:rsidR="009C531D" w:rsidRPr="009C531D" w:rsidRDefault="009C531D" w:rsidP="009C531D">
            <w:pPr>
              <w:spacing w:line="240" w:lineRule="auto"/>
              <w:jc w:val="left"/>
              <w:rPr>
                <w:rFonts w:cs="Frankruhel"/>
                <w:sz w:val="24"/>
                <w:rtl/>
              </w:rPr>
            </w:pPr>
            <w:r>
              <w:rPr>
                <w:sz w:val="24"/>
                <w:rtl/>
              </w:rPr>
              <w:t xml:space="preserve">סעיף 3 </w:t>
            </w:r>
          </w:p>
        </w:tc>
        <w:tc>
          <w:tcPr>
            <w:tcW w:w="5669" w:type="dxa"/>
          </w:tcPr>
          <w:p w14:paraId="2589F966" w14:textId="77777777" w:rsidR="009C531D" w:rsidRPr="009C531D" w:rsidRDefault="009C531D" w:rsidP="009C531D">
            <w:pPr>
              <w:spacing w:line="240" w:lineRule="auto"/>
              <w:jc w:val="left"/>
              <w:rPr>
                <w:rFonts w:cs="Frankruhel"/>
                <w:sz w:val="24"/>
                <w:rtl/>
              </w:rPr>
            </w:pPr>
            <w:r>
              <w:rPr>
                <w:sz w:val="24"/>
                <w:rtl/>
              </w:rPr>
              <w:t>מקום מדורה</w:t>
            </w:r>
          </w:p>
        </w:tc>
        <w:tc>
          <w:tcPr>
            <w:tcW w:w="567" w:type="dxa"/>
          </w:tcPr>
          <w:p w14:paraId="39317607" w14:textId="77777777" w:rsidR="009C531D" w:rsidRPr="009C531D" w:rsidRDefault="009C531D" w:rsidP="009C531D">
            <w:pPr>
              <w:spacing w:line="240" w:lineRule="auto"/>
              <w:jc w:val="left"/>
              <w:rPr>
                <w:rStyle w:val="Hyperlink"/>
                <w:rtl/>
              </w:rPr>
            </w:pPr>
            <w:hyperlink w:anchor="Seif3" w:tooltip="מקום מדורה" w:history="1">
              <w:r w:rsidRPr="009C531D">
                <w:rPr>
                  <w:rStyle w:val="Hyperlink"/>
                </w:rPr>
                <w:t>Go</w:t>
              </w:r>
            </w:hyperlink>
          </w:p>
        </w:tc>
        <w:tc>
          <w:tcPr>
            <w:tcW w:w="850" w:type="dxa"/>
          </w:tcPr>
          <w:p w14:paraId="3989B852"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531D" w:rsidRPr="009C531D" w14:paraId="70B9BCB0" w14:textId="77777777" w:rsidTr="009C531D">
        <w:tblPrEx>
          <w:tblCellMar>
            <w:top w:w="0" w:type="dxa"/>
            <w:bottom w:w="0" w:type="dxa"/>
          </w:tblCellMar>
        </w:tblPrEx>
        <w:tc>
          <w:tcPr>
            <w:tcW w:w="1247" w:type="dxa"/>
          </w:tcPr>
          <w:p w14:paraId="4DD17F6C" w14:textId="77777777" w:rsidR="009C531D" w:rsidRPr="009C531D" w:rsidRDefault="009C531D" w:rsidP="009C531D">
            <w:pPr>
              <w:spacing w:line="240" w:lineRule="auto"/>
              <w:jc w:val="left"/>
              <w:rPr>
                <w:rFonts w:cs="Frankruhel"/>
                <w:sz w:val="24"/>
                <w:rtl/>
              </w:rPr>
            </w:pPr>
            <w:r>
              <w:rPr>
                <w:sz w:val="24"/>
                <w:rtl/>
              </w:rPr>
              <w:t xml:space="preserve">סעיף 4 </w:t>
            </w:r>
          </w:p>
        </w:tc>
        <w:tc>
          <w:tcPr>
            <w:tcW w:w="5669" w:type="dxa"/>
          </w:tcPr>
          <w:p w14:paraId="791230DE" w14:textId="77777777" w:rsidR="009C531D" w:rsidRPr="009C531D" w:rsidRDefault="009C531D" w:rsidP="009C531D">
            <w:pPr>
              <w:spacing w:line="240" w:lineRule="auto"/>
              <w:jc w:val="left"/>
              <w:rPr>
                <w:rFonts w:cs="Frankruhel"/>
                <w:sz w:val="24"/>
                <w:rtl/>
              </w:rPr>
            </w:pPr>
            <w:r>
              <w:rPr>
                <w:sz w:val="24"/>
                <w:rtl/>
              </w:rPr>
              <w:t>גודל המדורה</w:t>
            </w:r>
          </w:p>
        </w:tc>
        <w:tc>
          <w:tcPr>
            <w:tcW w:w="567" w:type="dxa"/>
          </w:tcPr>
          <w:p w14:paraId="49E99E4C" w14:textId="77777777" w:rsidR="009C531D" w:rsidRPr="009C531D" w:rsidRDefault="009C531D" w:rsidP="009C531D">
            <w:pPr>
              <w:spacing w:line="240" w:lineRule="auto"/>
              <w:jc w:val="left"/>
              <w:rPr>
                <w:rStyle w:val="Hyperlink"/>
                <w:rtl/>
              </w:rPr>
            </w:pPr>
            <w:hyperlink w:anchor="Seif4" w:tooltip="גודל המדורה" w:history="1">
              <w:r w:rsidRPr="009C531D">
                <w:rPr>
                  <w:rStyle w:val="Hyperlink"/>
                </w:rPr>
                <w:t>Go</w:t>
              </w:r>
            </w:hyperlink>
          </w:p>
        </w:tc>
        <w:tc>
          <w:tcPr>
            <w:tcW w:w="850" w:type="dxa"/>
          </w:tcPr>
          <w:p w14:paraId="226AA7F2"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531D" w:rsidRPr="009C531D" w14:paraId="17F2C7F3" w14:textId="77777777" w:rsidTr="009C531D">
        <w:tblPrEx>
          <w:tblCellMar>
            <w:top w:w="0" w:type="dxa"/>
            <w:bottom w:w="0" w:type="dxa"/>
          </w:tblCellMar>
        </w:tblPrEx>
        <w:tc>
          <w:tcPr>
            <w:tcW w:w="1247" w:type="dxa"/>
          </w:tcPr>
          <w:p w14:paraId="20889A9C" w14:textId="77777777" w:rsidR="009C531D" w:rsidRPr="009C531D" w:rsidRDefault="009C531D" w:rsidP="009C531D">
            <w:pPr>
              <w:spacing w:line="240" w:lineRule="auto"/>
              <w:jc w:val="left"/>
              <w:rPr>
                <w:rFonts w:cs="Frankruhel"/>
                <w:sz w:val="24"/>
                <w:rtl/>
              </w:rPr>
            </w:pPr>
            <w:r>
              <w:rPr>
                <w:sz w:val="24"/>
                <w:rtl/>
              </w:rPr>
              <w:t xml:space="preserve">סעיף 5 </w:t>
            </w:r>
          </w:p>
        </w:tc>
        <w:tc>
          <w:tcPr>
            <w:tcW w:w="5669" w:type="dxa"/>
          </w:tcPr>
          <w:p w14:paraId="33A01117" w14:textId="77777777" w:rsidR="009C531D" w:rsidRPr="009C531D" w:rsidRDefault="009C531D" w:rsidP="009C531D">
            <w:pPr>
              <w:spacing w:line="240" w:lineRule="auto"/>
              <w:jc w:val="left"/>
              <w:rPr>
                <w:rFonts w:cs="Frankruhel"/>
                <w:sz w:val="24"/>
                <w:rtl/>
              </w:rPr>
            </w:pPr>
            <w:r>
              <w:rPr>
                <w:sz w:val="24"/>
                <w:rtl/>
              </w:rPr>
              <w:t>חומרי הבעירה במדורה</w:t>
            </w:r>
          </w:p>
        </w:tc>
        <w:tc>
          <w:tcPr>
            <w:tcW w:w="567" w:type="dxa"/>
          </w:tcPr>
          <w:p w14:paraId="1EBC5E99" w14:textId="77777777" w:rsidR="009C531D" w:rsidRPr="009C531D" w:rsidRDefault="009C531D" w:rsidP="009C531D">
            <w:pPr>
              <w:spacing w:line="240" w:lineRule="auto"/>
              <w:jc w:val="left"/>
              <w:rPr>
                <w:rStyle w:val="Hyperlink"/>
                <w:rtl/>
              </w:rPr>
            </w:pPr>
            <w:hyperlink w:anchor="Seif5" w:tooltip="חומרי הבעירה במדורה" w:history="1">
              <w:r w:rsidRPr="009C531D">
                <w:rPr>
                  <w:rStyle w:val="Hyperlink"/>
                </w:rPr>
                <w:t>Go</w:t>
              </w:r>
            </w:hyperlink>
          </w:p>
        </w:tc>
        <w:tc>
          <w:tcPr>
            <w:tcW w:w="850" w:type="dxa"/>
          </w:tcPr>
          <w:p w14:paraId="3B85D2BF"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C531D" w:rsidRPr="009C531D" w14:paraId="0D0FC0CF" w14:textId="77777777" w:rsidTr="009C531D">
        <w:tblPrEx>
          <w:tblCellMar>
            <w:top w:w="0" w:type="dxa"/>
            <w:bottom w:w="0" w:type="dxa"/>
          </w:tblCellMar>
        </w:tblPrEx>
        <w:tc>
          <w:tcPr>
            <w:tcW w:w="1247" w:type="dxa"/>
          </w:tcPr>
          <w:p w14:paraId="57ED7198" w14:textId="77777777" w:rsidR="009C531D" w:rsidRPr="009C531D" w:rsidRDefault="009C531D" w:rsidP="009C531D">
            <w:pPr>
              <w:spacing w:line="240" w:lineRule="auto"/>
              <w:jc w:val="left"/>
              <w:rPr>
                <w:rFonts w:cs="Frankruhel"/>
                <w:sz w:val="24"/>
                <w:rtl/>
              </w:rPr>
            </w:pPr>
            <w:r>
              <w:rPr>
                <w:sz w:val="24"/>
                <w:rtl/>
              </w:rPr>
              <w:t xml:space="preserve">סעיף 6 </w:t>
            </w:r>
          </w:p>
        </w:tc>
        <w:tc>
          <w:tcPr>
            <w:tcW w:w="5669" w:type="dxa"/>
          </w:tcPr>
          <w:p w14:paraId="4B2BB686" w14:textId="77777777" w:rsidR="009C531D" w:rsidRPr="009C531D" w:rsidRDefault="009C531D" w:rsidP="009C531D">
            <w:pPr>
              <w:spacing w:line="240" w:lineRule="auto"/>
              <w:jc w:val="left"/>
              <w:rPr>
                <w:rFonts w:cs="Frankruhel"/>
                <w:sz w:val="24"/>
                <w:rtl/>
              </w:rPr>
            </w:pPr>
            <w:r>
              <w:rPr>
                <w:sz w:val="24"/>
                <w:rtl/>
              </w:rPr>
              <w:t>אמצעי כיבוי בקרבת מדורה</w:t>
            </w:r>
          </w:p>
        </w:tc>
        <w:tc>
          <w:tcPr>
            <w:tcW w:w="567" w:type="dxa"/>
          </w:tcPr>
          <w:p w14:paraId="67061881" w14:textId="77777777" w:rsidR="009C531D" w:rsidRPr="009C531D" w:rsidRDefault="009C531D" w:rsidP="009C531D">
            <w:pPr>
              <w:spacing w:line="240" w:lineRule="auto"/>
              <w:jc w:val="left"/>
              <w:rPr>
                <w:rStyle w:val="Hyperlink"/>
                <w:rtl/>
              </w:rPr>
            </w:pPr>
            <w:hyperlink w:anchor="Seif6" w:tooltip="אמצעי כיבוי בקרבת מדורה" w:history="1">
              <w:r w:rsidRPr="009C531D">
                <w:rPr>
                  <w:rStyle w:val="Hyperlink"/>
                </w:rPr>
                <w:t>Go</w:t>
              </w:r>
            </w:hyperlink>
          </w:p>
        </w:tc>
        <w:tc>
          <w:tcPr>
            <w:tcW w:w="850" w:type="dxa"/>
          </w:tcPr>
          <w:p w14:paraId="6FE7074B"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531D" w:rsidRPr="009C531D" w14:paraId="2B392A62" w14:textId="77777777" w:rsidTr="009C531D">
        <w:tblPrEx>
          <w:tblCellMar>
            <w:top w:w="0" w:type="dxa"/>
            <w:bottom w:w="0" w:type="dxa"/>
          </w:tblCellMar>
        </w:tblPrEx>
        <w:tc>
          <w:tcPr>
            <w:tcW w:w="1247" w:type="dxa"/>
          </w:tcPr>
          <w:p w14:paraId="306482B7" w14:textId="77777777" w:rsidR="009C531D" w:rsidRPr="009C531D" w:rsidRDefault="009C531D" w:rsidP="009C531D">
            <w:pPr>
              <w:spacing w:line="240" w:lineRule="auto"/>
              <w:jc w:val="left"/>
              <w:rPr>
                <w:rFonts w:cs="Frankruhel"/>
                <w:sz w:val="24"/>
                <w:rtl/>
              </w:rPr>
            </w:pPr>
            <w:r>
              <w:rPr>
                <w:sz w:val="24"/>
                <w:rtl/>
              </w:rPr>
              <w:t xml:space="preserve">סעיף 7 </w:t>
            </w:r>
          </w:p>
        </w:tc>
        <w:tc>
          <w:tcPr>
            <w:tcW w:w="5669" w:type="dxa"/>
          </w:tcPr>
          <w:p w14:paraId="1AF78531" w14:textId="77777777" w:rsidR="009C531D" w:rsidRPr="009C531D" w:rsidRDefault="009C531D" w:rsidP="009C531D">
            <w:pPr>
              <w:spacing w:line="240" w:lineRule="auto"/>
              <w:jc w:val="left"/>
              <w:rPr>
                <w:rFonts w:cs="Frankruhel"/>
                <w:sz w:val="24"/>
                <w:rtl/>
              </w:rPr>
            </w:pPr>
            <w:r>
              <w:rPr>
                <w:sz w:val="24"/>
                <w:rtl/>
              </w:rPr>
              <w:t>כיבוי המדירה</w:t>
            </w:r>
          </w:p>
        </w:tc>
        <w:tc>
          <w:tcPr>
            <w:tcW w:w="567" w:type="dxa"/>
          </w:tcPr>
          <w:p w14:paraId="24BD730F" w14:textId="77777777" w:rsidR="009C531D" w:rsidRPr="009C531D" w:rsidRDefault="009C531D" w:rsidP="009C531D">
            <w:pPr>
              <w:spacing w:line="240" w:lineRule="auto"/>
              <w:jc w:val="left"/>
              <w:rPr>
                <w:rStyle w:val="Hyperlink"/>
                <w:rtl/>
              </w:rPr>
            </w:pPr>
            <w:hyperlink w:anchor="Seif7" w:tooltip="כיבוי המדירה" w:history="1">
              <w:r w:rsidRPr="009C531D">
                <w:rPr>
                  <w:rStyle w:val="Hyperlink"/>
                </w:rPr>
                <w:t>Go</w:t>
              </w:r>
            </w:hyperlink>
          </w:p>
        </w:tc>
        <w:tc>
          <w:tcPr>
            <w:tcW w:w="850" w:type="dxa"/>
          </w:tcPr>
          <w:p w14:paraId="12F3BA27"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531D" w:rsidRPr="009C531D" w14:paraId="721017DB" w14:textId="77777777" w:rsidTr="009C531D">
        <w:tblPrEx>
          <w:tblCellMar>
            <w:top w:w="0" w:type="dxa"/>
            <w:bottom w:w="0" w:type="dxa"/>
          </w:tblCellMar>
        </w:tblPrEx>
        <w:tc>
          <w:tcPr>
            <w:tcW w:w="1247" w:type="dxa"/>
          </w:tcPr>
          <w:p w14:paraId="4B1BBEA1" w14:textId="77777777" w:rsidR="009C531D" w:rsidRPr="009C531D" w:rsidRDefault="009C531D" w:rsidP="009C531D">
            <w:pPr>
              <w:spacing w:line="240" w:lineRule="auto"/>
              <w:jc w:val="left"/>
              <w:rPr>
                <w:rFonts w:cs="Frankruhel"/>
                <w:sz w:val="24"/>
                <w:rtl/>
              </w:rPr>
            </w:pPr>
            <w:r>
              <w:rPr>
                <w:sz w:val="24"/>
                <w:rtl/>
              </w:rPr>
              <w:t xml:space="preserve">סעיף 8 </w:t>
            </w:r>
          </w:p>
        </w:tc>
        <w:tc>
          <w:tcPr>
            <w:tcW w:w="5669" w:type="dxa"/>
          </w:tcPr>
          <w:p w14:paraId="026CF5D7" w14:textId="77777777" w:rsidR="009C531D" w:rsidRPr="009C531D" w:rsidRDefault="009C531D" w:rsidP="009C531D">
            <w:pPr>
              <w:spacing w:line="240" w:lineRule="auto"/>
              <w:jc w:val="left"/>
              <w:rPr>
                <w:rFonts w:cs="Frankruhel"/>
                <w:sz w:val="24"/>
                <w:rtl/>
              </w:rPr>
            </w:pPr>
            <w:r>
              <w:rPr>
                <w:sz w:val="24"/>
                <w:rtl/>
              </w:rPr>
              <w:t>מועד ואזור אסורים למדורות</w:t>
            </w:r>
          </w:p>
        </w:tc>
        <w:tc>
          <w:tcPr>
            <w:tcW w:w="567" w:type="dxa"/>
          </w:tcPr>
          <w:p w14:paraId="291FFA4B" w14:textId="77777777" w:rsidR="009C531D" w:rsidRPr="009C531D" w:rsidRDefault="009C531D" w:rsidP="009C531D">
            <w:pPr>
              <w:spacing w:line="240" w:lineRule="auto"/>
              <w:jc w:val="left"/>
              <w:rPr>
                <w:rStyle w:val="Hyperlink"/>
                <w:rtl/>
              </w:rPr>
            </w:pPr>
            <w:hyperlink w:anchor="Seif8" w:tooltip="מועד ואזור אסורים למדורות" w:history="1">
              <w:r w:rsidRPr="009C531D">
                <w:rPr>
                  <w:rStyle w:val="Hyperlink"/>
                </w:rPr>
                <w:t>Go</w:t>
              </w:r>
            </w:hyperlink>
          </w:p>
        </w:tc>
        <w:tc>
          <w:tcPr>
            <w:tcW w:w="850" w:type="dxa"/>
          </w:tcPr>
          <w:p w14:paraId="4AD1EA23"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531D" w:rsidRPr="009C531D" w14:paraId="2AC67422" w14:textId="77777777" w:rsidTr="009C531D">
        <w:tblPrEx>
          <w:tblCellMar>
            <w:top w:w="0" w:type="dxa"/>
            <w:bottom w:w="0" w:type="dxa"/>
          </w:tblCellMar>
        </w:tblPrEx>
        <w:tc>
          <w:tcPr>
            <w:tcW w:w="1247" w:type="dxa"/>
          </w:tcPr>
          <w:p w14:paraId="6E700FE9" w14:textId="77777777" w:rsidR="009C531D" w:rsidRPr="009C531D" w:rsidRDefault="009C531D" w:rsidP="009C531D">
            <w:pPr>
              <w:spacing w:line="240" w:lineRule="auto"/>
              <w:jc w:val="left"/>
              <w:rPr>
                <w:rFonts w:cs="Frankruhel"/>
                <w:sz w:val="24"/>
                <w:rtl/>
              </w:rPr>
            </w:pPr>
            <w:r>
              <w:rPr>
                <w:sz w:val="24"/>
                <w:rtl/>
              </w:rPr>
              <w:t xml:space="preserve">סעיף 9 </w:t>
            </w:r>
          </w:p>
        </w:tc>
        <w:tc>
          <w:tcPr>
            <w:tcW w:w="5669" w:type="dxa"/>
          </w:tcPr>
          <w:p w14:paraId="5C1F5873" w14:textId="77777777" w:rsidR="009C531D" w:rsidRPr="009C531D" w:rsidRDefault="009C531D" w:rsidP="009C531D">
            <w:pPr>
              <w:spacing w:line="240" w:lineRule="auto"/>
              <w:jc w:val="left"/>
              <w:rPr>
                <w:rFonts w:cs="Frankruhel"/>
                <w:sz w:val="24"/>
                <w:rtl/>
              </w:rPr>
            </w:pPr>
            <w:r>
              <w:rPr>
                <w:sz w:val="24"/>
                <w:rtl/>
              </w:rPr>
              <w:t>נסיבות מיוחדות</w:t>
            </w:r>
          </w:p>
        </w:tc>
        <w:tc>
          <w:tcPr>
            <w:tcW w:w="567" w:type="dxa"/>
          </w:tcPr>
          <w:p w14:paraId="399128E4" w14:textId="77777777" w:rsidR="009C531D" w:rsidRPr="009C531D" w:rsidRDefault="009C531D" w:rsidP="009C531D">
            <w:pPr>
              <w:spacing w:line="240" w:lineRule="auto"/>
              <w:jc w:val="left"/>
              <w:rPr>
                <w:rStyle w:val="Hyperlink"/>
                <w:rtl/>
              </w:rPr>
            </w:pPr>
            <w:hyperlink w:anchor="Seif9" w:tooltip="נסיבות מיוחדות" w:history="1">
              <w:r w:rsidRPr="009C531D">
                <w:rPr>
                  <w:rStyle w:val="Hyperlink"/>
                </w:rPr>
                <w:t>Go</w:t>
              </w:r>
            </w:hyperlink>
          </w:p>
        </w:tc>
        <w:tc>
          <w:tcPr>
            <w:tcW w:w="850" w:type="dxa"/>
          </w:tcPr>
          <w:p w14:paraId="10DA8900"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C531D" w:rsidRPr="009C531D" w14:paraId="2D53ED74" w14:textId="77777777" w:rsidTr="009C531D">
        <w:tblPrEx>
          <w:tblCellMar>
            <w:top w:w="0" w:type="dxa"/>
            <w:bottom w:w="0" w:type="dxa"/>
          </w:tblCellMar>
        </w:tblPrEx>
        <w:tc>
          <w:tcPr>
            <w:tcW w:w="1247" w:type="dxa"/>
          </w:tcPr>
          <w:p w14:paraId="1A61F97F" w14:textId="77777777" w:rsidR="009C531D" w:rsidRPr="009C531D" w:rsidRDefault="009C531D" w:rsidP="009C531D">
            <w:pPr>
              <w:spacing w:line="240" w:lineRule="auto"/>
              <w:jc w:val="left"/>
              <w:rPr>
                <w:rFonts w:cs="Frankruhel"/>
                <w:sz w:val="24"/>
                <w:rtl/>
              </w:rPr>
            </w:pPr>
            <w:r>
              <w:rPr>
                <w:sz w:val="24"/>
                <w:rtl/>
              </w:rPr>
              <w:t xml:space="preserve">סעיף 10 </w:t>
            </w:r>
          </w:p>
        </w:tc>
        <w:tc>
          <w:tcPr>
            <w:tcW w:w="5669" w:type="dxa"/>
          </w:tcPr>
          <w:p w14:paraId="3BAD3901" w14:textId="77777777" w:rsidR="009C531D" w:rsidRPr="009C531D" w:rsidRDefault="009C531D" w:rsidP="009C531D">
            <w:pPr>
              <w:spacing w:line="240" w:lineRule="auto"/>
              <w:jc w:val="left"/>
              <w:rPr>
                <w:rFonts w:cs="Frankruhel"/>
                <w:sz w:val="24"/>
                <w:rtl/>
              </w:rPr>
            </w:pPr>
            <w:r>
              <w:rPr>
                <w:sz w:val="24"/>
                <w:rtl/>
              </w:rPr>
              <w:t>שמירת דינים</w:t>
            </w:r>
          </w:p>
        </w:tc>
        <w:tc>
          <w:tcPr>
            <w:tcW w:w="567" w:type="dxa"/>
          </w:tcPr>
          <w:p w14:paraId="7F70BA38" w14:textId="77777777" w:rsidR="009C531D" w:rsidRPr="009C531D" w:rsidRDefault="009C531D" w:rsidP="009C531D">
            <w:pPr>
              <w:spacing w:line="240" w:lineRule="auto"/>
              <w:jc w:val="left"/>
              <w:rPr>
                <w:rStyle w:val="Hyperlink"/>
                <w:rtl/>
              </w:rPr>
            </w:pPr>
            <w:hyperlink w:anchor="Seif10" w:tooltip="שמירת דינים" w:history="1">
              <w:r w:rsidRPr="009C531D">
                <w:rPr>
                  <w:rStyle w:val="Hyperlink"/>
                </w:rPr>
                <w:t>Go</w:t>
              </w:r>
            </w:hyperlink>
          </w:p>
        </w:tc>
        <w:tc>
          <w:tcPr>
            <w:tcW w:w="850" w:type="dxa"/>
          </w:tcPr>
          <w:p w14:paraId="22A4F4E6" w14:textId="77777777" w:rsidR="009C531D" w:rsidRPr="009C531D" w:rsidRDefault="009C531D" w:rsidP="009C5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7C94313" w14:textId="77777777" w:rsidR="001A14FF" w:rsidRDefault="001A14FF">
      <w:pPr>
        <w:pStyle w:val="big-header"/>
        <w:ind w:left="0" w:right="1134"/>
        <w:rPr>
          <w:rFonts w:cs="FrankRuehl"/>
          <w:sz w:val="32"/>
          <w:rtl/>
        </w:rPr>
      </w:pPr>
    </w:p>
    <w:p w14:paraId="4F1EF1C4" w14:textId="77777777" w:rsidR="001A14FF" w:rsidRPr="00ED00B1" w:rsidRDefault="001A14FF" w:rsidP="00BA64DA">
      <w:pPr>
        <w:pStyle w:val="big-header"/>
        <w:ind w:left="0" w:right="1134"/>
        <w:rPr>
          <w:rStyle w:val="default"/>
          <w:rFonts w:cs="FrankRuehl" w:hint="cs"/>
          <w:sz w:val="32"/>
          <w:szCs w:val="32"/>
          <w:rtl/>
        </w:rPr>
      </w:pPr>
      <w:r>
        <w:rPr>
          <w:rFonts w:cs="FrankRuehl"/>
          <w:sz w:val="32"/>
          <w:rtl/>
        </w:rPr>
        <w:br w:type="page"/>
      </w:r>
      <w:r w:rsidR="008F1EA7">
        <w:rPr>
          <w:rFonts w:cs="FrankRuehl"/>
          <w:sz w:val="32"/>
          <w:rtl/>
        </w:rPr>
        <w:lastRenderedPageBreak/>
        <w:t xml:space="preserve">תקנות </w:t>
      </w:r>
      <w:r w:rsidR="008F1EA7">
        <w:rPr>
          <w:rFonts w:cs="FrankRuehl" w:hint="cs"/>
          <w:sz w:val="32"/>
          <w:rtl/>
        </w:rPr>
        <w:t>הרשות הארצית לכבאות והצלה (</w:t>
      </w:r>
      <w:r w:rsidR="00BA64DA">
        <w:rPr>
          <w:rFonts w:cs="FrankRuehl" w:hint="cs"/>
          <w:sz w:val="32"/>
          <w:rtl/>
        </w:rPr>
        <w:t>כללי התנהגות ובטיחות אש בקיום מדורות), תשע"ה-2015</w:t>
      </w:r>
      <w:r w:rsidR="009A1E2C">
        <w:rPr>
          <w:rStyle w:val="a6"/>
          <w:rFonts w:cs="FrankRuehl"/>
          <w:sz w:val="32"/>
          <w:rtl/>
        </w:rPr>
        <w:footnoteReference w:customMarkFollows="1" w:id="1"/>
        <w:t>*</w:t>
      </w:r>
    </w:p>
    <w:p w14:paraId="712DB914" w14:textId="77777777" w:rsidR="001A14FF" w:rsidRDefault="001A14FF" w:rsidP="00BA64DA">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F1EA7">
        <w:rPr>
          <w:rStyle w:val="default"/>
          <w:rFonts w:cs="FrankRuehl" w:hint="cs"/>
          <w:rtl/>
        </w:rPr>
        <w:t>סעי</w:t>
      </w:r>
      <w:r w:rsidR="00BA64DA">
        <w:rPr>
          <w:rStyle w:val="default"/>
          <w:rFonts w:cs="FrankRuehl" w:hint="cs"/>
          <w:rtl/>
        </w:rPr>
        <w:t>ף</w:t>
      </w:r>
      <w:r w:rsidR="008F1EA7">
        <w:rPr>
          <w:rStyle w:val="default"/>
          <w:rFonts w:cs="FrankRuehl" w:hint="cs"/>
          <w:rtl/>
        </w:rPr>
        <w:t xml:space="preserve"> </w:t>
      </w:r>
      <w:r w:rsidR="00BA64DA">
        <w:rPr>
          <w:rStyle w:val="default"/>
          <w:rFonts w:cs="FrankRuehl" w:hint="cs"/>
          <w:rtl/>
        </w:rPr>
        <w:t>42(א)(3)</w:t>
      </w:r>
      <w:r w:rsidR="008F1EA7">
        <w:rPr>
          <w:rStyle w:val="default"/>
          <w:rFonts w:cs="FrankRuehl" w:hint="cs"/>
          <w:rtl/>
        </w:rPr>
        <w:t xml:space="preserve"> לחוק הרשות הארצית לכבאות והצלה, התשע"ב-2012 (להלן </w:t>
      </w:r>
      <w:r w:rsidR="008F1EA7">
        <w:rPr>
          <w:rStyle w:val="default"/>
          <w:rFonts w:cs="FrankRuehl"/>
          <w:rtl/>
        </w:rPr>
        <w:t>–</w:t>
      </w:r>
      <w:r w:rsidR="008F1EA7">
        <w:rPr>
          <w:rStyle w:val="default"/>
          <w:rFonts w:cs="FrankRuehl" w:hint="cs"/>
          <w:rtl/>
        </w:rPr>
        <w:t xml:space="preserve"> החוק)</w:t>
      </w:r>
      <w:r>
        <w:rPr>
          <w:rStyle w:val="default"/>
          <w:rFonts w:cs="FrankRuehl"/>
          <w:rtl/>
        </w:rPr>
        <w:t xml:space="preserve">, </w:t>
      </w:r>
      <w:r w:rsidR="00BA64DA">
        <w:rPr>
          <w:rStyle w:val="default"/>
          <w:rFonts w:cs="FrankRuehl" w:hint="cs"/>
          <w:rtl/>
        </w:rPr>
        <w:t xml:space="preserve">ובאישור ועדת הפנים והגנת הסביבה של הכנסת, </w:t>
      </w:r>
      <w:r>
        <w:rPr>
          <w:rStyle w:val="default"/>
          <w:rFonts w:cs="FrankRuehl" w:hint="cs"/>
          <w:rtl/>
        </w:rPr>
        <w:t>אני מתקין תקנות אלה:</w:t>
      </w:r>
    </w:p>
    <w:p w14:paraId="02221C0C" w14:textId="77777777" w:rsidR="001A14FF" w:rsidRDefault="001A14FF">
      <w:pPr>
        <w:pStyle w:val="P00"/>
        <w:spacing w:before="72"/>
        <w:ind w:left="0" w:right="1134"/>
        <w:rPr>
          <w:rStyle w:val="default"/>
          <w:rFonts w:cs="FrankRuehl" w:hint="cs"/>
          <w:rtl/>
        </w:rPr>
      </w:pPr>
      <w:bookmarkStart w:id="0" w:name="Seif1"/>
      <w:bookmarkEnd w:id="0"/>
      <w:r>
        <w:rPr>
          <w:lang w:val="he-IL"/>
        </w:rPr>
        <w:pict w14:anchorId="039BA066">
          <v:rect id="_x0000_s1026" style="position:absolute;left:0;text-align:left;margin-left:464.5pt;margin-top:8.05pt;width:75.05pt;height:13.95pt;z-index:251653120" o:allowincell="f" filled="f" stroked="f" strokecolor="lime" strokeweight=".25pt">
            <v:textbox inset="0,0,0,0">
              <w:txbxContent>
                <w:p w14:paraId="49844FD2" w14:textId="77777777" w:rsidR="001A14FF" w:rsidRDefault="001A14F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D6D36">
        <w:rPr>
          <w:rStyle w:val="default"/>
          <w:rFonts w:cs="FrankRuehl"/>
          <w:rtl/>
        </w:rPr>
        <w:t>–</w:t>
      </w:r>
    </w:p>
    <w:p w14:paraId="719A9B80"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"חומר נפיץ" </w:t>
      </w:r>
      <w:r>
        <w:rPr>
          <w:rStyle w:val="default"/>
          <w:rFonts w:cs="FrankRuehl"/>
          <w:rtl/>
        </w:rPr>
        <w:t>–</w:t>
      </w:r>
      <w:r>
        <w:rPr>
          <w:rStyle w:val="default"/>
          <w:rFonts w:cs="FrankRuehl" w:hint="cs"/>
          <w:rtl/>
        </w:rPr>
        <w:t xml:space="preserve"> חומר, אשר בחשיפתו לחום עלול להתפוצץ, לרבות חומר נפץ כהגדרתו בחוק חומרי נפץ, התשי"ד-1954, חומרי פירוטכניקה, מכלי לחץ, תרסיסים;</w:t>
      </w:r>
    </w:p>
    <w:p w14:paraId="534C5E9C"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"חוק החומרים המסוכנים" </w:t>
      </w:r>
      <w:r>
        <w:rPr>
          <w:rStyle w:val="default"/>
          <w:rFonts w:cs="FrankRuehl"/>
          <w:rtl/>
        </w:rPr>
        <w:t>–</w:t>
      </w:r>
      <w:r>
        <w:rPr>
          <w:rStyle w:val="default"/>
          <w:rFonts w:cs="FrankRuehl" w:hint="cs"/>
          <w:rtl/>
        </w:rPr>
        <w:t xml:space="preserve"> חוק החומרים המסוכנים, התשנ"ג-1993;</w:t>
      </w:r>
    </w:p>
    <w:p w14:paraId="33D660D0"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"יער" </w:t>
      </w:r>
      <w:r>
        <w:rPr>
          <w:rStyle w:val="default"/>
          <w:rFonts w:cs="FrankRuehl"/>
          <w:rtl/>
        </w:rPr>
        <w:t>–</w:t>
      </w:r>
      <w:r>
        <w:rPr>
          <w:rStyle w:val="default"/>
          <w:rFonts w:cs="FrankRuehl" w:hint="cs"/>
          <w:rtl/>
        </w:rPr>
        <w:t xml:space="preserve"> שטח נטוע, בין טבעי ובין נטוע ביד אדם, לרבות חורש טבעי, בוסתנים, ונטיעות בגדות נחלים;</w:t>
      </w:r>
    </w:p>
    <w:p w14:paraId="424CD2BF"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"כימיקך מזיק" ו"רעל" </w:t>
      </w:r>
      <w:r>
        <w:rPr>
          <w:rStyle w:val="default"/>
          <w:rFonts w:cs="FrankRuehl"/>
          <w:rtl/>
        </w:rPr>
        <w:t>–</w:t>
      </w:r>
      <w:r>
        <w:rPr>
          <w:rStyle w:val="default"/>
          <w:rFonts w:cs="FrankRuehl" w:hint="cs"/>
          <w:rtl/>
        </w:rPr>
        <w:t xml:space="preserve"> כהגדרתם בחוק החומרים המסוכנים;</w:t>
      </w:r>
    </w:p>
    <w:p w14:paraId="183DB24B"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"מבנה" </w:t>
      </w:r>
      <w:r>
        <w:rPr>
          <w:rStyle w:val="default"/>
          <w:rFonts w:cs="FrankRuehl"/>
          <w:rtl/>
        </w:rPr>
        <w:t>–</w:t>
      </w:r>
      <w:r>
        <w:rPr>
          <w:rStyle w:val="default"/>
          <w:rFonts w:cs="FrankRuehl" w:hint="cs"/>
          <w:rtl/>
        </w:rPr>
        <w:t xml:space="preserve"> בין שהוא קבוע ובין שהוא נייד, בין שהוא בנוי אבן ובין שהוא בנוי בטון, טיט, ברזל, עץ או כל חומר אחר, לרבות כל חלק של מבנה כאמור וכל דבר המחובר לו חיבור של קבע, לרבות קיר, גדר וכיוצא באלה הגודרים או תוחמים, או המיועדים לגדור או לתחום, שטח קרקע או חלל;</w:t>
      </w:r>
    </w:p>
    <w:p w14:paraId="11EDB6F9"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"מדורה" </w:t>
      </w:r>
      <w:r>
        <w:rPr>
          <w:rStyle w:val="default"/>
          <w:rFonts w:cs="FrankRuehl"/>
          <w:rtl/>
        </w:rPr>
        <w:t>–</w:t>
      </w:r>
      <w:r>
        <w:rPr>
          <w:rStyle w:val="default"/>
          <w:rFonts w:cs="FrankRuehl" w:hint="cs"/>
          <w:rtl/>
        </w:rPr>
        <w:t xml:space="preserve"> דליקה יזומה מבוקרת, למעט דליקה כאמור בתוך מיתקן ייעודי להכנת אוכל או לשריפתו, או בתוך מיתקן ייעודי לחימום, ולמעט דליקה כאמור שהותרה על פי כל דין;</w:t>
      </w:r>
    </w:p>
    <w:p w14:paraId="67912C1F" w14:textId="77777777" w:rsidR="00BA64DA" w:rsidRDefault="00BA64DA">
      <w:pPr>
        <w:pStyle w:val="P00"/>
        <w:spacing w:before="72"/>
        <w:ind w:left="0" w:right="1134"/>
        <w:rPr>
          <w:rStyle w:val="default"/>
          <w:rFonts w:cs="FrankRuehl" w:hint="cs"/>
          <w:rtl/>
        </w:rPr>
      </w:pPr>
      <w:r>
        <w:rPr>
          <w:rStyle w:val="default"/>
          <w:rFonts w:cs="FrankRuehl" w:hint="cs"/>
          <w:rtl/>
        </w:rPr>
        <w:tab/>
        <w:t xml:space="preserve">"מרחק" </w:t>
      </w:r>
      <w:r>
        <w:rPr>
          <w:rStyle w:val="default"/>
          <w:rFonts w:cs="FrankRuehl"/>
          <w:rtl/>
        </w:rPr>
        <w:t>–</w:t>
      </w:r>
      <w:r>
        <w:rPr>
          <w:rStyle w:val="default"/>
          <w:rFonts w:cs="FrankRuehl" w:hint="cs"/>
          <w:rtl/>
        </w:rPr>
        <w:t xml:space="preserve"> מרחק אופקי.</w:t>
      </w:r>
    </w:p>
    <w:p w14:paraId="47568DE8" w14:textId="77777777" w:rsidR="001A14FF" w:rsidRDefault="001A14FF" w:rsidP="00BA64DA">
      <w:pPr>
        <w:pStyle w:val="P00"/>
        <w:spacing w:before="72"/>
        <w:ind w:left="0" w:right="1134"/>
        <w:rPr>
          <w:rStyle w:val="default"/>
          <w:rFonts w:cs="FrankRuehl" w:hint="cs"/>
          <w:rtl/>
        </w:rPr>
      </w:pPr>
      <w:bookmarkStart w:id="1" w:name="Seif2"/>
      <w:bookmarkEnd w:id="1"/>
      <w:r>
        <w:rPr>
          <w:lang w:val="he-IL"/>
        </w:rPr>
        <w:pict w14:anchorId="04651484">
          <v:rect id="_x0000_s1027" style="position:absolute;left:0;text-align:left;margin-left:464.5pt;margin-top:8.05pt;width:75.05pt;height:24.65pt;z-index:251654144" o:allowincell="f" filled="f" stroked="f" strokecolor="lime" strokeweight=".25pt">
            <v:textbox inset="0,0,0,0">
              <w:txbxContent>
                <w:p w14:paraId="67C306B1" w14:textId="77777777" w:rsidR="001A14FF" w:rsidRDefault="00BA64DA">
                  <w:pPr>
                    <w:spacing w:line="160" w:lineRule="exact"/>
                    <w:jc w:val="left"/>
                    <w:rPr>
                      <w:rFonts w:cs="Miriam" w:hint="cs"/>
                      <w:noProof/>
                      <w:sz w:val="18"/>
                      <w:szCs w:val="18"/>
                      <w:rtl/>
                    </w:rPr>
                  </w:pPr>
                  <w:r>
                    <w:rPr>
                      <w:rFonts w:cs="Miriam" w:hint="cs"/>
                      <w:sz w:val="18"/>
                      <w:szCs w:val="18"/>
                      <w:rtl/>
                    </w:rPr>
                    <w:t>כללי התנהגות ובטיחות אש בקיום מדורה</w:t>
                  </w:r>
                </w:p>
              </w:txbxContent>
            </v:textbox>
            <w10:anchorlock/>
          </v:rect>
        </w:pict>
      </w:r>
      <w:r>
        <w:rPr>
          <w:rStyle w:val="big-number"/>
          <w:rFonts w:cs="Miriam"/>
          <w:rtl/>
        </w:rPr>
        <w:t>2.</w:t>
      </w:r>
      <w:r>
        <w:rPr>
          <w:rStyle w:val="big-number"/>
          <w:rFonts w:cs="Miriam"/>
          <w:rtl/>
        </w:rPr>
        <w:tab/>
      </w:r>
      <w:r w:rsidR="00BA64DA">
        <w:rPr>
          <w:rStyle w:val="default"/>
          <w:rFonts w:cs="FrankRuehl" w:hint="cs"/>
          <w:rtl/>
        </w:rPr>
        <w:t>לא ידליק אדם מדורה ולא ישהה בקרבתה אלא במרחק ובאופן בטוח שאינו מסכן אותו או אחרים או רכוש, ולפי תקנות אלה.</w:t>
      </w:r>
    </w:p>
    <w:p w14:paraId="5E8EE5A8" w14:textId="77777777" w:rsidR="001A14FF" w:rsidRDefault="001A14FF" w:rsidP="00BA64DA">
      <w:pPr>
        <w:pStyle w:val="P00"/>
        <w:spacing w:before="72"/>
        <w:ind w:left="0" w:right="1134"/>
        <w:rPr>
          <w:rStyle w:val="default"/>
          <w:rFonts w:cs="FrankRuehl" w:hint="cs"/>
          <w:rtl/>
        </w:rPr>
      </w:pPr>
      <w:bookmarkStart w:id="2" w:name="Seif3"/>
      <w:bookmarkEnd w:id="2"/>
      <w:r>
        <w:rPr>
          <w:lang w:val="he-IL"/>
        </w:rPr>
        <w:pict w14:anchorId="34D0CCEB">
          <v:rect id="_x0000_s1028" style="position:absolute;left:0;text-align:left;margin-left:464.5pt;margin-top:8.05pt;width:75.05pt;height:16.5pt;z-index:251655168" o:allowincell="f" filled="f" stroked="f" strokecolor="lime" strokeweight=".25pt">
            <v:textbox inset="0,0,0,0">
              <w:txbxContent>
                <w:p w14:paraId="406CB2E3" w14:textId="77777777" w:rsidR="001A14FF" w:rsidRDefault="00BA64DA">
                  <w:pPr>
                    <w:spacing w:line="160" w:lineRule="exact"/>
                    <w:jc w:val="left"/>
                    <w:rPr>
                      <w:rFonts w:cs="Miriam" w:hint="cs"/>
                      <w:noProof/>
                      <w:sz w:val="18"/>
                      <w:szCs w:val="18"/>
                      <w:rtl/>
                    </w:rPr>
                  </w:pPr>
                  <w:r>
                    <w:rPr>
                      <w:rFonts w:cs="Miriam" w:hint="cs"/>
                      <w:sz w:val="18"/>
                      <w:szCs w:val="18"/>
                      <w:rtl/>
                    </w:rPr>
                    <w:t>מקום מדורה</w:t>
                  </w:r>
                </w:p>
              </w:txbxContent>
            </v:textbox>
            <w10:anchorlock/>
          </v:rect>
        </w:pict>
      </w:r>
      <w:r>
        <w:rPr>
          <w:rStyle w:val="big-number"/>
          <w:rFonts w:cs="Miriam"/>
          <w:rtl/>
        </w:rPr>
        <w:t>3.</w:t>
      </w:r>
      <w:r>
        <w:rPr>
          <w:rStyle w:val="big-number"/>
          <w:rFonts w:cs="Miriam"/>
          <w:rtl/>
        </w:rPr>
        <w:tab/>
      </w:r>
      <w:r w:rsidR="00BA64DA">
        <w:rPr>
          <w:rStyle w:val="default"/>
          <w:rFonts w:cs="FrankRuehl" w:hint="cs"/>
          <w:rtl/>
        </w:rPr>
        <w:t>אדם המבקש להדליק מדורה, יקים אותה במרחק מן המפורטים להלן לפי הוראות אלה:</w:t>
      </w:r>
    </w:p>
    <w:p w14:paraId="2B0D38D9" w14:textId="77777777" w:rsidR="00BA64DA" w:rsidRDefault="00BA64DA" w:rsidP="00BA64D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מדורה המצויה בתוך גומה באדמה, שקוטרה אינו עולה על 50 ס"מ וגובהה עד גובה פני האדמה </w:t>
      </w:r>
      <w:r>
        <w:rPr>
          <w:rStyle w:val="default"/>
          <w:rFonts w:cs="FrankRuehl"/>
          <w:rtl/>
        </w:rPr>
        <w:t>–</w:t>
      </w:r>
    </w:p>
    <w:p w14:paraId="354A9601" w14:textId="77777777" w:rsidR="00BA64DA" w:rsidRDefault="00BA64DA" w:rsidP="00BA64D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המרחק בין המדורה ליער </w:t>
      </w:r>
      <w:r>
        <w:rPr>
          <w:rStyle w:val="default"/>
          <w:rFonts w:cs="FrankRuehl"/>
          <w:rtl/>
        </w:rPr>
        <w:t>–</w:t>
      </w:r>
      <w:r>
        <w:rPr>
          <w:rStyle w:val="default"/>
          <w:rFonts w:cs="FrankRuehl" w:hint="cs"/>
          <w:rtl/>
        </w:rPr>
        <w:t xml:space="preserve"> יעלה על 100 מטרים, למעט בשטח ייעודי להדלקת מדורות שהוקצה ביער, ולפי השלטים שבמקום;</w:t>
      </w:r>
    </w:p>
    <w:p w14:paraId="09696E8C" w14:textId="77777777" w:rsidR="00BA64DA" w:rsidRDefault="00BA64DA" w:rsidP="00BA64D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המרחק בין המדורה למיתקני גז ודלק </w:t>
      </w:r>
      <w:r>
        <w:rPr>
          <w:rStyle w:val="default"/>
          <w:rFonts w:cs="FrankRuehl"/>
          <w:rtl/>
        </w:rPr>
        <w:t>–</w:t>
      </w:r>
      <w:r>
        <w:rPr>
          <w:rStyle w:val="default"/>
          <w:rFonts w:cs="FrankRuehl" w:hint="cs"/>
          <w:rtl/>
        </w:rPr>
        <w:t xml:space="preserve"> יעלה על 20 מטרים;</w:t>
      </w:r>
    </w:p>
    <w:p w14:paraId="2CC29D98" w14:textId="77777777" w:rsidR="00BA64DA" w:rsidRDefault="00BA64DA" w:rsidP="00BA64D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המרחק בין המדורה למבנה </w:t>
      </w:r>
      <w:r>
        <w:rPr>
          <w:rStyle w:val="default"/>
          <w:rFonts w:cs="FrankRuehl"/>
          <w:rtl/>
        </w:rPr>
        <w:t>–</w:t>
      </w:r>
      <w:r>
        <w:rPr>
          <w:rStyle w:val="default"/>
          <w:rFonts w:cs="FrankRuehl" w:hint="cs"/>
          <w:rtl/>
        </w:rPr>
        <w:t xml:space="preserve"> יעלה על 10 מטרים;</w:t>
      </w:r>
    </w:p>
    <w:p w14:paraId="4124948E" w14:textId="77777777" w:rsidR="00BA64DA" w:rsidRDefault="00BA64DA" w:rsidP="00BA64D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מדורה שאינה כאמור בפסקה (1) </w:t>
      </w:r>
      <w:r>
        <w:rPr>
          <w:rStyle w:val="default"/>
          <w:rFonts w:cs="FrankRuehl"/>
          <w:rtl/>
        </w:rPr>
        <w:t>–</w:t>
      </w:r>
    </w:p>
    <w:p w14:paraId="3363D83D" w14:textId="77777777" w:rsidR="00BA64DA" w:rsidRDefault="00BA64DA" w:rsidP="0026597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המרחק בין המדורה ליער </w:t>
      </w:r>
      <w:r>
        <w:rPr>
          <w:rStyle w:val="default"/>
          <w:rFonts w:cs="FrankRuehl"/>
          <w:rtl/>
        </w:rPr>
        <w:t>–</w:t>
      </w:r>
      <w:r>
        <w:rPr>
          <w:rStyle w:val="default"/>
          <w:rFonts w:cs="FrankRuehl" w:hint="cs"/>
          <w:rtl/>
        </w:rPr>
        <w:t xml:space="preserve"> יעלה על 150 מטרים, למעט בשטח ייעודי להדלקת מדורות שהוקצה ביער ולפי השלטים שבמקום;</w:t>
      </w:r>
    </w:p>
    <w:p w14:paraId="186B6F09" w14:textId="77777777" w:rsidR="00BA64DA" w:rsidRDefault="00BA64DA" w:rsidP="0026597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המרחק בין המדורה למיתקני גז ודלק </w:t>
      </w:r>
      <w:r>
        <w:rPr>
          <w:rStyle w:val="default"/>
          <w:rFonts w:cs="FrankRuehl"/>
          <w:rtl/>
        </w:rPr>
        <w:t>–</w:t>
      </w:r>
      <w:r>
        <w:rPr>
          <w:rStyle w:val="default"/>
          <w:rFonts w:cs="FrankRuehl" w:hint="cs"/>
          <w:rtl/>
        </w:rPr>
        <w:t xml:space="preserve"> יעלה על 40 מטרים;</w:t>
      </w:r>
    </w:p>
    <w:p w14:paraId="6C8F5BB2" w14:textId="77777777" w:rsidR="00BA64DA" w:rsidRDefault="00BA64DA" w:rsidP="0026597D">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26597D">
        <w:rPr>
          <w:rStyle w:val="default"/>
          <w:rFonts w:cs="FrankRuehl" w:hint="cs"/>
          <w:rtl/>
        </w:rPr>
        <w:t xml:space="preserve">המרחק בין המדורה לקווי חשמל וטלפון </w:t>
      </w:r>
      <w:r w:rsidR="0026597D">
        <w:rPr>
          <w:rStyle w:val="default"/>
          <w:rFonts w:cs="FrankRuehl"/>
          <w:rtl/>
        </w:rPr>
        <w:t>–</w:t>
      </w:r>
      <w:r w:rsidR="0026597D">
        <w:rPr>
          <w:rStyle w:val="default"/>
          <w:rFonts w:cs="FrankRuehl" w:hint="cs"/>
          <w:rtl/>
        </w:rPr>
        <w:t xml:space="preserve"> יעלה על 20 מטרים;</w:t>
      </w:r>
    </w:p>
    <w:p w14:paraId="52BDBB0B" w14:textId="77777777" w:rsidR="0026597D" w:rsidRDefault="0026597D" w:rsidP="0026597D">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המרחק בין המדורה למבנה </w:t>
      </w:r>
      <w:r>
        <w:rPr>
          <w:rStyle w:val="default"/>
          <w:rFonts w:cs="FrankRuehl"/>
          <w:rtl/>
        </w:rPr>
        <w:t>–</w:t>
      </w:r>
      <w:r>
        <w:rPr>
          <w:rStyle w:val="default"/>
          <w:rFonts w:cs="FrankRuehl" w:hint="cs"/>
          <w:rtl/>
        </w:rPr>
        <w:t xml:space="preserve"> יעלה על 20 מטרים;</w:t>
      </w:r>
    </w:p>
    <w:p w14:paraId="53BD66BE" w14:textId="77777777" w:rsidR="0026597D" w:rsidRDefault="0026597D" w:rsidP="0026597D">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המרחק בין המדורה למדורה אחרת </w:t>
      </w:r>
      <w:r>
        <w:rPr>
          <w:rStyle w:val="default"/>
          <w:rFonts w:cs="FrankRuehl"/>
          <w:rtl/>
        </w:rPr>
        <w:t>–</w:t>
      </w:r>
      <w:r>
        <w:rPr>
          <w:rStyle w:val="default"/>
          <w:rFonts w:cs="FrankRuehl" w:hint="cs"/>
          <w:rtl/>
        </w:rPr>
        <w:t xml:space="preserve"> יעלה על 4 מטרים.</w:t>
      </w:r>
    </w:p>
    <w:p w14:paraId="241B6762" w14:textId="77777777" w:rsidR="001A14FF" w:rsidRDefault="001A14FF" w:rsidP="0026597D">
      <w:pPr>
        <w:pStyle w:val="P00"/>
        <w:spacing w:before="72"/>
        <w:ind w:left="0" w:right="1134"/>
        <w:rPr>
          <w:rStyle w:val="default"/>
          <w:rFonts w:cs="FrankRuehl" w:hint="cs"/>
          <w:rtl/>
        </w:rPr>
      </w:pPr>
      <w:bookmarkStart w:id="3" w:name="Seif4"/>
      <w:bookmarkEnd w:id="3"/>
      <w:r>
        <w:rPr>
          <w:lang w:val="he-IL"/>
        </w:rPr>
        <w:pict w14:anchorId="4952195B">
          <v:rect id="_x0000_s1029" style="position:absolute;left:0;text-align:left;margin-left:464.5pt;margin-top:8.05pt;width:75.05pt;height:11.6pt;z-index:251656192" o:allowincell="f" filled="f" stroked="f" strokecolor="lime" strokeweight=".25pt">
            <v:textbox inset="0,0,0,0">
              <w:txbxContent>
                <w:p w14:paraId="0FFACADC" w14:textId="77777777" w:rsidR="001A14FF" w:rsidRDefault="0026597D">
                  <w:pPr>
                    <w:spacing w:line="160" w:lineRule="exact"/>
                    <w:jc w:val="left"/>
                    <w:rPr>
                      <w:rFonts w:cs="Miriam" w:hint="cs"/>
                      <w:noProof/>
                      <w:sz w:val="18"/>
                      <w:szCs w:val="18"/>
                      <w:rtl/>
                    </w:rPr>
                  </w:pPr>
                  <w:r>
                    <w:rPr>
                      <w:rFonts w:cs="Miriam" w:hint="cs"/>
                      <w:sz w:val="18"/>
                      <w:szCs w:val="18"/>
                      <w:rtl/>
                    </w:rPr>
                    <w:t>גודל המדורה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6597D">
        <w:rPr>
          <w:rStyle w:val="default"/>
          <w:rFonts w:cs="FrankRuehl" w:hint="cs"/>
          <w:rtl/>
        </w:rPr>
        <w:t>גודל בסיס המדורה לא יעלה על קוטר של 4 מטרים.</w:t>
      </w:r>
    </w:p>
    <w:p w14:paraId="4A59E4B5" w14:textId="77777777" w:rsidR="0026597D" w:rsidRDefault="0026597D" w:rsidP="002659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גובה מערום חומרי הבעירה המשמשים למדורה לא יעלה על 3 מטרים מגובה הקרקע.</w:t>
      </w:r>
    </w:p>
    <w:p w14:paraId="75A7BFE1" w14:textId="77777777" w:rsidR="001A14FF" w:rsidRDefault="001A14FF" w:rsidP="0026597D">
      <w:pPr>
        <w:pStyle w:val="P00"/>
        <w:spacing w:before="72"/>
        <w:ind w:left="0" w:right="1134"/>
        <w:rPr>
          <w:rStyle w:val="default"/>
          <w:rFonts w:cs="FrankRuehl" w:hint="cs"/>
          <w:rtl/>
        </w:rPr>
      </w:pPr>
      <w:bookmarkStart w:id="4" w:name="Seif5"/>
      <w:bookmarkEnd w:id="4"/>
      <w:r>
        <w:rPr>
          <w:lang w:val="he-IL"/>
        </w:rPr>
        <w:pict w14:anchorId="6DA3848F">
          <v:rect id="_x0000_s1030" style="position:absolute;left:0;text-align:left;margin-left:464.5pt;margin-top:8.05pt;width:75.05pt;height:15.85pt;z-index:251657216" o:allowincell="f" filled="f" stroked="f" strokecolor="lime" strokeweight=".25pt">
            <v:textbox inset="0,0,0,0">
              <w:txbxContent>
                <w:p w14:paraId="2CB2419F" w14:textId="77777777" w:rsidR="001A14FF" w:rsidRDefault="0026597D">
                  <w:pPr>
                    <w:spacing w:line="160" w:lineRule="exact"/>
                    <w:jc w:val="left"/>
                    <w:rPr>
                      <w:rFonts w:cs="Miriam" w:hint="cs"/>
                      <w:noProof/>
                      <w:sz w:val="18"/>
                      <w:szCs w:val="18"/>
                      <w:rtl/>
                    </w:rPr>
                  </w:pPr>
                  <w:r>
                    <w:rPr>
                      <w:rFonts w:cs="Miriam" w:hint="cs"/>
                      <w:sz w:val="18"/>
                      <w:szCs w:val="18"/>
                      <w:rtl/>
                    </w:rPr>
                    <w:t>חומרי הבעירה במדורה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6597D">
        <w:rPr>
          <w:rStyle w:val="default"/>
          <w:rFonts w:cs="FrankRuehl" w:hint="cs"/>
          <w:rtl/>
        </w:rPr>
        <w:t>חומר הבעירה במדורה יהיה עץ יבש, חלקיו ותוצריו בלבד</w:t>
      </w:r>
      <w:r>
        <w:rPr>
          <w:rStyle w:val="default"/>
          <w:rFonts w:cs="FrankRuehl" w:hint="cs"/>
          <w:rtl/>
        </w:rPr>
        <w:t>.</w:t>
      </w:r>
    </w:p>
    <w:p w14:paraId="3F79098F" w14:textId="77777777" w:rsidR="0026597D" w:rsidRDefault="0026597D" w:rsidP="002659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הדלקת המדורה לא תיעשה באמצעות כימיקל מזיק, רעל או חומר נפיץ למעט חומר </w:t>
      </w:r>
      <w:r>
        <w:rPr>
          <w:rStyle w:val="default"/>
          <w:rFonts w:cs="FrankRuehl" w:hint="cs"/>
          <w:rtl/>
        </w:rPr>
        <w:lastRenderedPageBreak/>
        <w:t>מאיץ בעירה מוצק.</w:t>
      </w:r>
    </w:p>
    <w:p w14:paraId="21707F4E" w14:textId="77777777" w:rsidR="001A14FF" w:rsidRDefault="001A14FF" w:rsidP="0026597D">
      <w:pPr>
        <w:pStyle w:val="P00"/>
        <w:spacing w:before="72"/>
        <w:ind w:left="0" w:right="1134"/>
        <w:rPr>
          <w:rStyle w:val="default"/>
          <w:rFonts w:cs="FrankRuehl" w:hint="cs"/>
          <w:rtl/>
        </w:rPr>
      </w:pPr>
      <w:bookmarkStart w:id="5" w:name="Seif6"/>
      <w:bookmarkEnd w:id="5"/>
      <w:r>
        <w:rPr>
          <w:lang w:val="he-IL"/>
        </w:rPr>
        <w:pict w14:anchorId="35214D3F">
          <v:rect id="_x0000_s1031" style="position:absolute;left:0;text-align:left;margin-left:464.5pt;margin-top:8.05pt;width:75.05pt;height:18.55pt;z-index:251658240" o:allowincell="f" filled="f" stroked="f" strokecolor="lime" strokeweight=".25pt">
            <v:textbox inset="0,0,0,0">
              <w:txbxContent>
                <w:p w14:paraId="19CC0AFB" w14:textId="77777777" w:rsidR="001A14FF" w:rsidRDefault="0026597D">
                  <w:pPr>
                    <w:spacing w:line="160" w:lineRule="exact"/>
                    <w:jc w:val="left"/>
                    <w:rPr>
                      <w:rFonts w:cs="Miriam" w:hint="cs"/>
                      <w:noProof/>
                      <w:sz w:val="18"/>
                      <w:szCs w:val="18"/>
                      <w:rtl/>
                    </w:rPr>
                  </w:pPr>
                  <w:r>
                    <w:rPr>
                      <w:rFonts w:cs="Miriam" w:hint="cs"/>
                      <w:sz w:val="18"/>
                      <w:szCs w:val="18"/>
                      <w:rtl/>
                    </w:rPr>
                    <w:t>אמצעי כיבוי בקרבת מדורה</w:t>
                  </w:r>
                </w:p>
              </w:txbxContent>
            </v:textbox>
            <w10:anchorlock/>
          </v:rect>
        </w:pict>
      </w:r>
      <w:r>
        <w:rPr>
          <w:rStyle w:val="big-number"/>
          <w:rFonts w:cs="Miriam"/>
          <w:rtl/>
        </w:rPr>
        <w:t>6.</w:t>
      </w:r>
      <w:r>
        <w:rPr>
          <w:rStyle w:val="big-number"/>
          <w:rFonts w:cs="Miriam"/>
          <w:rtl/>
        </w:rPr>
        <w:tab/>
      </w:r>
      <w:r w:rsidR="0026597D">
        <w:rPr>
          <w:rStyle w:val="default"/>
          <w:rFonts w:cs="FrankRuehl" w:hint="cs"/>
          <w:rtl/>
        </w:rPr>
        <w:t>לא ידליק אדם מדורה אלא אם כן בקרבתה יהיו מצויים מים, חול או אמצעי כיבוי אחר בכמות מספקת אשר תאפשר את כיבויה</w:t>
      </w:r>
      <w:r>
        <w:rPr>
          <w:rStyle w:val="default"/>
          <w:rFonts w:cs="FrankRuehl" w:hint="cs"/>
          <w:rtl/>
        </w:rPr>
        <w:t>.</w:t>
      </w:r>
    </w:p>
    <w:p w14:paraId="73D08A55" w14:textId="77777777" w:rsidR="001A14FF" w:rsidRDefault="001A14FF" w:rsidP="0026597D">
      <w:pPr>
        <w:pStyle w:val="P00"/>
        <w:spacing w:before="72"/>
        <w:ind w:left="0" w:right="1134"/>
        <w:rPr>
          <w:rStyle w:val="default"/>
          <w:rFonts w:cs="FrankRuehl" w:hint="cs"/>
          <w:rtl/>
        </w:rPr>
      </w:pPr>
      <w:bookmarkStart w:id="6" w:name="Seif7"/>
      <w:bookmarkEnd w:id="6"/>
      <w:r>
        <w:rPr>
          <w:lang w:val="he-IL"/>
        </w:rPr>
        <w:pict w14:anchorId="599D47EC">
          <v:rect id="_x0000_s1032" style="position:absolute;left:0;text-align:left;margin-left:464.5pt;margin-top:8.05pt;width:75.05pt;height:12.25pt;z-index:251659264" o:allowincell="f" filled="f" stroked="f" strokecolor="lime" strokeweight=".25pt">
            <v:textbox inset="0,0,0,0">
              <w:txbxContent>
                <w:p w14:paraId="5360DB56" w14:textId="77777777" w:rsidR="001A14FF" w:rsidRDefault="0026597D">
                  <w:pPr>
                    <w:spacing w:line="160" w:lineRule="exact"/>
                    <w:jc w:val="left"/>
                    <w:rPr>
                      <w:rFonts w:cs="Miriam" w:hint="cs"/>
                      <w:noProof/>
                      <w:sz w:val="18"/>
                      <w:szCs w:val="18"/>
                      <w:rtl/>
                    </w:rPr>
                  </w:pPr>
                  <w:r>
                    <w:rPr>
                      <w:rFonts w:cs="Miriam" w:hint="cs"/>
                      <w:sz w:val="18"/>
                      <w:szCs w:val="18"/>
                      <w:rtl/>
                    </w:rPr>
                    <w:t>כיבוי המדירה</w:t>
                  </w:r>
                </w:p>
              </w:txbxContent>
            </v:textbox>
            <w10:anchorlock/>
          </v:rect>
        </w:pict>
      </w:r>
      <w:r>
        <w:rPr>
          <w:rStyle w:val="big-number"/>
          <w:rFonts w:cs="Miriam"/>
          <w:rtl/>
        </w:rPr>
        <w:t>7.</w:t>
      </w:r>
      <w:r>
        <w:rPr>
          <w:rStyle w:val="big-number"/>
          <w:rFonts w:cs="Miriam"/>
          <w:rtl/>
        </w:rPr>
        <w:tab/>
      </w:r>
      <w:r w:rsidR="0026597D">
        <w:rPr>
          <w:rStyle w:val="default"/>
          <w:rFonts w:cs="FrankRuehl" w:hint="cs"/>
          <w:rtl/>
        </w:rPr>
        <w:t>לא ישאיר אדם מדורה בלא השגחה אלא לאחר שווידא את כיבויה לרבות כיבוי הגחלים ואי-הידלקות האש מחדש למשך 15 דקות.</w:t>
      </w:r>
    </w:p>
    <w:p w14:paraId="2257C528" w14:textId="77777777" w:rsidR="001A14FF" w:rsidRDefault="001A14FF" w:rsidP="0026597D">
      <w:pPr>
        <w:pStyle w:val="P00"/>
        <w:spacing w:before="72"/>
        <w:ind w:left="0" w:right="1134"/>
        <w:rPr>
          <w:rStyle w:val="default"/>
          <w:rFonts w:cs="FrankRuehl" w:hint="cs"/>
          <w:rtl/>
        </w:rPr>
      </w:pPr>
      <w:bookmarkStart w:id="7" w:name="Seif8"/>
      <w:bookmarkEnd w:id="7"/>
      <w:r>
        <w:rPr>
          <w:lang w:val="he-IL"/>
        </w:rPr>
        <w:pict w14:anchorId="01DD0101">
          <v:rect id="_x0000_s1033" style="position:absolute;left:0;text-align:left;margin-left:464.5pt;margin-top:8.05pt;width:75.05pt;height:17.9pt;z-index:251660288" o:allowincell="f" filled="f" stroked="f" strokecolor="lime" strokeweight=".25pt">
            <v:textbox style="mso-next-textbox:#_x0000_s1033" inset="0,0,0,0">
              <w:txbxContent>
                <w:p w14:paraId="234F5202" w14:textId="77777777" w:rsidR="001A14FF" w:rsidRDefault="0026597D">
                  <w:pPr>
                    <w:spacing w:line="160" w:lineRule="exact"/>
                    <w:jc w:val="left"/>
                    <w:rPr>
                      <w:rFonts w:cs="Miriam" w:hint="cs"/>
                      <w:noProof/>
                      <w:sz w:val="18"/>
                      <w:szCs w:val="18"/>
                      <w:rtl/>
                    </w:rPr>
                  </w:pPr>
                  <w:r>
                    <w:rPr>
                      <w:rFonts w:cs="Miriam" w:hint="cs"/>
                      <w:sz w:val="18"/>
                      <w:szCs w:val="18"/>
                      <w:rtl/>
                    </w:rPr>
                    <w:t>מועד ואזור אסורים למדורות</w:t>
                  </w:r>
                </w:p>
              </w:txbxContent>
            </v:textbox>
            <w10:anchorlock/>
          </v:rect>
        </w:pict>
      </w:r>
      <w:r>
        <w:rPr>
          <w:rStyle w:val="big-number"/>
          <w:rFonts w:cs="Miriam"/>
          <w:rtl/>
        </w:rPr>
        <w:t>8.</w:t>
      </w:r>
      <w:r>
        <w:rPr>
          <w:rStyle w:val="big-number"/>
          <w:rFonts w:cs="Miriam"/>
          <w:rtl/>
        </w:rPr>
        <w:tab/>
      </w:r>
      <w:r w:rsidR="00F57258">
        <w:rPr>
          <w:rStyle w:val="default"/>
          <w:rFonts w:cs="FrankRuehl" w:hint="cs"/>
          <w:rtl/>
        </w:rPr>
        <w:t>(א)</w:t>
      </w:r>
      <w:r w:rsidR="00F57258">
        <w:rPr>
          <w:rStyle w:val="default"/>
          <w:rFonts w:cs="FrankRuehl" w:hint="cs"/>
          <w:rtl/>
        </w:rPr>
        <w:tab/>
      </w:r>
      <w:r w:rsidR="0026597D">
        <w:rPr>
          <w:rStyle w:val="default"/>
          <w:rFonts w:cs="FrankRuehl" w:hint="cs"/>
          <w:rtl/>
        </w:rPr>
        <w:t>הנציב או מי שהוא הסמיך לכך רשאי לאסור על הדלקת מדורות במועד או באזור מסוים, בשל תנאים קיצוניים המעלים את הסבירות להתרחשות דליקות באותו מועד או אזור; ואולם בחגים ובמועדים שבהם נהוגה הדלקת מדורות, תהיה הסמכות האמורה נתונה לנציב בלבד.</w:t>
      </w:r>
    </w:p>
    <w:p w14:paraId="1C336720" w14:textId="77777777" w:rsidR="0026597D" w:rsidRDefault="0026597D" w:rsidP="002659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הכבאות וההצלה תפרסם הודעה על איסור להדליק מדורות כאמור בתקנת משנה (א) באתר האינטרנט של רשות הכבאות וההצלה ובאמצעי התקשורת.</w:t>
      </w:r>
    </w:p>
    <w:p w14:paraId="7B07F70F" w14:textId="77777777" w:rsidR="0026597D" w:rsidRDefault="0026597D" w:rsidP="002659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ידליק אדם מדורה ולא ישהה לצדה במועד או באזור אשר רשות הכבאות וההצלה הודיעה שאסור להדליק בו מדורות כאמור בתקנת משנה (ב).</w:t>
      </w:r>
    </w:p>
    <w:p w14:paraId="7B9E02BE" w14:textId="77777777" w:rsidR="001A14FF" w:rsidRDefault="001A14FF" w:rsidP="0026597D">
      <w:pPr>
        <w:pStyle w:val="P00"/>
        <w:spacing w:before="72"/>
        <w:ind w:left="0" w:right="1134"/>
        <w:rPr>
          <w:rStyle w:val="default"/>
          <w:rFonts w:cs="FrankRuehl" w:hint="cs"/>
          <w:rtl/>
        </w:rPr>
      </w:pPr>
      <w:bookmarkStart w:id="8" w:name="Seif9"/>
      <w:bookmarkEnd w:id="8"/>
      <w:r>
        <w:rPr>
          <w:lang w:val="he-IL"/>
        </w:rPr>
        <w:pict w14:anchorId="167C35CB">
          <v:rect id="_x0000_s1034" style="position:absolute;left:0;text-align:left;margin-left:464.5pt;margin-top:8.05pt;width:75.05pt;height:13pt;z-index:251661312" o:allowincell="f" filled="f" stroked="f" strokecolor="lime" strokeweight=".25pt">
            <v:textbox inset="0,0,0,0">
              <w:txbxContent>
                <w:p w14:paraId="58E04209" w14:textId="77777777" w:rsidR="001A14FF" w:rsidRDefault="0026597D">
                  <w:pPr>
                    <w:spacing w:line="160" w:lineRule="exact"/>
                    <w:jc w:val="left"/>
                    <w:rPr>
                      <w:rFonts w:cs="Miriam" w:hint="cs"/>
                      <w:noProof/>
                      <w:sz w:val="18"/>
                      <w:szCs w:val="18"/>
                      <w:rtl/>
                    </w:rPr>
                  </w:pPr>
                  <w:r>
                    <w:rPr>
                      <w:rFonts w:cs="Miriam" w:hint="cs"/>
                      <w:sz w:val="18"/>
                      <w:szCs w:val="18"/>
                      <w:rtl/>
                    </w:rPr>
                    <w:t>נסיבות מיוחדות</w:t>
                  </w:r>
                </w:p>
              </w:txbxContent>
            </v:textbox>
            <w10:anchorlock/>
          </v:rect>
        </w:pict>
      </w:r>
      <w:r>
        <w:rPr>
          <w:rStyle w:val="big-number"/>
          <w:rFonts w:cs="Miriam"/>
          <w:rtl/>
        </w:rPr>
        <w:t>9.</w:t>
      </w:r>
      <w:r>
        <w:rPr>
          <w:rStyle w:val="big-number"/>
          <w:rFonts w:cs="Miriam"/>
          <w:rtl/>
        </w:rPr>
        <w:tab/>
      </w:r>
      <w:r w:rsidR="0026597D">
        <w:rPr>
          <w:rStyle w:val="default"/>
          <w:rFonts w:cs="FrankRuehl" w:hint="cs"/>
          <w:rtl/>
        </w:rPr>
        <w:t>מפקד מחוז, או מי שהוא הסמיך לכך, רשאי לאשר, במקרים חריגים, מראש ובכתב, הדלקת מדורה שלא לפי תקנות אלה, ובתנאים שיקבע, ובלבד שמצא כי ניתן לקיים רמה נאותה של בטיחות אש בנסיבות העניין</w:t>
      </w:r>
      <w:r w:rsidR="00914437">
        <w:rPr>
          <w:rStyle w:val="default"/>
          <w:rFonts w:cs="FrankRuehl" w:hint="cs"/>
          <w:rtl/>
        </w:rPr>
        <w:t>.</w:t>
      </w:r>
    </w:p>
    <w:p w14:paraId="77DC1C72" w14:textId="77777777" w:rsidR="00BA64DA" w:rsidRDefault="00BA64DA" w:rsidP="0026597D">
      <w:pPr>
        <w:pStyle w:val="P00"/>
        <w:spacing w:before="72"/>
        <w:ind w:left="0" w:right="1134"/>
        <w:rPr>
          <w:rStyle w:val="default"/>
          <w:rFonts w:cs="FrankRuehl" w:hint="cs"/>
          <w:rtl/>
        </w:rPr>
      </w:pPr>
      <w:bookmarkStart w:id="9" w:name="Seif10"/>
      <w:bookmarkEnd w:id="9"/>
      <w:r>
        <w:rPr>
          <w:lang w:val="he-IL"/>
        </w:rPr>
        <w:pict w14:anchorId="36286997">
          <v:rect id="_x0000_s1043" style="position:absolute;left:0;text-align:left;margin-left:464.5pt;margin-top:8.05pt;width:75.05pt;height:13pt;z-index:251662336" o:allowincell="f" filled="f" stroked="f" strokecolor="lime" strokeweight=".25pt">
            <v:textbox inset="0,0,0,0">
              <w:txbxContent>
                <w:p w14:paraId="5FCBEFAF" w14:textId="77777777" w:rsidR="00BA64DA" w:rsidRDefault="0026597D" w:rsidP="00BA64DA">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26597D">
        <w:rPr>
          <w:rStyle w:val="big-number"/>
          <w:rFonts w:cs="Miriam" w:hint="cs"/>
          <w:rtl/>
        </w:rPr>
        <w:t>10</w:t>
      </w:r>
      <w:r>
        <w:rPr>
          <w:rStyle w:val="big-number"/>
          <w:rFonts w:cs="Miriam"/>
          <w:rtl/>
        </w:rPr>
        <w:t>.</w:t>
      </w:r>
      <w:r>
        <w:rPr>
          <w:rStyle w:val="big-number"/>
          <w:rFonts w:cs="Miriam"/>
          <w:rtl/>
        </w:rPr>
        <w:tab/>
      </w:r>
      <w:r w:rsidR="0026597D">
        <w:rPr>
          <w:rStyle w:val="default"/>
          <w:rFonts w:cs="FrankRuehl" w:hint="cs"/>
          <w:rtl/>
        </w:rPr>
        <w:t>תקנות אלה באות להוסיף על הוראות כל דין ולא לגרוע מהן</w:t>
      </w:r>
      <w:r>
        <w:rPr>
          <w:rStyle w:val="default"/>
          <w:rFonts w:cs="FrankRuehl" w:hint="cs"/>
          <w:rtl/>
        </w:rPr>
        <w:t>.</w:t>
      </w:r>
    </w:p>
    <w:p w14:paraId="523C3122" w14:textId="77777777" w:rsidR="001A14FF" w:rsidRDefault="001A14FF">
      <w:pPr>
        <w:pStyle w:val="P00"/>
        <w:spacing w:before="72"/>
        <w:ind w:left="0" w:right="1134"/>
        <w:rPr>
          <w:rStyle w:val="default"/>
          <w:rFonts w:cs="FrankRuehl"/>
          <w:rtl/>
        </w:rPr>
      </w:pPr>
    </w:p>
    <w:p w14:paraId="6A35B898" w14:textId="77777777" w:rsidR="001A14FF" w:rsidRDefault="001A14FF">
      <w:pPr>
        <w:pStyle w:val="P00"/>
        <w:spacing w:before="72"/>
        <w:ind w:left="0" w:right="1134"/>
        <w:rPr>
          <w:rStyle w:val="default"/>
          <w:rFonts w:cs="FrankRuehl"/>
          <w:rtl/>
        </w:rPr>
      </w:pPr>
    </w:p>
    <w:p w14:paraId="29F797DB" w14:textId="77777777" w:rsidR="001A14FF" w:rsidRDefault="0026597D" w:rsidP="00914437">
      <w:pPr>
        <w:pStyle w:val="sig-0"/>
        <w:tabs>
          <w:tab w:val="clear" w:pos="4820"/>
          <w:tab w:val="center" w:pos="5670"/>
        </w:tabs>
        <w:spacing w:before="72"/>
        <w:ind w:left="0" w:right="1134"/>
        <w:rPr>
          <w:rFonts w:cs="FrankRuehl" w:hint="cs"/>
          <w:sz w:val="26"/>
          <w:rtl/>
        </w:rPr>
      </w:pPr>
      <w:r>
        <w:rPr>
          <w:rFonts w:cs="FrankRuehl" w:hint="cs"/>
          <w:sz w:val="26"/>
          <w:rtl/>
        </w:rPr>
        <w:t>כ"ח בטבת התשע"ה (19 בינואר 2015</w:t>
      </w:r>
      <w:r w:rsidR="001A14FF">
        <w:rPr>
          <w:rFonts w:cs="FrankRuehl" w:hint="cs"/>
          <w:sz w:val="26"/>
          <w:rtl/>
        </w:rPr>
        <w:t>)</w:t>
      </w:r>
      <w:r w:rsidR="001A14FF">
        <w:rPr>
          <w:rFonts w:cs="FrankRuehl"/>
          <w:sz w:val="26"/>
          <w:rtl/>
        </w:rPr>
        <w:tab/>
      </w:r>
      <w:r w:rsidR="00914437">
        <w:rPr>
          <w:rFonts w:cs="FrankRuehl" w:hint="cs"/>
          <w:sz w:val="26"/>
          <w:rtl/>
        </w:rPr>
        <w:t>יצחק אהרונוביץ'</w:t>
      </w:r>
    </w:p>
    <w:p w14:paraId="1A8970F9" w14:textId="77777777" w:rsidR="001A14FF" w:rsidRDefault="00B2026B" w:rsidP="00B2026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השר לביטחון הפנים</w:t>
      </w:r>
    </w:p>
    <w:p w14:paraId="25BFADB7" w14:textId="77777777" w:rsidR="00BA64DA" w:rsidRDefault="00BA64DA" w:rsidP="008F1EA7">
      <w:pPr>
        <w:pStyle w:val="P00"/>
        <w:spacing w:before="72"/>
        <w:ind w:left="0" w:right="1134"/>
        <w:rPr>
          <w:rStyle w:val="default"/>
          <w:rFonts w:cs="FrankRuehl" w:hint="cs"/>
          <w:rtl/>
        </w:rPr>
      </w:pPr>
    </w:p>
    <w:p w14:paraId="4578143B" w14:textId="77777777" w:rsidR="008F1EA7" w:rsidRPr="008F1EA7" w:rsidRDefault="008F1EA7" w:rsidP="008F1EA7">
      <w:pPr>
        <w:pStyle w:val="P00"/>
        <w:spacing w:before="72"/>
        <w:ind w:left="0" w:right="1134"/>
        <w:rPr>
          <w:rStyle w:val="default"/>
          <w:rFonts w:cs="FrankRuehl" w:hint="cs"/>
          <w:rtl/>
        </w:rPr>
      </w:pPr>
    </w:p>
    <w:p w14:paraId="2AACF19A" w14:textId="77777777" w:rsidR="001A14FF" w:rsidRPr="008F1EA7" w:rsidRDefault="001A14FF" w:rsidP="008F1EA7">
      <w:pPr>
        <w:pStyle w:val="P00"/>
        <w:spacing w:before="72"/>
        <w:ind w:left="0" w:right="1134"/>
        <w:rPr>
          <w:rStyle w:val="default"/>
          <w:rFonts w:cs="FrankRuehl"/>
          <w:rtl/>
        </w:rPr>
      </w:pPr>
      <w:bookmarkStart w:id="10" w:name="LawPartEnd"/>
    </w:p>
    <w:bookmarkEnd w:id="10"/>
    <w:p w14:paraId="47BD7670" w14:textId="77777777" w:rsidR="009C531D" w:rsidRDefault="009C531D" w:rsidP="008F1EA7">
      <w:pPr>
        <w:pStyle w:val="P00"/>
        <w:spacing w:before="72"/>
        <w:ind w:left="0" w:right="1134"/>
        <w:rPr>
          <w:rStyle w:val="default"/>
          <w:rFonts w:cs="FrankRuehl"/>
          <w:rtl/>
        </w:rPr>
      </w:pPr>
    </w:p>
    <w:p w14:paraId="4A758A31" w14:textId="77777777" w:rsidR="009C531D" w:rsidRDefault="009C531D" w:rsidP="008F1EA7">
      <w:pPr>
        <w:pStyle w:val="P00"/>
        <w:spacing w:before="72"/>
        <w:ind w:left="0" w:right="1134"/>
        <w:rPr>
          <w:rStyle w:val="default"/>
          <w:rFonts w:cs="FrankRuehl"/>
          <w:rtl/>
        </w:rPr>
      </w:pPr>
    </w:p>
    <w:p w14:paraId="1A435C09" w14:textId="77777777" w:rsidR="009C531D" w:rsidRDefault="009C531D" w:rsidP="009C531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52E7DC4" w14:textId="77777777" w:rsidR="00455A5A" w:rsidRPr="009C531D" w:rsidRDefault="00455A5A" w:rsidP="009C531D">
      <w:pPr>
        <w:pStyle w:val="P00"/>
        <w:spacing w:before="72"/>
        <w:ind w:left="0" w:right="1134"/>
        <w:jc w:val="center"/>
        <w:rPr>
          <w:rStyle w:val="default"/>
          <w:rFonts w:cs="David"/>
          <w:color w:val="0000FF"/>
          <w:szCs w:val="24"/>
          <w:u w:val="single"/>
          <w:rtl/>
        </w:rPr>
      </w:pPr>
    </w:p>
    <w:sectPr w:rsidR="00455A5A" w:rsidRPr="009C531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D75C" w14:textId="77777777" w:rsidR="00695AE2" w:rsidRDefault="00695AE2">
      <w:r>
        <w:separator/>
      </w:r>
    </w:p>
  </w:endnote>
  <w:endnote w:type="continuationSeparator" w:id="0">
    <w:p w14:paraId="3EFB87E3" w14:textId="77777777" w:rsidR="00695AE2" w:rsidRDefault="0069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C61F" w14:textId="77777777"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CF7ABD" w14:textId="77777777"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A47895" w14:textId="77777777"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31D">
      <w:rPr>
        <w:rFonts w:cs="TopType Jerushalmi"/>
        <w:noProof/>
        <w:color w:val="000000"/>
        <w:sz w:val="14"/>
        <w:szCs w:val="14"/>
      </w:rPr>
      <w:t>Z:\000-law\yael\2015\2015-02-09\501_187.doc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B204" w14:textId="77777777" w:rsidR="001A14FF" w:rsidRDefault="001A14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531D">
      <w:rPr>
        <w:rFonts w:hAnsi="FrankRuehl" w:cs="FrankRuehl"/>
        <w:noProof/>
        <w:sz w:val="24"/>
        <w:szCs w:val="24"/>
        <w:rtl/>
      </w:rPr>
      <w:t>3</w:t>
    </w:r>
    <w:r>
      <w:rPr>
        <w:rFonts w:hAnsi="FrankRuehl" w:cs="FrankRuehl"/>
        <w:sz w:val="24"/>
        <w:szCs w:val="24"/>
        <w:rtl/>
      </w:rPr>
      <w:fldChar w:fldCharType="end"/>
    </w:r>
  </w:p>
  <w:p w14:paraId="292AF415" w14:textId="77777777" w:rsidR="001A14FF" w:rsidRDefault="001A14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FE29F0B" w14:textId="77777777" w:rsidR="001A14FF" w:rsidRDefault="001A14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531D">
      <w:rPr>
        <w:rFonts w:cs="TopType Jerushalmi"/>
        <w:noProof/>
        <w:color w:val="000000"/>
        <w:sz w:val="14"/>
        <w:szCs w:val="14"/>
      </w:rPr>
      <w:t>Z:\000-law\yael\2015\2015-02-09\501_187.doc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A337" w14:textId="77777777" w:rsidR="00695AE2" w:rsidRDefault="00695AE2" w:rsidP="009A1E2C">
      <w:pPr>
        <w:spacing w:before="60" w:line="240" w:lineRule="auto"/>
        <w:ind w:right="1134"/>
      </w:pPr>
      <w:r>
        <w:separator/>
      </w:r>
    </w:p>
  </w:footnote>
  <w:footnote w:type="continuationSeparator" w:id="0">
    <w:p w14:paraId="45D2CA7E" w14:textId="77777777" w:rsidR="00695AE2" w:rsidRDefault="00695AE2">
      <w:r>
        <w:continuationSeparator/>
      </w:r>
    </w:p>
  </w:footnote>
  <w:footnote w:id="1">
    <w:p w14:paraId="2EA490DA" w14:textId="77777777" w:rsidR="0066457E" w:rsidRPr="009A1E2C" w:rsidRDefault="009A1E2C" w:rsidP="0066457E">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 xml:space="preserve">רסמו </w:t>
      </w:r>
      <w:hyperlink r:id="rId1" w:history="1">
        <w:r w:rsidRPr="0066457E">
          <w:rPr>
            <w:rStyle w:val="Hyperlink"/>
            <w:rFonts w:cs="FrankRuehl" w:hint="cs"/>
            <w:sz w:val="22"/>
            <w:szCs w:val="22"/>
            <w:rtl/>
          </w:rPr>
          <w:t>ק"ת תש</w:t>
        </w:r>
        <w:r w:rsidR="00BA64DA" w:rsidRPr="0066457E">
          <w:rPr>
            <w:rStyle w:val="Hyperlink"/>
            <w:rFonts w:cs="FrankRuehl" w:hint="cs"/>
            <w:sz w:val="22"/>
            <w:szCs w:val="22"/>
            <w:rtl/>
          </w:rPr>
          <w:t>ע"ה</w:t>
        </w:r>
        <w:r w:rsidRPr="0066457E">
          <w:rPr>
            <w:rStyle w:val="Hyperlink"/>
            <w:rFonts w:cs="FrankRuehl" w:hint="cs"/>
            <w:sz w:val="22"/>
            <w:szCs w:val="22"/>
            <w:rtl/>
          </w:rPr>
          <w:t xml:space="preserve"> מס' </w:t>
        </w:r>
        <w:r w:rsidR="00BA64DA" w:rsidRPr="0066457E">
          <w:rPr>
            <w:rStyle w:val="Hyperlink"/>
            <w:rFonts w:cs="FrankRuehl" w:hint="cs"/>
            <w:sz w:val="22"/>
            <w:szCs w:val="22"/>
            <w:rtl/>
          </w:rPr>
          <w:t>7489</w:t>
        </w:r>
      </w:hyperlink>
      <w:r w:rsidRPr="009A1E2C">
        <w:rPr>
          <w:rFonts w:cs="FrankRuehl" w:hint="cs"/>
          <w:sz w:val="22"/>
          <w:szCs w:val="22"/>
          <w:rtl/>
        </w:rPr>
        <w:t xml:space="preserve"> מיום </w:t>
      </w:r>
      <w:r w:rsidR="00BA64DA">
        <w:rPr>
          <w:rFonts w:cs="FrankRuehl" w:hint="cs"/>
          <w:sz w:val="22"/>
          <w:szCs w:val="22"/>
          <w:rtl/>
        </w:rPr>
        <w:t>5.2</w:t>
      </w:r>
      <w:r w:rsidR="008F1EA7">
        <w:rPr>
          <w:rFonts w:cs="FrankRuehl" w:hint="cs"/>
          <w:sz w:val="22"/>
          <w:szCs w:val="22"/>
          <w:rtl/>
        </w:rPr>
        <w:t>.2014</w:t>
      </w:r>
      <w:r w:rsidRPr="009A1E2C">
        <w:rPr>
          <w:rFonts w:cs="FrankRuehl" w:hint="cs"/>
          <w:sz w:val="22"/>
          <w:szCs w:val="22"/>
          <w:rtl/>
        </w:rPr>
        <w:t xml:space="preserve"> עמ'</w:t>
      </w:r>
      <w:r w:rsidR="00BA64DA">
        <w:rPr>
          <w:rFonts w:cs="FrankRuehl" w:hint="cs"/>
          <w:sz w:val="22"/>
          <w:szCs w:val="22"/>
          <w:rtl/>
        </w:rPr>
        <w:t xml:space="preserve"> 836</w:t>
      </w:r>
      <w:r w:rsidR="00927CC9">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93DE" w14:textId="77777777" w:rsidR="001A14FF" w:rsidRDefault="001A14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14:paraId="6C0988EF"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D71822"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E85E" w14:textId="77777777" w:rsidR="001A14FF" w:rsidRDefault="001A14FF" w:rsidP="00BA64D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w:t>
    </w:r>
    <w:r w:rsidR="008F1EA7">
      <w:rPr>
        <w:rFonts w:hAnsi="FrankRuehl" w:cs="FrankRuehl" w:hint="cs"/>
        <w:color w:val="000000"/>
        <w:sz w:val="28"/>
        <w:szCs w:val="28"/>
        <w:rtl/>
      </w:rPr>
      <w:t>הרשות הארצית לכבאות והצלה (</w:t>
    </w:r>
    <w:r w:rsidR="00BA64DA">
      <w:rPr>
        <w:rFonts w:hAnsi="FrankRuehl" w:cs="FrankRuehl" w:hint="cs"/>
        <w:color w:val="000000"/>
        <w:sz w:val="28"/>
        <w:szCs w:val="28"/>
        <w:rtl/>
      </w:rPr>
      <w:t>כללי התנהגות ובטיחות אש בקיום מדורות), תשע"ה-2015</w:t>
    </w:r>
  </w:p>
  <w:p w14:paraId="7FD647B8"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8A5B6C" w14:textId="77777777" w:rsidR="001A14FF" w:rsidRDefault="001A14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55F85"/>
    <w:rsid w:val="000F5486"/>
    <w:rsid w:val="00113048"/>
    <w:rsid w:val="001A14FF"/>
    <w:rsid w:val="001B3285"/>
    <w:rsid w:val="001D4400"/>
    <w:rsid w:val="0026597D"/>
    <w:rsid w:val="003632BD"/>
    <w:rsid w:val="003F5FA0"/>
    <w:rsid w:val="0041413A"/>
    <w:rsid w:val="00455A5A"/>
    <w:rsid w:val="0063443E"/>
    <w:rsid w:val="006513CE"/>
    <w:rsid w:val="0066457E"/>
    <w:rsid w:val="00695AE2"/>
    <w:rsid w:val="006C2F91"/>
    <w:rsid w:val="007E7CB5"/>
    <w:rsid w:val="008F1EA7"/>
    <w:rsid w:val="00914437"/>
    <w:rsid w:val="00927CC9"/>
    <w:rsid w:val="009A1E2C"/>
    <w:rsid w:val="009C531D"/>
    <w:rsid w:val="009D78AF"/>
    <w:rsid w:val="00AC377D"/>
    <w:rsid w:val="00B2026B"/>
    <w:rsid w:val="00BA64DA"/>
    <w:rsid w:val="00D05664"/>
    <w:rsid w:val="00D41991"/>
    <w:rsid w:val="00E9459C"/>
    <w:rsid w:val="00ED00B1"/>
    <w:rsid w:val="00ED6D36"/>
    <w:rsid w:val="00F57258"/>
    <w:rsid w:val="00F701C0"/>
    <w:rsid w:val="00F82D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795159"/>
  <w15:chartTrackingRefBased/>
  <w15:docId w15:val="{35C9D50D-E5D3-4FC3-A20F-D78636E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1E2C"/>
    <w:rPr>
      <w:sz w:val="20"/>
      <w:szCs w:val="20"/>
    </w:rPr>
  </w:style>
  <w:style w:type="character" w:styleId="a6">
    <w:name w:val="footnote reference"/>
    <w:basedOn w:val="a0"/>
    <w:semiHidden/>
    <w:rsid w:val="009A1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4464</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7733253</vt:i4>
      </vt:variant>
      <vt:variant>
        <vt:i4>0</vt:i4>
      </vt:variant>
      <vt:variant>
        <vt:i4>0</vt:i4>
      </vt:variant>
      <vt:variant>
        <vt:i4>5</vt:i4>
      </vt:variant>
      <vt:variant>
        <vt:lpwstr>http://www.nevo.co.il/Law_word/law06/tak-7489.pdf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כבאות</vt:lpwstr>
  </property>
  <property fmtid="{D5CDD505-2E9C-101B-9397-08002B2CF9AE}" pid="4" name="LAWNAME">
    <vt:lpwstr>תקנות הרשות הארצית לכבאות והצלה (כללי התנהגות ובטיחות אש בקיום מדורות), תשע"ה-2015</vt:lpwstr>
  </property>
  <property fmtid="{D5CDD505-2E9C-101B-9397-08002B2CF9AE}" pid="5" name="LAWNUMBER">
    <vt:lpwstr>0187</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MEKOR_NAME1">
    <vt:lpwstr>חוק הרשות הארצית לכבאות והצלה</vt:lpwstr>
  </property>
  <property fmtid="{D5CDD505-2E9C-101B-9397-08002B2CF9AE}" pid="62" name="MEKOR_SAIF1">
    <vt:lpwstr>42XאX3X</vt:lpwstr>
  </property>
  <property fmtid="{D5CDD505-2E9C-101B-9397-08002B2CF9AE}" pid="63" name="LINKK1">
    <vt:lpwstr>http://www.nevo.co.il/Law_word/law06/tak-7489.pdf;‎רשומות - תקנות כלליות#פורסמו ק"ת תשע"ה מס' ‏‏7489# מיום 5.2.2014 עמ' 836‏</vt:lpwstr>
  </property>
  <property fmtid="{D5CDD505-2E9C-101B-9397-08002B2CF9AE}" pid="64" name="LINKK2">
    <vt:lpwstr/>
  </property>
</Properties>
</file>