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352" w:rsidRDefault="00DE0352">
      <w:pPr>
        <w:pStyle w:val="big-header"/>
        <w:ind w:left="0" w:right="1134"/>
        <w:rPr>
          <w:rFonts w:hint="cs"/>
          <w:rtl/>
        </w:rPr>
      </w:pPr>
      <w:r>
        <w:rPr>
          <w:rtl/>
        </w:rPr>
        <w:t>תקנות השיפוט הצבאי (הרשות להמצאת רשיון הנהיגה), תשל"ו–1975</w:t>
      </w:r>
    </w:p>
    <w:p w:rsidR="00622AF1" w:rsidRDefault="00622AF1" w:rsidP="00622AF1">
      <w:pPr>
        <w:spacing w:line="320" w:lineRule="auto"/>
        <w:jc w:val="left"/>
        <w:rPr>
          <w:rtl/>
        </w:rPr>
      </w:pPr>
    </w:p>
    <w:p w:rsidR="00622AF1" w:rsidRDefault="00622AF1" w:rsidP="00622AF1">
      <w:pPr>
        <w:spacing w:line="320" w:lineRule="auto"/>
        <w:jc w:val="left"/>
        <w:rPr>
          <w:rFonts w:cs="Miriam"/>
          <w:szCs w:val="22"/>
          <w:rtl/>
        </w:rPr>
      </w:pPr>
      <w:r w:rsidRPr="00622AF1">
        <w:rPr>
          <w:rFonts w:cs="Miriam"/>
          <w:szCs w:val="22"/>
          <w:rtl/>
        </w:rPr>
        <w:t>בטחון</w:t>
      </w:r>
      <w:r w:rsidRPr="00622AF1">
        <w:rPr>
          <w:rFonts w:cs="FrankRuehl"/>
          <w:szCs w:val="26"/>
          <w:rtl/>
        </w:rPr>
        <w:t xml:space="preserve"> – צה"ל – שיפוט צבאי</w:t>
      </w:r>
    </w:p>
    <w:p w:rsidR="00622AF1" w:rsidRPr="00622AF1" w:rsidRDefault="00622AF1" w:rsidP="00622AF1">
      <w:pPr>
        <w:spacing w:line="320" w:lineRule="auto"/>
        <w:jc w:val="left"/>
        <w:rPr>
          <w:rFonts w:cs="Miriam" w:hint="cs"/>
          <w:szCs w:val="22"/>
          <w:rtl/>
        </w:rPr>
      </w:pPr>
      <w:r w:rsidRPr="00622AF1">
        <w:rPr>
          <w:rFonts w:cs="Miriam"/>
          <w:szCs w:val="22"/>
          <w:rtl/>
        </w:rPr>
        <w:t>רשויות ומשפט מנהלי</w:t>
      </w:r>
      <w:r w:rsidRPr="00622AF1">
        <w:rPr>
          <w:rFonts w:cs="FrankRuehl"/>
          <w:szCs w:val="26"/>
          <w:rtl/>
        </w:rPr>
        <w:t xml:space="preserve"> – תעבורה – רכב – רישום רישוי</w:t>
      </w:r>
    </w:p>
    <w:p w:rsidR="00DE0352" w:rsidRDefault="00DE035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0" w:tooltip="הגדרות" w:history="1">
              <w:r>
                <w:rPr>
                  <w:rStyle w:val="Hyperlink"/>
                </w:rPr>
                <w:t>Go</w:t>
              </w:r>
            </w:hyperlink>
          </w:p>
        </w:tc>
        <w:tc>
          <w:tcPr>
            <w:tcW w:w="5669" w:type="dxa"/>
          </w:tcPr>
          <w:p w:rsidR="00DE0352" w:rsidRDefault="00DE0352">
            <w:pPr>
              <w:spacing w:line="240" w:lineRule="auto"/>
              <w:rPr>
                <w:sz w:val="24"/>
                <w:rtl/>
              </w:rPr>
            </w:pPr>
            <w:r>
              <w:rPr>
                <w:sz w:val="24"/>
                <w:rtl/>
              </w:rPr>
              <w:t>הגדרות</w:t>
            </w:r>
          </w:p>
        </w:tc>
        <w:tc>
          <w:tcPr>
            <w:tcW w:w="1247" w:type="dxa"/>
          </w:tcPr>
          <w:p w:rsidR="00DE0352" w:rsidRDefault="00DE0352">
            <w:pPr>
              <w:spacing w:line="240" w:lineRule="auto"/>
              <w:rPr>
                <w:sz w:val="24"/>
              </w:rPr>
            </w:pPr>
            <w:r>
              <w:rPr>
                <w:sz w:val="24"/>
                <w:rtl/>
              </w:rPr>
              <w:t xml:space="preserve">סעיף 1 </w:t>
            </w:r>
          </w:p>
        </w:tc>
      </w:tr>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1" w:tooltip="מסירת רשיון הנהיגה לבית הדין" w:history="1">
              <w:r>
                <w:rPr>
                  <w:rStyle w:val="Hyperlink"/>
                </w:rPr>
                <w:t>Go</w:t>
              </w:r>
            </w:hyperlink>
          </w:p>
        </w:tc>
        <w:tc>
          <w:tcPr>
            <w:tcW w:w="5669" w:type="dxa"/>
          </w:tcPr>
          <w:p w:rsidR="00DE0352" w:rsidRDefault="00DE0352">
            <w:pPr>
              <w:spacing w:line="240" w:lineRule="auto"/>
              <w:rPr>
                <w:sz w:val="24"/>
                <w:rtl/>
              </w:rPr>
            </w:pPr>
            <w:r>
              <w:rPr>
                <w:sz w:val="24"/>
                <w:rtl/>
              </w:rPr>
              <w:t>מסירת רשיון הנהיגה לבית הדין</w:t>
            </w:r>
          </w:p>
        </w:tc>
        <w:tc>
          <w:tcPr>
            <w:tcW w:w="1247" w:type="dxa"/>
          </w:tcPr>
          <w:p w:rsidR="00DE0352" w:rsidRDefault="00DE0352">
            <w:pPr>
              <w:spacing w:line="240" w:lineRule="auto"/>
              <w:rPr>
                <w:sz w:val="24"/>
              </w:rPr>
            </w:pPr>
            <w:r>
              <w:rPr>
                <w:sz w:val="24"/>
                <w:rtl/>
              </w:rPr>
              <w:t xml:space="preserve">סעיף 2 </w:t>
            </w:r>
          </w:p>
        </w:tc>
      </w:tr>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2" w:tooltip="הרשעה שלא בפני בעל הרשיון" w:history="1">
              <w:r>
                <w:rPr>
                  <w:rStyle w:val="Hyperlink"/>
                </w:rPr>
                <w:t>Go</w:t>
              </w:r>
            </w:hyperlink>
          </w:p>
        </w:tc>
        <w:tc>
          <w:tcPr>
            <w:tcW w:w="5669" w:type="dxa"/>
          </w:tcPr>
          <w:p w:rsidR="00DE0352" w:rsidRDefault="00DE0352">
            <w:pPr>
              <w:spacing w:line="240" w:lineRule="auto"/>
              <w:rPr>
                <w:sz w:val="24"/>
                <w:rtl/>
              </w:rPr>
            </w:pPr>
            <w:r>
              <w:rPr>
                <w:sz w:val="24"/>
                <w:rtl/>
              </w:rPr>
              <w:t>הרשעה שלא בפני בעל הרשיון</w:t>
            </w:r>
          </w:p>
        </w:tc>
        <w:tc>
          <w:tcPr>
            <w:tcW w:w="1247" w:type="dxa"/>
          </w:tcPr>
          <w:p w:rsidR="00DE0352" w:rsidRDefault="00DE0352">
            <w:pPr>
              <w:spacing w:line="240" w:lineRule="auto"/>
              <w:rPr>
                <w:sz w:val="24"/>
              </w:rPr>
            </w:pPr>
            <w:r>
              <w:rPr>
                <w:sz w:val="24"/>
                <w:rtl/>
              </w:rPr>
              <w:t xml:space="preserve">סעיף 3 </w:t>
            </w:r>
          </w:p>
        </w:tc>
      </w:tr>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3" w:tooltip="מסירת רשיון הנהיגה לרשות הרישוי" w:history="1">
              <w:r>
                <w:rPr>
                  <w:rStyle w:val="Hyperlink"/>
                </w:rPr>
                <w:t>Go</w:t>
              </w:r>
            </w:hyperlink>
          </w:p>
        </w:tc>
        <w:tc>
          <w:tcPr>
            <w:tcW w:w="5669" w:type="dxa"/>
          </w:tcPr>
          <w:p w:rsidR="00DE0352" w:rsidRDefault="00DE0352">
            <w:pPr>
              <w:spacing w:line="240" w:lineRule="auto"/>
              <w:rPr>
                <w:sz w:val="24"/>
                <w:rtl/>
              </w:rPr>
            </w:pPr>
            <w:r>
              <w:rPr>
                <w:sz w:val="24"/>
                <w:rtl/>
              </w:rPr>
              <w:t>מסירת רשיון הנהיגה לרשות הרישוי</w:t>
            </w:r>
          </w:p>
        </w:tc>
        <w:tc>
          <w:tcPr>
            <w:tcW w:w="1247" w:type="dxa"/>
          </w:tcPr>
          <w:p w:rsidR="00DE0352" w:rsidRDefault="00DE0352">
            <w:pPr>
              <w:spacing w:line="240" w:lineRule="auto"/>
              <w:rPr>
                <w:sz w:val="24"/>
              </w:rPr>
            </w:pPr>
            <w:r>
              <w:rPr>
                <w:sz w:val="24"/>
                <w:rtl/>
              </w:rPr>
              <w:t xml:space="preserve">סעיף 4 </w:t>
            </w:r>
          </w:p>
        </w:tc>
      </w:tr>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4" w:tooltip="מסירת רשיון הנהיגה במישרין לרשות הרישוי" w:history="1">
              <w:r>
                <w:rPr>
                  <w:rStyle w:val="Hyperlink"/>
                </w:rPr>
                <w:t>Go</w:t>
              </w:r>
            </w:hyperlink>
          </w:p>
        </w:tc>
        <w:tc>
          <w:tcPr>
            <w:tcW w:w="5669" w:type="dxa"/>
          </w:tcPr>
          <w:p w:rsidR="00DE0352" w:rsidRDefault="00DE0352">
            <w:pPr>
              <w:spacing w:line="240" w:lineRule="auto"/>
              <w:rPr>
                <w:sz w:val="24"/>
                <w:rtl/>
              </w:rPr>
            </w:pPr>
            <w:r>
              <w:rPr>
                <w:sz w:val="24"/>
                <w:rtl/>
              </w:rPr>
              <w:t>מסירת רשיון הנהיגה במישרין לרשות הרישוי</w:t>
            </w:r>
          </w:p>
        </w:tc>
        <w:tc>
          <w:tcPr>
            <w:tcW w:w="1247" w:type="dxa"/>
          </w:tcPr>
          <w:p w:rsidR="00DE0352" w:rsidRDefault="00DE0352">
            <w:pPr>
              <w:spacing w:line="240" w:lineRule="auto"/>
              <w:rPr>
                <w:sz w:val="24"/>
              </w:rPr>
            </w:pPr>
            <w:r>
              <w:rPr>
                <w:sz w:val="24"/>
                <w:rtl/>
              </w:rPr>
              <w:t xml:space="preserve">סעיף 5 </w:t>
            </w:r>
          </w:p>
        </w:tc>
      </w:tr>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5" w:tooltip="תחילה" w:history="1">
              <w:r>
                <w:rPr>
                  <w:rStyle w:val="Hyperlink"/>
                </w:rPr>
                <w:t>Go</w:t>
              </w:r>
            </w:hyperlink>
          </w:p>
        </w:tc>
        <w:tc>
          <w:tcPr>
            <w:tcW w:w="5669" w:type="dxa"/>
          </w:tcPr>
          <w:p w:rsidR="00DE0352" w:rsidRDefault="00DE0352">
            <w:pPr>
              <w:spacing w:line="240" w:lineRule="auto"/>
              <w:rPr>
                <w:sz w:val="24"/>
                <w:rtl/>
              </w:rPr>
            </w:pPr>
            <w:r>
              <w:rPr>
                <w:sz w:val="24"/>
                <w:rtl/>
              </w:rPr>
              <w:t>תחילה</w:t>
            </w:r>
          </w:p>
        </w:tc>
        <w:tc>
          <w:tcPr>
            <w:tcW w:w="1247" w:type="dxa"/>
          </w:tcPr>
          <w:p w:rsidR="00DE0352" w:rsidRDefault="00DE0352">
            <w:pPr>
              <w:spacing w:line="240" w:lineRule="auto"/>
              <w:rPr>
                <w:sz w:val="24"/>
              </w:rPr>
            </w:pPr>
            <w:r>
              <w:rPr>
                <w:sz w:val="24"/>
                <w:rtl/>
              </w:rPr>
              <w:t xml:space="preserve">סעיף 6 </w:t>
            </w:r>
          </w:p>
        </w:tc>
      </w:tr>
      <w:tr w:rsidR="00DE0352">
        <w:tblPrEx>
          <w:tblCellMar>
            <w:top w:w="0" w:type="dxa"/>
            <w:bottom w:w="0" w:type="dxa"/>
          </w:tblCellMar>
        </w:tblPrEx>
        <w:tc>
          <w:tcPr>
            <w:tcW w:w="850" w:type="dxa"/>
          </w:tcPr>
          <w:p w:rsidR="00DE0352" w:rsidRDefault="00DE035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E0352" w:rsidRDefault="00DE0352">
            <w:pPr>
              <w:spacing w:line="240" w:lineRule="auto"/>
              <w:rPr>
                <w:sz w:val="24"/>
              </w:rPr>
            </w:pPr>
            <w:hyperlink w:anchor="Seif6" w:tooltip="השם" w:history="1">
              <w:r>
                <w:rPr>
                  <w:rStyle w:val="Hyperlink"/>
                </w:rPr>
                <w:t>Go</w:t>
              </w:r>
            </w:hyperlink>
          </w:p>
        </w:tc>
        <w:tc>
          <w:tcPr>
            <w:tcW w:w="5669" w:type="dxa"/>
          </w:tcPr>
          <w:p w:rsidR="00DE0352" w:rsidRDefault="00DE0352">
            <w:pPr>
              <w:spacing w:line="240" w:lineRule="auto"/>
              <w:rPr>
                <w:sz w:val="24"/>
                <w:rtl/>
              </w:rPr>
            </w:pPr>
            <w:r>
              <w:rPr>
                <w:sz w:val="24"/>
                <w:rtl/>
              </w:rPr>
              <w:t>השם</w:t>
            </w:r>
          </w:p>
        </w:tc>
        <w:tc>
          <w:tcPr>
            <w:tcW w:w="1247" w:type="dxa"/>
          </w:tcPr>
          <w:p w:rsidR="00DE0352" w:rsidRDefault="00DE0352">
            <w:pPr>
              <w:spacing w:line="240" w:lineRule="auto"/>
              <w:rPr>
                <w:sz w:val="24"/>
              </w:rPr>
            </w:pPr>
            <w:r>
              <w:rPr>
                <w:sz w:val="24"/>
                <w:rtl/>
              </w:rPr>
              <w:t xml:space="preserve">סעיף 7 </w:t>
            </w:r>
          </w:p>
        </w:tc>
      </w:tr>
    </w:tbl>
    <w:p w:rsidR="00DE0352" w:rsidRDefault="00DE0352">
      <w:pPr>
        <w:pStyle w:val="big-header"/>
        <w:ind w:left="0" w:right="1134"/>
        <w:rPr>
          <w:rtl/>
        </w:rPr>
      </w:pPr>
    </w:p>
    <w:p w:rsidR="00DE0352" w:rsidRPr="00620624" w:rsidRDefault="00DE0352" w:rsidP="00620624">
      <w:pPr>
        <w:pStyle w:val="big-header"/>
        <w:ind w:left="0" w:right="1134"/>
        <w:rPr>
          <w:rStyle w:val="default"/>
          <w:rFonts w:cs="FrankRuehl"/>
          <w:szCs w:val="32"/>
          <w:rtl/>
        </w:rPr>
      </w:pPr>
      <w:r>
        <w:rPr>
          <w:rtl/>
        </w:rPr>
        <w:br w:type="page"/>
      </w:r>
      <w:r>
        <w:rPr>
          <w:rtl/>
        </w:rPr>
        <w:lastRenderedPageBreak/>
        <w:t>ת</w:t>
      </w:r>
      <w:r>
        <w:rPr>
          <w:rFonts w:hint="cs"/>
          <w:rtl/>
        </w:rPr>
        <w:t>קנות השיפוט הצבאי (הרשות להמצאת רשיון הנהיגה), תשל"ו</w:t>
      </w:r>
      <w:r>
        <w:rPr>
          <w:rtl/>
        </w:rPr>
        <w:t>–</w:t>
      </w:r>
      <w:r>
        <w:rPr>
          <w:rFonts w:hint="cs"/>
          <w:rtl/>
        </w:rPr>
        <w:t>1975</w:t>
      </w:r>
      <w:r>
        <w:rPr>
          <w:rStyle w:val="super"/>
          <w:noProof w:val="0"/>
          <w:rtl/>
        </w:rPr>
        <w:t>(53)</w:t>
      </w:r>
    </w:p>
    <w:p w:rsidR="00DE0352" w:rsidRDefault="00DE035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489א ו-559 לחוק השיפוט הצבאי, תשט"ו</w:t>
      </w:r>
      <w:r>
        <w:rPr>
          <w:rStyle w:val="default"/>
          <w:rFonts w:cs="FrankRuehl"/>
          <w:rtl/>
        </w:rPr>
        <w:t>–</w:t>
      </w:r>
      <w:r>
        <w:rPr>
          <w:rStyle w:val="default"/>
          <w:rFonts w:cs="FrankRuehl" w:hint="cs"/>
          <w:rtl/>
        </w:rPr>
        <w:t>1955, וסעיף 42 לפקודת התעבורה, אנ</w:t>
      </w:r>
      <w:r>
        <w:rPr>
          <w:rStyle w:val="default"/>
          <w:rFonts w:cs="FrankRuehl"/>
          <w:rtl/>
        </w:rPr>
        <w:t>י</w:t>
      </w:r>
      <w:r>
        <w:rPr>
          <w:rStyle w:val="default"/>
          <w:rFonts w:cs="FrankRuehl" w:hint="cs"/>
          <w:rtl/>
        </w:rPr>
        <w:t xml:space="preserve"> מתקין תקנות אלה:</w:t>
      </w:r>
    </w:p>
    <w:p w:rsidR="00DE0352" w:rsidRDefault="00DE0352">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4656"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DE0352" w:rsidRDefault="00DE0352">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בית דין" </w:t>
      </w:r>
      <w:r>
        <w:rPr>
          <w:rStyle w:val="default"/>
          <w:rFonts w:cs="FrankRuehl"/>
          <w:rtl/>
        </w:rPr>
        <w:t>—</w:t>
      </w:r>
      <w:r>
        <w:rPr>
          <w:rStyle w:val="default"/>
          <w:rFonts w:cs="FrankRuehl" w:hint="cs"/>
          <w:rtl/>
        </w:rPr>
        <w:t xml:space="preserve"> בית דין צבאי כמשמעותו בסעיף 183 לחוק;</w:t>
      </w:r>
    </w:p>
    <w:p w:rsidR="00DE0352" w:rsidRDefault="00DE0352">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רשות הרישוי" </w:t>
      </w:r>
      <w:r>
        <w:rPr>
          <w:rStyle w:val="default"/>
          <w:rFonts w:cs="FrankRuehl"/>
          <w:rtl/>
        </w:rPr>
        <w:t>—</w:t>
      </w:r>
      <w:r>
        <w:rPr>
          <w:rStyle w:val="default"/>
          <w:rFonts w:cs="FrankRuehl" w:hint="cs"/>
          <w:rtl/>
        </w:rPr>
        <w:t xml:space="preserve"> רשות הרישוי של הצבא;</w:t>
      </w:r>
    </w:p>
    <w:p w:rsidR="00DE0352" w:rsidRDefault="00DE0352">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רשיון אזרחי" </w:t>
      </w:r>
      <w:r>
        <w:rPr>
          <w:rStyle w:val="default"/>
          <w:rFonts w:cs="FrankRuehl"/>
          <w:rtl/>
        </w:rPr>
        <w:t>—</w:t>
      </w:r>
      <w:r>
        <w:rPr>
          <w:rStyle w:val="default"/>
          <w:rFonts w:cs="FrankRuehl" w:hint="cs"/>
          <w:rtl/>
        </w:rPr>
        <w:t xml:space="preserve"> רשיון נהיגה לפי פקודת התעבורה;</w:t>
      </w:r>
    </w:p>
    <w:p w:rsidR="00DE0352" w:rsidRDefault="00DE0352">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רשיון צבאי" </w:t>
      </w:r>
      <w:r>
        <w:rPr>
          <w:rStyle w:val="default"/>
          <w:rFonts w:cs="FrankRuehl"/>
          <w:rtl/>
        </w:rPr>
        <w:t>—</w:t>
      </w:r>
      <w:r>
        <w:rPr>
          <w:rStyle w:val="default"/>
          <w:rFonts w:cs="FrankRuehl" w:hint="cs"/>
          <w:rtl/>
        </w:rPr>
        <w:t xml:space="preserve"> רשיון נהיגה מטעם הצבא;</w:t>
      </w:r>
    </w:p>
    <w:p w:rsidR="00DE0352" w:rsidRDefault="00DE0352">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רשיון נהיגה" </w:t>
      </w:r>
      <w:r>
        <w:rPr>
          <w:rStyle w:val="default"/>
          <w:rFonts w:cs="FrankRuehl"/>
          <w:rtl/>
        </w:rPr>
        <w:t>—</w:t>
      </w:r>
      <w:r>
        <w:rPr>
          <w:rStyle w:val="default"/>
          <w:rFonts w:cs="FrankRuehl" w:hint="cs"/>
          <w:rtl/>
        </w:rPr>
        <w:t xml:space="preserve"> רשיון אזרחי ביחד עם רשי</w:t>
      </w:r>
      <w:r>
        <w:rPr>
          <w:rStyle w:val="default"/>
          <w:rFonts w:cs="FrankRuehl"/>
          <w:rtl/>
        </w:rPr>
        <w:t>ו</w:t>
      </w:r>
      <w:r>
        <w:rPr>
          <w:rStyle w:val="default"/>
          <w:rFonts w:cs="FrankRuehl" w:hint="cs"/>
          <w:rtl/>
        </w:rPr>
        <w:t>ן צבאי, או רשיון אזרחי בלבד אם לא ניתן לבעליו רשיון צבאי;</w:t>
      </w:r>
    </w:p>
    <w:p w:rsidR="00DE0352" w:rsidRDefault="00DE0352">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בעל רשיון" </w:t>
      </w:r>
      <w:r>
        <w:rPr>
          <w:rStyle w:val="default"/>
          <w:rFonts w:cs="FrankRuehl"/>
          <w:rtl/>
        </w:rPr>
        <w:t>—</w:t>
      </w:r>
      <w:r>
        <w:rPr>
          <w:rStyle w:val="default"/>
          <w:rFonts w:cs="FrankRuehl" w:hint="cs"/>
          <w:rtl/>
        </w:rPr>
        <w:t xml:space="preserve"> חייל שהוא בעל רשיון נהיגה.</w:t>
      </w:r>
    </w:p>
    <w:p w:rsidR="00DE0352" w:rsidRDefault="00DE035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5680"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מ</w:t>
                  </w:r>
                  <w:r>
                    <w:rPr>
                      <w:rFonts w:cs="Miriam" w:hint="cs"/>
                      <w:szCs w:val="18"/>
                      <w:rtl/>
                    </w:rPr>
                    <w:t>סירת רשיון הנ</w:t>
                  </w:r>
                  <w:r>
                    <w:rPr>
                      <w:rFonts w:cs="Miriam"/>
                      <w:szCs w:val="18"/>
                      <w:rtl/>
                    </w:rPr>
                    <w:t>ה</w:t>
                  </w:r>
                  <w:r>
                    <w:rPr>
                      <w:rFonts w:cs="Miriam" w:hint="cs"/>
                      <w:szCs w:val="18"/>
                      <w:rtl/>
                    </w:rPr>
                    <w:t>יגה לבית הדין</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ורשע בעל רשיון ובית הדין פסל אותו בפסק הדין מהחזיק ברשיון נהיגה, ימציא בעל הרשיון את רשיון הנהיגה לבית הדין מיד לאחר שהו</w:t>
      </w:r>
      <w:r>
        <w:rPr>
          <w:rStyle w:val="default"/>
          <w:rFonts w:cs="FrankRuehl"/>
          <w:rtl/>
        </w:rPr>
        <w:t>ד</w:t>
      </w:r>
      <w:r>
        <w:rPr>
          <w:rStyle w:val="default"/>
          <w:rFonts w:cs="FrankRuehl" w:hint="cs"/>
          <w:rtl/>
        </w:rPr>
        <w:t>ע לו על הפסילה, אולם אם שוכנע בית הדין שרשיון הנהיגה אינו בידי בעלו אותה שעה, ימציאו בעל הרשיון תוך תקופה שקבע בית הדין ובלבד שלא תעלה על שני ימים.</w:t>
      </w:r>
    </w:p>
    <w:p w:rsidR="00DE0352" w:rsidRDefault="00DE0352">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6704"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ה</w:t>
                  </w:r>
                  <w:r>
                    <w:rPr>
                      <w:rFonts w:cs="Miriam" w:hint="cs"/>
                      <w:szCs w:val="18"/>
                      <w:rtl/>
                    </w:rPr>
                    <w:t>ר</w:t>
                  </w:r>
                  <w:r>
                    <w:rPr>
                      <w:rFonts w:cs="Miriam"/>
                      <w:szCs w:val="18"/>
                      <w:rtl/>
                    </w:rPr>
                    <w:t>ש</w:t>
                  </w:r>
                  <w:r>
                    <w:rPr>
                      <w:rFonts w:cs="Miriam" w:hint="cs"/>
                      <w:szCs w:val="18"/>
                      <w:rtl/>
                    </w:rPr>
                    <w:t>עה שלא בפני בעל הרשיון</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ורשע בעל רשיון בבית דין שלא בפניו ובית הדין פסל אותו בפסק הדין מהחזיק ברשי</w:t>
      </w:r>
      <w:r>
        <w:rPr>
          <w:rStyle w:val="default"/>
          <w:rFonts w:cs="FrankRuehl"/>
          <w:rtl/>
        </w:rPr>
        <w:t>ו</w:t>
      </w:r>
      <w:r>
        <w:rPr>
          <w:rStyle w:val="default"/>
          <w:rFonts w:cs="FrankRuehl" w:hint="cs"/>
          <w:rtl/>
        </w:rPr>
        <w:t>ן נהיגה, ימציא בעל הרשיון את רשיון הנהיגה לבית הדין שבו הורשע כאמור, תוך שבעה ימים מהיום שהודע לו על ההרשעה, או תוך תקופה קצרה יותר שקבע בית הדין, הכל לפי המוקדם יותר.</w:t>
      </w:r>
    </w:p>
    <w:p w:rsidR="00DE0352" w:rsidRDefault="00DE0352">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6pt;z-index:251657728"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מ</w:t>
                  </w:r>
                  <w:r>
                    <w:rPr>
                      <w:rFonts w:cs="Miriam" w:hint="cs"/>
                      <w:szCs w:val="18"/>
                      <w:rtl/>
                    </w:rPr>
                    <w:t>סירת רשיון הנהיגה לרשות הרישוי</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הומצא לבית הדין רשיון נהיגה לפי תקנות 2 או 3 </w:t>
      </w:r>
      <w:r>
        <w:rPr>
          <w:rStyle w:val="default"/>
          <w:rFonts w:cs="FrankRuehl"/>
          <w:rtl/>
        </w:rPr>
        <w:t>י</w:t>
      </w:r>
      <w:r>
        <w:rPr>
          <w:rStyle w:val="default"/>
          <w:rFonts w:cs="FrankRuehl" w:hint="cs"/>
          <w:rtl/>
        </w:rPr>
        <w:t>מסור בית הדין את הרשיון לרשות הרישוי והיא תחזיק בו כל עוד לא תמה תקופת הפסילה.</w:t>
      </w:r>
    </w:p>
    <w:p w:rsidR="00DE0352" w:rsidRDefault="00DE03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בוטלו בערעור ההרשעה או עונש הפסילה ורשיון הנהיגה נמסר לרשות הרישוי כאמור בתקנת משנה (א), יוחזר הרשיון לבעלו.</w:t>
      </w:r>
    </w:p>
    <w:p w:rsidR="00DE0352" w:rsidRDefault="00DE0352">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8752"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מ</w:t>
                  </w:r>
                  <w:r>
                    <w:rPr>
                      <w:rFonts w:cs="Miriam" w:hint="cs"/>
                      <w:szCs w:val="18"/>
                      <w:rtl/>
                    </w:rPr>
                    <w:t>סירת רשיון ה</w:t>
                  </w:r>
                  <w:r>
                    <w:rPr>
                      <w:rFonts w:cs="Miriam"/>
                      <w:szCs w:val="18"/>
                      <w:rtl/>
                    </w:rPr>
                    <w:t>נ</w:t>
                  </w:r>
                  <w:r>
                    <w:rPr>
                      <w:rFonts w:cs="Miriam" w:hint="cs"/>
                      <w:szCs w:val="18"/>
                      <w:rtl/>
                    </w:rPr>
                    <w:t>היגה במישרין לרשות הרישוי</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ל אף האמור בתקנ</w:t>
      </w:r>
      <w:r>
        <w:rPr>
          <w:rStyle w:val="default"/>
          <w:rFonts w:cs="FrankRuehl"/>
          <w:rtl/>
        </w:rPr>
        <w:t>ו</w:t>
      </w:r>
      <w:r>
        <w:rPr>
          <w:rStyle w:val="default"/>
          <w:rFonts w:cs="FrankRuehl" w:hint="cs"/>
          <w:rtl/>
        </w:rPr>
        <w:t>ת אלה רשאי בית הדין להורות כי בעל רשיון נהיגה ימציא, תוך שבעה ימים, את רשיון הנהיגה במישרין לרשות הרישוי.</w:t>
      </w:r>
    </w:p>
    <w:p w:rsidR="00DE0352" w:rsidRDefault="00DE0352">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שיון שהומצא כאמור תחזיק בו רשות הרישוי כל עוד לא תמה תקופת הפסילה.</w:t>
      </w:r>
    </w:p>
    <w:p w:rsidR="00DE0352" w:rsidRDefault="00DE0352">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8pt;z-index:251659776"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חילתן של תקנות אלה ביום כ"ו בחשון תשל"ו (31 באוקטובר 1975).</w:t>
      </w:r>
    </w:p>
    <w:p w:rsidR="00DE0352" w:rsidRDefault="00DE0352">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8pt;z-index:251660800" o:allowincell="f" filled="f" stroked="f" strokecolor="lime" strokeweight=".25pt">
            <v:textbox inset="0,0,0,0">
              <w:txbxContent>
                <w:p w:rsidR="00DE0352" w:rsidRDefault="00DE035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השיפוט הצבאי (הרשות להמצאת רשיון הנהיגה), תשל"ו</w:t>
      </w:r>
      <w:r>
        <w:rPr>
          <w:rStyle w:val="default"/>
          <w:rFonts w:cs="FrankRuehl"/>
          <w:rtl/>
        </w:rPr>
        <w:t>–</w:t>
      </w:r>
      <w:r>
        <w:rPr>
          <w:rStyle w:val="default"/>
          <w:rFonts w:cs="FrankRuehl" w:hint="cs"/>
          <w:rtl/>
        </w:rPr>
        <w:t>1975".</w:t>
      </w:r>
    </w:p>
    <w:p w:rsidR="00DE0352" w:rsidRDefault="00DE0352">
      <w:pPr>
        <w:pStyle w:val="P00"/>
        <w:spacing w:before="72"/>
        <w:ind w:left="0" w:right="1134"/>
        <w:rPr>
          <w:rStyle w:val="default"/>
          <w:rFonts w:cs="FrankRuehl"/>
          <w:rtl/>
        </w:rPr>
      </w:pPr>
    </w:p>
    <w:p w:rsidR="00DE0352" w:rsidRDefault="00DE0352">
      <w:pPr>
        <w:pStyle w:val="sig-0"/>
        <w:ind w:left="0" w:right="1134"/>
        <w:rPr>
          <w:rtl/>
        </w:rPr>
      </w:pPr>
      <w:r>
        <w:rPr>
          <w:rtl/>
        </w:rPr>
        <w:t>י</w:t>
      </w:r>
      <w:r>
        <w:rPr>
          <w:rFonts w:hint="cs"/>
          <w:rtl/>
        </w:rPr>
        <w:t>' בחשון תשל"ו (15 באוקטובר 1975)</w:t>
      </w:r>
      <w:r>
        <w:rPr>
          <w:rtl/>
        </w:rPr>
        <w:tab/>
      </w:r>
      <w:r>
        <w:rPr>
          <w:rFonts w:hint="cs"/>
          <w:rtl/>
        </w:rPr>
        <w:t>שמעון פרס</w:t>
      </w:r>
    </w:p>
    <w:p w:rsidR="00620624" w:rsidRDefault="00620624" w:rsidP="00620624">
      <w:pPr>
        <w:pStyle w:val="sig-1"/>
        <w:widowControl/>
        <w:ind w:left="0" w:right="1134"/>
        <w:rPr>
          <w:rtl/>
        </w:rPr>
      </w:pPr>
      <w:r>
        <w:rPr>
          <w:rtl/>
        </w:rPr>
        <w:tab/>
      </w:r>
      <w:r>
        <w:rPr>
          <w:rtl/>
        </w:rPr>
        <w:tab/>
      </w:r>
      <w:r>
        <w:rPr>
          <w:rtl/>
        </w:rPr>
        <w:tab/>
      </w:r>
      <w:r>
        <w:rPr>
          <w:rFonts w:hint="cs"/>
          <w:rtl/>
        </w:rPr>
        <w:t>שר הבטחון</w:t>
      </w:r>
    </w:p>
    <w:p w:rsidR="00620624" w:rsidRDefault="00620624" w:rsidP="00620624">
      <w:pPr>
        <w:pStyle w:val="P00"/>
        <w:spacing w:before="72"/>
        <w:ind w:left="0" w:right="1134"/>
        <w:rPr>
          <w:rtl/>
        </w:rPr>
      </w:pPr>
      <w:r>
        <w:rPr>
          <w:rtl/>
        </w:rPr>
        <w:t>------------</w:t>
      </w:r>
    </w:p>
    <w:p w:rsidR="00620624" w:rsidRDefault="00620624" w:rsidP="0062062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(53)</w:t>
      </w:r>
      <w:r>
        <w:rPr>
          <w:rtl/>
        </w:rPr>
        <w:t> </w:t>
      </w:r>
      <w:r>
        <w:rPr>
          <w:sz w:val="20"/>
          <w:rtl/>
        </w:rPr>
        <w:t>פ</w:t>
      </w:r>
      <w:r>
        <w:rPr>
          <w:rFonts w:hint="cs"/>
          <w:sz w:val="20"/>
          <w:rtl/>
        </w:rPr>
        <w:t xml:space="preserve">ורסמו </w:t>
      </w:r>
      <w:hyperlink r:id="rId6" w:history="1">
        <w:r w:rsidRPr="00620624">
          <w:rPr>
            <w:rStyle w:val="Hyperlink"/>
            <w:rFonts w:hint="cs"/>
            <w:sz w:val="20"/>
            <w:rtl/>
          </w:rPr>
          <w:t>ק"ת תשל"ו מס' 3417</w:t>
        </w:r>
      </w:hyperlink>
      <w:r>
        <w:rPr>
          <w:rFonts w:hint="cs"/>
          <w:sz w:val="20"/>
          <w:rtl/>
        </w:rPr>
        <w:t xml:space="preserve"> מיום 22.10.1975 עמ' 278</w:t>
      </w:r>
      <w:r>
        <w:rPr>
          <w:sz w:val="20"/>
          <w:rtl/>
        </w:rPr>
        <w:t>.</w:t>
      </w:r>
    </w:p>
    <w:p w:rsidR="00DE0352" w:rsidRDefault="00DE0352">
      <w:pPr>
        <w:ind w:right="1134"/>
        <w:rPr>
          <w:rtl/>
        </w:rPr>
      </w:pPr>
      <w:bookmarkStart w:id="7" w:name="LawPartEnd"/>
    </w:p>
    <w:bookmarkEnd w:id="7"/>
    <w:p w:rsidR="00DE0352" w:rsidRDefault="00DE0352">
      <w:pPr>
        <w:ind w:right="1134"/>
        <w:rPr>
          <w:rtl/>
        </w:rPr>
      </w:pPr>
    </w:p>
    <w:sectPr w:rsidR="00DE0352">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576C" w:rsidRDefault="003B576C">
      <w:r>
        <w:separator/>
      </w:r>
    </w:p>
  </w:endnote>
  <w:endnote w:type="continuationSeparator" w:id="0">
    <w:p w:rsidR="003B576C" w:rsidRDefault="003B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352" w:rsidRDefault="00DE03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E0352" w:rsidRDefault="00DE03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E0352" w:rsidRDefault="00DE03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M:\0a-lishca\law\gideon-03-02-13\law01\law01-a\P199_094.doc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352" w:rsidRDefault="00DE03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6930">
      <w:rPr>
        <w:rFonts w:hAnsi="FrankRuehl" w:cs="FrankRuehl"/>
        <w:noProof/>
        <w:sz w:val="24"/>
        <w:szCs w:val="24"/>
        <w:rtl/>
      </w:rPr>
      <w:t>2</w:t>
    </w:r>
    <w:r>
      <w:rPr>
        <w:rFonts w:hAnsi="FrankRuehl" w:cs="FrankRuehl"/>
        <w:sz w:val="24"/>
        <w:szCs w:val="24"/>
        <w:rtl/>
      </w:rPr>
      <w:fldChar w:fldCharType="end"/>
    </w:r>
  </w:p>
  <w:p w:rsidR="00DE0352" w:rsidRDefault="00DE03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E0352" w:rsidRDefault="00DE03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M:\0a-lishca\law\gideon-03-02-13\law01\law01-a\P199_094.doc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352" w:rsidRDefault="00DE0352">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576C" w:rsidRDefault="003B576C">
      <w:r>
        <w:separator/>
      </w:r>
    </w:p>
  </w:footnote>
  <w:footnote w:type="continuationSeparator" w:id="0">
    <w:p w:rsidR="003B576C" w:rsidRDefault="003B5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352" w:rsidRDefault="00DE03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(הרשות להמצאת רשיון הנהיגה), תשל"ו–1975</w:t>
    </w:r>
  </w:p>
  <w:p w:rsidR="00DE0352" w:rsidRDefault="00DE03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E0352" w:rsidRDefault="00DE03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352" w:rsidRDefault="00DE03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(הרשות להמצאת רשיון הנהיגה), תשל"ו–1975</w:t>
    </w:r>
  </w:p>
  <w:p w:rsidR="00DE0352" w:rsidRDefault="00DE03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E0352" w:rsidRDefault="00DE0352">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352" w:rsidRDefault="00DE0352">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3903"/>
    <w:rsid w:val="00306930"/>
    <w:rsid w:val="003B576C"/>
    <w:rsid w:val="00460DAD"/>
    <w:rsid w:val="00507A7E"/>
    <w:rsid w:val="00543903"/>
    <w:rsid w:val="00620624"/>
    <w:rsid w:val="00622AF1"/>
    <w:rsid w:val="0064702C"/>
    <w:rsid w:val="00DC4153"/>
    <w:rsid w:val="00DE03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6F7E3C2-1FCD-4BFE-A873-196A9B05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417.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2692</CharactersWithSpaces>
  <SharedDoc>false</SharedDoc>
  <HLinks>
    <vt:vector size="48" baseType="variant">
      <vt:variant>
        <vt:i4>8060939</vt:i4>
      </vt:variant>
      <vt:variant>
        <vt:i4>42</vt:i4>
      </vt:variant>
      <vt:variant>
        <vt:i4>0</vt:i4>
      </vt:variant>
      <vt:variant>
        <vt:i4>5</vt:i4>
      </vt:variant>
      <vt:variant>
        <vt:lpwstr>http://www.nevo.co.il/Law_word/law06/TAK-3417.pdf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(הרשות להמצאת רשיון הנהיגה), תשל"ו–1975</vt:lpwstr>
  </property>
  <property fmtid="{D5CDD505-2E9C-101B-9397-08002B2CF9AE}" pid="5" name="LAWNUMBER">
    <vt:lpwstr>0094</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שיפוט צבאי</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תעבורה</vt:lpwstr>
  </property>
  <property fmtid="{D5CDD505-2E9C-101B-9397-08002B2CF9AE}" pid="13" name="NOSE32">
    <vt:lpwstr>רכב</vt:lpwstr>
  </property>
  <property fmtid="{D5CDD505-2E9C-101B-9397-08002B2CF9AE}" pid="14" name="NOSE42">
    <vt:lpwstr>רישום רישוי</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השיפוט הצבאי</vt:lpwstr>
  </property>
  <property fmtid="{D5CDD505-2E9C-101B-9397-08002B2CF9AE}" pid="48" name="MEKOR_SAIF1">
    <vt:lpwstr>489אX;559X</vt:lpwstr>
  </property>
  <property fmtid="{D5CDD505-2E9C-101B-9397-08002B2CF9AE}" pid="49" name="MEKOR_NAME2">
    <vt:lpwstr>פקודת התעבורה</vt:lpwstr>
  </property>
  <property fmtid="{D5CDD505-2E9C-101B-9397-08002B2CF9AE}" pid="50" name="MEKOR_SAIF2">
    <vt:lpwstr>42X</vt:lpwstr>
  </property>
</Properties>
</file>