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AF4D" w14:textId="77777777" w:rsidR="00D25D5C" w:rsidRDefault="00583639" w:rsidP="00974306">
      <w:pPr>
        <w:pStyle w:val="big-header"/>
        <w:spacing w:line="240" w:lineRule="auto"/>
        <w:ind w:left="0" w:right="1134"/>
        <w:rPr>
          <w:rFonts w:cs="FrankRuehl"/>
          <w:sz w:val="32"/>
        </w:rPr>
      </w:pPr>
      <w:r>
        <w:rPr>
          <w:rFonts w:cs="FrankRuehl" w:hint="cs"/>
          <w:sz w:val="32"/>
          <w:rtl/>
        </w:rPr>
        <w:t>תקנות השקעות משותפות בנאמנות (</w:t>
      </w:r>
      <w:r w:rsidR="00974306">
        <w:rPr>
          <w:rFonts w:cs="FrankRuehl" w:hint="cs"/>
          <w:sz w:val="32"/>
          <w:rtl/>
        </w:rPr>
        <w:t>דוחות כספיים של קרן</w:t>
      </w:r>
      <w:r w:rsidR="00A227D9">
        <w:rPr>
          <w:rFonts w:cs="FrankRuehl" w:hint="cs"/>
          <w:sz w:val="32"/>
          <w:rtl/>
        </w:rPr>
        <w:t>)</w:t>
      </w:r>
      <w:r w:rsidR="00496121">
        <w:rPr>
          <w:rFonts w:cs="FrankRuehl" w:hint="cs"/>
          <w:sz w:val="32"/>
          <w:rtl/>
        </w:rPr>
        <w:t>, תש"ע</w:t>
      </w:r>
      <w:r w:rsidR="008C2526">
        <w:rPr>
          <w:rFonts w:cs="FrankRuehl" w:hint="cs"/>
          <w:sz w:val="32"/>
          <w:rtl/>
        </w:rPr>
        <w:t>-2009</w:t>
      </w:r>
    </w:p>
    <w:p w14:paraId="63A2F9F5" w14:textId="77777777" w:rsidR="00620D54" w:rsidRPr="00620D54" w:rsidRDefault="00620D54" w:rsidP="00620D54">
      <w:pPr>
        <w:spacing w:line="320" w:lineRule="auto"/>
        <w:jc w:val="left"/>
        <w:rPr>
          <w:rFonts w:cs="FrankRuehl"/>
          <w:szCs w:val="26"/>
          <w:rtl/>
        </w:rPr>
      </w:pPr>
    </w:p>
    <w:p w14:paraId="7E5C15CD" w14:textId="77777777" w:rsidR="00AF7048" w:rsidRPr="00AF7048" w:rsidRDefault="00AF7048" w:rsidP="00AF7048">
      <w:pPr>
        <w:spacing w:line="320" w:lineRule="auto"/>
        <w:jc w:val="left"/>
        <w:rPr>
          <w:rFonts w:cs="FrankRuehl"/>
          <w:szCs w:val="26"/>
          <w:rtl/>
        </w:rPr>
      </w:pPr>
    </w:p>
    <w:p w14:paraId="2DBD4598" w14:textId="77777777"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תאגידים וניירות ערך – השק' משותפות בנאמנות</w:t>
      </w:r>
    </w:p>
    <w:p w14:paraId="5123B641" w14:textId="77777777" w:rsidR="00AF7048" w:rsidRDefault="00AF7048" w:rsidP="00AF7048">
      <w:pPr>
        <w:spacing w:line="320" w:lineRule="auto"/>
        <w:jc w:val="left"/>
        <w:rPr>
          <w:rFonts w:cs="FrankRuehl"/>
          <w:szCs w:val="26"/>
          <w:rtl/>
        </w:rPr>
      </w:pPr>
      <w:r w:rsidRPr="00AF7048">
        <w:rPr>
          <w:rFonts w:cs="Miriam"/>
          <w:szCs w:val="22"/>
          <w:rtl/>
        </w:rPr>
        <w:t>משפט פרטי וכלכלה</w:t>
      </w:r>
      <w:r w:rsidRPr="00AF7048">
        <w:rPr>
          <w:rFonts w:cs="FrankRuehl"/>
          <w:szCs w:val="26"/>
          <w:rtl/>
        </w:rPr>
        <w:t xml:space="preserve"> – כספים – השקעות  – השק' משותפות בנאמנות</w:t>
      </w:r>
    </w:p>
    <w:p w14:paraId="6213B3E1" w14:textId="77777777" w:rsidR="00407722" w:rsidRPr="00AF7048" w:rsidRDefault="00AF7048" w:rsidP="00AF7048">
      <w:pPr>
        <w:spacing w:line="320" w:lineRule="auto"/>
        <w:jc w:val="left"/>
        <w:rPr>
          <w:rFonts w:cs="Miriam"/>
          <w:szCs w:val="22"/>
          <w:rtl/>
        </w:rPr>
      </w:pPr>
      <w:r w:rsidRPr="00AF7048">
        <w:rPr>
          <w:rFonts w:cs="Miriam"/>
          <w:szCs w:val="22"/>
          <w:rtl/>
        </w:rPr>
        <w:t>משפט פרטי וכלכלה</w:t>
      </w:r>
      <w:r w:rsidRPr="00AF7048">
        <w:rPr>
          <w:rFonts w:cs="FrankRuehl"/>
          <w:szCs w:val="26"/>
          <w:rtl/>
        </w:rPr>
        <w:t xml:space="preserve"> – חיובים – נאמנות – השק' משותפות בנאמנות</w:t>
      </w:r>
    </w:p>
    <w:p w14:paraId="28E89788"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55D15" w:rsidRPr="00A55D15" w14:paraId="4E04A738" w14:textId="77777777" w:rsidTr="00A55D15">
        <w:tblPrEx>
          <w:tblCellMar>
            <w:top w:w="0" w:type="dxa"/>
            <w:bottom w:w="0" w:type="dxa"/>
          </w:tblCellMar>
        </w:tblPrEx>
        <w:tc>
          <w:tcPr>
            <w:tcW w:w="1247" w:type="dxa"/>
          </w:tcPr>
          <w:p w14:paraId="7E09F93F" w14:textId="77777777" w:rsidR="00A55D15" w:rsidRPr="00A55D15" w:rsidRDefault="00A55D15" w:rsidP="00A55D15">
            <w:pPr>
              <w:spacing w:line="240" w:lineRule="auto"/>
              <w:jc w:val="left"/>
              <w:rPr>
                <w:rFonts w:cs="Frankruhel"/>
                <w:sz w:val="24"/>
                <w:rtl/>
              </w:rPr>
            </w:pPr>
            <w:r>
              <w:rPr>
                <w:rFonts w:cs="Times New Roman"/>
                <w:sz w:val="24"/>
                <w:rtl/>
              </w:rPr>
              <w:t xml:space="preserve">סעיף 1 </w:t>
            </w:r>
          </w:p>
        </w:tc>
        <w:tc>
          <w:tcPr>
            <w:tcW w:w="5669" w:type="dxa"/>
          </w:tcPr>
          <w:p w14:paraId="5FABD29B" w14:textId="77777777" w:rsidR="00A55D15" w:rsidRPr="00A55D15" w:rsidRDefault="00A55D15" w:rsidP="00A55D15">
            <w:pPr>
              <w:spacing w:line="240" w:lineRule="auto"/>
              <w:jc w:val="left"/>
              <w:rPr>
                <w:rFonts w:cs="Frankruhel"/>
                <w:sz w:val="24"/>
                <w:rtl/>
              </w:rPr>
            </w:pPr>
            <w:r>
              <w:rPr>
                <w:rFonts w:cs="Times New Roman"/>
                <w:sz w:val="24"/>
                <w:rtl/>
              </w:rPr>
              <w:t>הגדרות</w:t>
            </w:r>
          </w:p>
        </w:tc>
        <w:tc>
          <w:tcPr>
            <w:tcW w:w="567" w:type="dxa"/>
          </w:tcPr>
          <w:p w14:paraId="5DBB73BA" w14:textId="77777777" w:rsidR="00A55D15" w:rsidRPr="00A55D15" w:rsidRDefault="00A55D15" w:rsidP="00A55D15">
            <w:pPr>
              <w:spacing w:line="240" w:lineRule="auto"/>
              <w:jc w:val="left"/>
              <w:rPr>
                <w:rStyle w:val="Hyperlink"/>
                <w:rtl/>
              </w:rPr>
            </w:pPr>
            <w:hyperlink w:anchor="Seif1" w:tooltip="הגדרות" w:history="1">
              <w:r w:rsidRPr="00A55D15">
                <w:rPr>
                  <w:rStyle w:val="Hyperlink"/>
                </w:rPr>
                <w:t>Go</w:t>
              </w:r>
            </w:hyperlink>
          </w:p>
        </w:tc>
        <w:tc>
          <w:tcPr>
            <w:tcW w:w="850" w:type="dxa"/>
          </w:tcPr>
          <w:p w14:paraId="7B53843A" w14:textId="77777777" w:rsidR="00A55D15" w:rsidRPr="00A55D15" w:rsidRDefault="00A55D15" w:rsidP="00A55D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5D15" w:rsidRPr="00A55D15" w14:paraId="7DA001BE" w14:textId="77777777" w:rsidTr="00A55D15">
        <w:tblPrEx>
          <w:tblCellMar>
            <w:top w:w="0" w:type="dxa"/>
            <w:bottom w:w="0" w:type="dxa"/>
          </w:tblCellMar>
        </w:tblPrEx>
        <w:tc>
          <w:tcPr>
            <w:tcW w:w="1247" w:type="dxa"/>
          </w:tcPr>
          <w:p w14:paraId="238FFCD1" w14:textId="77777777" w:rsidR="00A55D15" w:rsidRPr="00A55D15" w:rsidRDefault="00A55D15" w:rsidP="00A55D15">
            <w:pPr>
              <w:spacing w:line="240" w:lineRule="auto"/>
              <w:jc w:val="left"/>
              <w:rPr>
                <w:rFonts w:cs="Frankruhel"/>
                <w:sz w:val="24"/>
                <w:rtl/>
              </w:rPr>
            </w:pPr>
            <w:r>
              <w:rPr>
                <w:rFonts w:cs="Times New Roman"/>
                <w:sz w:val="24"/>
                <w:rtl/>
              </w:rPr>
              <w:t xml:space="preserve">סעיף 2 </w:t>
            </w:r>
          </w:p>
        </w:tc>
        <w:tc>
          <w:tcPr>
            <w:tcW w:w="5669" w:type="dxa"/>
          </w:tcPr>
          <w:p w14:paraId="65E29FDC" w14:textId="77777777" w:rsidR="00A55D15" w:rsidRPr="00A55D15" w:rsidRDefault="00A55D15" w:rsidP="00A55D15">
            <w:pPr>
              <w:spacing w:line="240" w:lineRule="auto"/>
              <w:jc w:val="left"/>
              <w:rPr>
                <w:rFonts w:cs="Frankruhel"/>
                <w:sz w:val="24"/>
                <w:rtl/>
              </w:rPr>
            </w:pPr>
            <w:r>
              <w:rPr>
                <w:rFonts w:cs="Times New Roman"/>
                <w:sz w:val="24"/>
                <w:rtl/>
              </w:rPr>
              <w:t>הגשת דוחות כספיים</w:t>
            </w:r>
          </w:p>
        </w:tc>
        <w:tc>
          <w:tcPr>
            <w:tcW w:w="567" w:type="dxa"/>
          </w:tcPr>
          <w:p w14:paraId="421BB521" w14:textId="77777777" w:rsidR="00A55D15" w:rsidRPr="00A55D15" w:rsidRDefault="00A55D15" w:rsidP="00A55D15">
            <w:pPr>
              <w:spacing w:line="240" w:lineRule="auto"/>
              <w:jc w:val="left"/>
              <w:rPr>
                <w:rStyle w:val="Hyperlink"/>
                <w:rtl/>
              </w:rPr>
            </w:pPr>
            <w:hyperlink w:anchor="Seif2" w:tooltip="הגשת דוחות כספיים" w:history="1">
              <w:r w:rsidRPr="00A55D15">
                <w:rPr>
                  <w:rStyle w:val="Hyperlink"/>
                </w:rPr>
                <w:t>Go</w:t>
              </w:r>
            </w:hyperlink>
          </w:p>
        </w:tc>
        <w:tc>
          <w:tcPr>
            <w:tcW w:w="850" w:type="dxa"/>
          </w:tcPr>
          <w:p w14:paraId="3C0096A5" w14:textId="77777777" w:rsidR="00A55D15" w:rsidRPr="00A55D15" w:rsidRDefault="00A55D15" w:rsidP="00A55D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55D15" w:rsidRPr="00A55D15" w14:paraId="7E55C712" w14:textId="77777777" w:rsidTr="00A55D15">
        <w:tblPrEx>
          <w:tblCellMar>
            <w:top w:w="0" w:type="dxa"/>
            <w:bottom w:w="0" w:type="dxa"/>
          </w:tblCellMar>
        </w:tblPrEx>
        <w:tc>
          <w:tcPr>
            <w:tcW w:w="1247" w:type="dxa"/>
          </w:tcPr>
          <w:p w14:paraId="7E6FD300" w14:textId="77777777" w:rsidR="00A55D15" w:rsidRPr="00A55D15" w:rsidRDefault="00A55D15" w:rsidP="00A55D15">
            <w:pPr>
              <w:spacing w:line="240" w:lineRule="auto"/>
              <w:jc w:val="left"/>
              <w:rPr>
                <w:rFonts w:cs="Frankruhel"/>
                <w:sz w:val="24"/>
                <w:rtl/>
              </w:rPr>
            </w:pPr>
            <w:r>
              <w:rPr>
                <w:rFonts w:cs="Times New Roman"/>
                <w:sz w:val="24"/>
                <w:rtl/>
              </w:rPr>
              <w:t xml:space="preserve">סעיף 3 </w:t>
            </w:r>
          </w:p>
        </w:tc>
        <w:tc>
          <w:tcPr>
            <w:tcW w:w="5669" w:type="dxa"/>
          </w:tcPr>
          <w:p w14:paraId="22FEA64E" w14:textId="77777777" w:rsidR="00A55D15" w:rsidRPr="00A55D15" w:rsidRDefault="00A55D15" w:rsidP="00A55D15">
            <w:pPr>
              <w:spacing w:line="240" w:lineRule="auto"/>
              <w:jc w:val="left"/>
              <w:rPr>
                <w:rFonts w:cs="Frankruhel"/>
                <w:sz w:val="24"/>
                <w:rtl/>
              </w:rPr>
            </w:pPr>
            <w:r>
              <w:rPr>
                <w:rFonts w:cs="Times New Roman"/>
                <w:sz w:val="24"/>
                <w:rtl/>
              </w:rPr>
              <w:t>ביאורים לדוחות הכספיים</w:t>
            </w:r>
          </w:p>
        </w:tc>
        <w:tc>
          <w:tcPr>
            <w:tcW w:w="567" w:type="dxa"/>
          </w:tcPr>
          <w:p w14:paraId="1E3EC931" w14:textId="77777777" w:rsidR="00A55D15" w:rsidRPr="00A55D15" w:rsidRDefault="00A55D15" w:rsidP="00A55D15">
            <w:pPr>
              <w:spacing w:line="240" w:lineRule="auto"/>
              <w:jc w:val="left"/>
              <w:rPr>
                <w:rStyle w:val="Hyperlink"/>
                <w:rtl/>
              </w:rPr>
            </w:pPr>
            <w:hyperlink w:anchor="Seif3" w:tooltip="ביאורים לדוחות הכספיים" w:history="1">
              <w:r w:rsidRPr="00A55D15">
                <w:rPr>
                  <w:rStyle w:val="Hyperlink"/>
                </w:rPr>
                <w:t>Go</w:t>
              </w:r>
            </w:hyperlink>
          </w:p>
        </w:tc>
        <w:tc>
          <w:tcPr>
            <w:tcW w:w="850" w:type="dxa"/>
          </w:tcPr>
          <w:p w14:paraId="69B921E2" w14:textId="77777777" w:rsidR="00A55D15" w:rsidRPr="00A55D15" w:rsidRDefault="00A55D15" w:rsidP="00A55D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5D15" w:rsidRPr="00A55D15" w14:paraId="610EB37A" w14:textId="77777777" w:rsidTr="00A55D15">
        <w:tblPrEx>
          <w:tblCellMar>
            <w:top w:w="0" w:type="dxa"/>
            <w:bottom w:w="0" w:type="dxa"/>
          </w:tblCellMar>
        </w:tblPrEx>
        <w:tc>
          <w:tcPr>
            <w:tcW w:w="1247" w:type="dxa"/>
          </w:tcPr>
          <w:p w14:paraId="3BC2F3ED" w14:textId="77777777" w:rsidR="00A55D15" w:rsidRPr="00A55D15" w:rsidRDefault="00A55D15" w:rsidP="00A55D15">
            <w:pPr>
              <w:spacing w:line="240" w:lineRule="auto"/>
              <w:jc w:val="left"/>
              <w:rPr>
                <w:rFonts w:cs="Frankruhel"/>
                <w:sz w:val="24"/>
                <w:rtl/>
              </w:rPr>
            </w:pPr>
            <w:r>
              <w:rPr>
                <w:rFonts w:cs="Times New Roman"/>
                <w:sz w:val="24"/>
                <w:rtl/>
              </w:rPr>
              <w:t xml:space="preserve">סעיף 4 </w:t>
            </w:r>
          </w:p>
        </w:tc>
        <w:tc>
          <w:tcPr>
            <w:tcW w:w="5669" w:type="dxa"/>
          </w:tcPr>
          <w:p w14:paraId="4114A4A3" w14:textId="77777777" w:rsidR="00A55D15" w:rsidRPr="00A55D15" w:rsidRDefault="00A55D15" w:rsidP="00A55D15">
            <w:pPr>
              <w:spacing w:line="240" w:lineRule="auto"/>
              <w:jc w:val="left"/>
              <w:rPr>
                <w:rFonts w:cs="Frankruhel"/>
                <w:sz w:val="24"/>
                <w:rtl/>
              </w:rPr>
            </w:pPr>
            <w:r>
              <w:rPr>
                <w:rFonts w:cs="Times New Roman"/>
                <w:sz w:val="24"/>
                <w:rtl/>
              </w:rPr>
              <w:t>ביטול</w:t>
            </w:r>
          </w:p>
        </w:tc>
        <w:tc>
          <w:tcPr>
            <w:tcW w:w="567" w:type="dxa"/>
          </w:tcPr>
          <w:p w14:paraId="4FFCDD60" w14:textId="77777777" w:rsidR="00A55D15" w:rsidRPr="00A55D15" w:rsidRDefault="00A55D15" w:rsidP="00A55D15">
            <w:pPr>
              <w:spacing w:line="240" w:lineRule="auto"/>
              <w:jc w:val="left"/>
              <w:rPr>
                <w:rStyle w:val="Hyperlink"/>
                <w:rtl/>
              </w:rPr>
            </w:pPr>
            <w:hyperlink w:anchor="Seif4" w:tooltip="ביטול" w:history="1">
              <w:r w:rsidRPr="00A55D15">
                <w:rPr>
                  <w:rStyle w:val="Hyperlink"/>
                </w:rPr>
                <w:t>Go</w:t>
              </w:r>
            </w:hyperlink>
          </w:p>
        </w:tc>
        <w:tc>
          <w:tcPr>
            <w:tcW w:w="850" w:type="dxa"/>
          </w:tcPr>
          <w:p w14:paraId="32C595C0" w14:textId="77777777" w:rsidR="00A55D15" w:rsidRPr="00A55D15" w:rsidRDefault="00A55D15" w:rsidP="00A55D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5D15" w:rsidRPr="00A55D15" w14:paraId="4D2D682C" w14:textId="77777777" w:rsidTr="00A55D15">
        <w:tblPrEx>
          <w:tblCellMar>
            <w:top w:w="0" w:type="dxa"/>
            <w:bottom w:w="0" w:type="dxa"/>
          </w:tblCellMar>
        </w:tblPrEx>
        <w:tc>
          <w:tcPr>
            <w:tcW w:w="1247" w:type="dxa"/>
          </w:tcPr>
          <w:p w14:paraId="0C08292A" w14:textId="77777777" w:rsidR="00A55D15" w:rsidRPr="00A55D15" w:rsidRDefault="00A55D15" w:rsidP="00A55D15">
            <w:pPr>
              <w:spacing w:line="240" w:lineRule="auto"/>
              <w:jc w:val="left"/>
              <w:rPr>
                <w:rFonts w:cs="Frankruhel"/>
                <w:sz w:val="24"/>
                <w:rtl/>
              </w:rPr>
            </w:pPr>
            <w:r>
              <w:rPr>
                <w:rFonts w:cs="Times New Roman"/>
                <w:sz w:val="24"/>
                <w:rtl/>
              </w:rPr>
              <w:t xml:space="preserve">סעיף 5 </w:t>
            </w:r>
          </w:p>
        </w:tc>
        <w:tc>
          <w:tcPr>
            <w:tcW w:w="5669" w:type="dxa"/>
          </w:tcPr>
          <w:p w14:paraId="301FDB91" w14:textId="77777777" w:rsidR="00A55D15" w:rsidRPr="00A55D15" w:rsidRDefault="00A55D15" w:rsidP="00A55D15">
            <w:pPr>
              <w:spacing w:line="240" w:lineRule="auto"/>
              <w:jc w:val="left"/>
              <w:rPr>
                <w:rFonts w:cs="Frankruhel"/>
                <w:sz w:val="24"/>
                <w:rtl/>
              </w:rPr>
            </w:pPr>
            <w:r>
              <w:rPr>
                <w:rFonts w:cs="Times New Roman"/>
                <w:sz w:val="24"/>
                <w:rtl/>
              </w:rPr>
              <w:t>תחילה</w:t>
            </w:r>
          </w:p>
        </w:tc>
        <w:tc>
          <w:tcPr>
            <w:tcW w:w="567" w:type="dxa"/>
          </w:tcPr>
          <w:p w14:paraId="51372311" w14:textId="77777777" w:rsidR="00A55D15" w:rsidRPr="00A55D15" w:rsidRDefault="00A55D15" w:rsidP="00A55D15">
            <w:pPr>
              <w:spacing w:line="240" w:lineRule="auto"/>
              <w:jc w:val="left"/>
              <w:rPr>
                <w:rStyle w:val="Hyperlink"/>
                <w:rtl/>
              </w:rPr>
            </w:pPr>
            <w:hyperlink w:anchor="Seif5" w:tooltip="תחילה" w:history="1">
              <w:r w:rsidRPr="00A55D15">
                <w:rPr>
                  <w:rStyle w:val="Hyperlink"/>
                </w:rPr>
                <w:t>Go</w:t>
              </w:r>
            </w:hyperlink>
          </w:p>
        </w:tc>
        <w:tc>
          <w:tcPr>
            <w:tcW w:w="850" w:type="dxa"/>
          </w:tcPr>
          <w:p w14:paraId="4B491167" w14:textId="77777777" w:rsidR="00A55D15" w:rsidRPr="00A55D15" w:rsidRDefault="00A55D15" w:rsidP="00A55D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55D15" w:rsidRPr="00A55D15" w14:paraId="2B0DC5B3" w14:textId="77777777" w:rsidTr="00A55D15">
        <w:tblPrEx>
          <w:tblCellMar>
            <w:top w:w="0" w:type="dxa"/>
            <w:bottom w:w="0" w:type="dxa"/>
          </w:tblCellMar>
        </w:tblPrEx>
        <w:tc>
          <w:tcPr>
            <w:tcW w:w="1247" w:type="dxa"/>
          </w:tcPr>
          <w:p w14:paraId="62022BF6" w14:textId="77777777" w:rsidR="00A55D15" w:rsidRPr="00A55D15" w:rsidRDefault="00A55D15" w:rsidP="00A55D15">
            <w:pPr>
              <w:spacing w:line="240" w:lineRule="auto"/>
              <w:jc w:val="left"/>
              <w:rPr>
                <w:rFonts w:cs="Frankruhel"/>
                <w:sz w:val="24"/>
                <w:rtl/>
              </w:rPr>
            </w:pPr>
            <w:r>
              <w:rPr>
                <w:rFonts w:cs="Times New Roman"/>
                <w:sz w:val="24"/>
                <w:rtl/>
              </w:rPr>
              <w:t xml:space="preserve">סעיף 6 </w:t>
            </w:r>
          </w:p>
        </w:tc>
        <w:tc>
          <w:tcPr>
            <w:tcW w:w="5669" w:type="dxa"/>
          </w:tcPr>
          <w:p w14:paraId="085D5D41" w14:textId="77777777" w:rsidR="00A55D15" w:rsidRPr="00A55D15" w:rsidRDefault="00A55D15" w:rsidP="00A55D15">
            <w:pPr>
              <w:spacing w:line="240" w:lineRule="auto"/>
              <w:jc w:val="left"/>
              <w:rPr>
                <w:rFonts w:cs="Frankruhel"/>
                <w:sz w:val="24"/>
                <w:rtl/>
              </w:rPr>
            </w:pPr>
            <w:r>
              <w:rPr>
                <w:rFonts w:cs="Times New Roman"/>
                <w:sz w:val="24"/>
                <w:rtl/>
              </w:rPr>
              <w:t>הוראת מעבר</w:t>
            </w:r>
          </w:p>
        </w:tc>
        <w:tc>
          <w:tcPr>
            <w:tcW w:w="567" w:type="dxa"/>
          </w:tcPr>
          <w:p w14:paraId="00CF34C6" w14:textId="77777777" w:rsidR="00A55D15" w:rsidRPr="00A55D15" w:rsidRDefault="00A55D15" w:rsidP="00A55D15">
            <w:pPr>
              <w:spacing w:line="240" w:lineRule="auto"/>
              <w:jc w:val="left"/>
              <w:rPr>
                <w:rStyle w:val="Hyperlink"/>
                <w:rtl/>
              </w:rPr>
            </w:pPr>
            <w:hyperlink w:anchor="Seif6" w:tooltip="הוראת מעבר" w:history="1">
              <w:r w:rsidRPr="00A55D15">
                <w:rPr>
                  <w:rStyle w:val="Hyperlink"/>
                </w:rPr>
                <w:t>Go</w:t>
              </w:r>
            </w:hyperlink>
          </w:p>
        </w:tc>
        <w:tc>
          <w:tcPr>
            <w:tcW w:w="850" w:type="dxa"/>
          </w:tcPr>
          <w:p w14:paraId="28283F36" w14:textId="77777777" w:rsidR="00A55D15" w:rsidRPr="00A55D15" w:rsidRDefault="00A55D15" w:rsidP="00A55D1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4A662327" w14:textId="77777777" w:rsidR="00D25D5C" w:rsidRDefault="00D25D5C" w:rsidP="00620D54">
      <w:pPr>
        <w:pStyle w:val="big-header"/>
        <w:spacing w:line="240" w:lineRule="auto"/>
        <w:ind w:left="0" w:right="1134"/>
        <w:rPr>
          <w:rStyle w:val="default"/>
          <w:rFonts w:hint="cs"/>
          <w:sz w:val="22"/>
          <w:szCs w:val="22"/>
          <w:rtl/>
        </w:rPr>
      </w:pPr>
      <w:r>
        <w:rPr>
          <w:rFonts w:cs="FrankRuehl"/>
          <w:sz w:val="32"/>
          <w:rtl/>
        </w:rPr>
        <w:br w:type="page"/>
      </w:r>
      <w:r w:rsidR="00974306">
        <w:rPr>
          <w:rFonts w:cs="FrankRuehl" w:hint="cs"/>
          <w:sz w:val="32"/>
          <w:rtl/>
        </w:rPr>
        <w:lastRenderedPageBreak/>
        <w:t>תקנות השקעות משותפות בנאמנות (דוחות כספיים של קרן), תש"ע-2009</w:t>
      </w:r>
      <w:r>
        <w:rPr>
          <w:rStyle w:val="default"/>
          <w:sz w:val="22"/>
          <w:szCs w:val="22"/>
          <w:rtl/>
        </w:rPr>
        <w:footnoteReference w:customMarkFollows="1" w:id="1"/>
        <w:t>*</w:t>
      </w:r>
    </w:p>
    <w:p w14:paraId="4B5F7D6D" w14:textId="77777777" w:rsidR="00BD1625" w:rsidRDefault="005453FC" w:rsidP="00A71F31">
      <w:pPr>
        <w:pStyle w:val="P00"/>
        <w:spacing w:before="72"/>
        <w:ind w:left="0" w:right="1134"/>
        <w:rPr>
          <w:rStyle w:val="default"/>
          <w:rFonts w:cs="FrankRuehl" w:hint="cs"/>
          <w:rtl/>
        </w:rPr>
      </w:pPr>
      <w:r>
        <w:rPr>
          <w:rStyle w:val="default"/>
          <w:rFonts w:cs="FrankRuehl" w:hint="cs"/>
          <w:rtl/>
        </w:rPr>
        <w:tab/>
        <w:t xml:space="preserve">בתוקף </w:t>
      </w:r>
      <w:r w:rsidR="00421409">
        <w:rPr>
          <w:rStyle w:val="default"/>
          <w:rFonts w:cs="FrankRuehl" w:hint="cs"/>
          <w:rtl/>
        </w:rPr>
        <w:t xml:space="preserve">סמכותי לפי סעיפים </w:t>
      </w:r>
      <w:r w:rsidR="00A71F31">
        <w:rPr>
          <w:rStyle w:val="default"/>
          <w:rFonts w:cs="FrankRuehl" w:hint="cs"/>
          <w:rtl/>
        </w:rPr>
        <w:t>72</w:t>
      </w:r>
      <w:r w:rsidR="00421409">
        <w:rPr>
          <w:rStyle w:val="default"/>
          <w:rFonts w:cs="FrankRuehl" w:hint="cs"/>
          <w:rtl/>
        </w:rPr>
        <w:t xml:space="preserve">(א) ו-131(א) לחוק השקעות משותפות בנאמנות, התשנ"ד-1994 (להלן </w:t>
      </w:r>
      <w:r w:rsidR="00421409">
        <w:rPr>
          <w:rStyle w:val="default"/>
          <w:rFonts w:cs="FrankRuehl"/>
          <w:rtl/>
        </w:rPr>
        <w:t>–</w:t>
      </w:r>
      <w:r w:rsidR="00421409">
        <w:rPr>
          <w:rStyle w:val="default"/>
          <w:rFonts w:cs="FrankRuehl" w:hint="cs"/>
          <w:rtl/>
        </w:rPr>
        <w:t xml:space="preserve"> החוק), לפי הצעת הרשות ובאישור ועדת הכספים של הכנסת, אני מתקין תקנות אלה</w:t>
      </w:r>
      <w:r w:rsidR="00BD1625">
        <w:rPr>
          <w:rStyle w:val="default"/>
          <w:rFonts w:cs="FrankRuehl" w:hint="cs"/>
          <w:rtl/>
        </w:rPr>
        <w:t>:</w:t>
      </w:r>
    </w:p>
    <w:p w14:paraId="295B901F" w14:textId="77777777" w:rsidR="00642120" w:rsidRDefault="00642120" w:rsidP="009F61AB">
      <w:pPr>
        <w:pStyle w:val="P00"/>
        <w:spacing w:before="72"/>
        <w:ind w:left="0" w:right="1134"/>
        <w:rPr>
          <w:rStyle w:val="default"/>
          <w:rFonts w:cs="FrankRuehl" w:hint="cs"/>
          <w:rtl/>
        </w:rPr>
      </w:pPr>
      <w:bookmarkStart w:id="0" w:name="Seif1"/>
      <w:bookmarkEnd w:id="0"/>
      <w:r>
        <w:rPr>
          <w:lang w:val="he-IL"/>
        </w:rPr>
        <w:pict w14:anchorId="0A4FA747">
          <v:rect id="_x0000_s1107" style="position:absolute;left:0;text-align:left;margin-left:464.5pt;margin-top:8.05pt;width:75.05pt;height:15pt;z-index:251646976" o:allowincell="f" filled="f" stroked="f" strokecolor="lime" strokeweight=".25pt">
            <v:textbox inset="0,0,0,0">
              <w:txbxContent>
                <w:p w14:paraId="57D61246" w14:textId="77777777" w:rsidR="00C55FF6" w:rsidRDefault="00C55FF6"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9F61AB">
        <w:rPr>
          <w:rStyle w:val="default"/>
          <w:rFonts w:cs="FrankRuehl" w:hint="cs"/>
          <w:rtl/>
        </w:rPr>
        <w:t xml:space="preserve">בתקנות אלה </w:t>
      </w:r>
      <w:r w:rsidR="009F61AB">
        <w:rPr>
          <w:rStyle w:val="default"/>
          <w:rFonts w:cs="FrankRuehl"/>
          <w:rtl/>
        </w:rPr>
        <w:t>–</w:t>
      </w:r>
    </w:p>
    <w:p w14:paraId="38B4C0B7" w14:textId="77777777" w:rsidR="002719A9" w:rsidRDefault="002719A9" w:rsidP="009F61AB">
      <w:pPr>
        <w:pStyle w:val="P00"/>
        <w:spacing w:before="72"/>
        <w:ind w:left="0" w:right="1134"/>
        <w:rPr>
          <w:rStyle w:val="default"/>
          <w:rFonts w:cs="FrankRuehl" w:hint="cs"/>
          <w:rtl/>
        </w:rPr>
      </w:pPr>
      <w:r>
        <w:rPr>
          <w:rFonts w:cs="FrankRuehl" w:hint="cs"/>
          <w:sz w:val="26"/>
          <w:rtl/>
          <w:lang w:eastAsia="en-US"/>
        </w:rPr>
        <w:pict w14:anchorId="2CD107D1">
          <v:shapetype id="_x0000_t202" coordsize="21600,21600" o:spt="202" path="m,l,21600r21600,l21600,xe">
            <v:stroke joinstyle="miter"/>
            <v:path gradientshapeok="t" o:connecttype="rect"/>
          </v:shapetype>
          <v:shape id="_x0000_s1249" type="#_x0000_t202" style="position:absolute;left:0;text-align:left;margin-left:470.35pt;margin-top:7.1pt;width:1in;height:9pt;z-index:251653120" filled="f" stroked="f">
            <v:textbox inset="1mm,0,1mm,0">
              <w:txbxContent>
                <w:p w14:paraId="660AF182" w14:textId="77777777" w:rsidR="002719A9" w:rsidRDefault="002719A9" w:rsidP="002719A9">
                  <w:pPr>
                    <w:spacing w:line="160" w:lineRule="exact"/>
                    <w:jc w:val="lef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t xml:space="preserve">"אגד קרנות" </w:t>
      </w:r>
      <w:r>
        <w:rPr>
          <w:rStyle w:val="default"/>
          <w:rFonts w:cs="FrankRuehl"/>
          <w:rtl/>
        </w:rPr>
        <w:t>–</w:t>
      </w:r>
      <w:r>
        <w:rPr>
          <w:rStyle w:val="default"/>
          <w:rFonts w:cs="FrankRuehl" w:hint="cs"/>
          <w:rtl/>
        </w:rPr>
        <w:t xml:space="preserve"> כהגדרתו בתקנות השקעות משותפות בנאמנות (נכסים שמותר לקנות ולהחזיק בקרן ושיעוריהם המרביים), התשנ"ה-1994;</w:t>
      </w:r>
    </w:p>
    <w:p w14:paraId="095202F4" w14:textId="77777777" w:rsidR="002719A9" w:rsidRPr="00E326F5" w:rsidRDefault="002719A9" w:rsidP="002719A9">
      <w:pPr>
        <w:pStyle w:val="P00"/>
        <w:spacing w:before="0"/>
        <w:ind w:left="0" w:right="1134"/>
        <w:rPr>
          <w:rStyle w:val="default"/>
          <w:rFonts w:cs="FrankRuehl" w:hint="cs"/>
          <w:vanish/>
          <w:color w:val="FF0000"/>
          <w:sz w:val="20"/>
          <w:szCs w:val="20"/>
          <w:shd w:val="clear" w:color="auto" w:fill="FFFF99"/>
          <w:rtl/>
        </w:rPr>
      </w:pPr>
      <w:bookmarkStart w:id="1" w:name="Rov7"/>
      <w:r w:rsidRPr="00E326F5">
        <w:rPr>
          <w:rStyle w:val="default"/>
          <w:rFonts w:cs="FrankRuehl" w:hint="cs"/>
          <w:vanish/>
          <w:color w:val="FF0000"/>
          <w:sz w:val="20"/>
          <w:szCs w:val="20"/>
          <w:shd w:val="clear" w:color="auto" w:fill="FFFF99"/>
          <w:rtl/>
        </w:rPr>
        <w:t>מיום 5.2.2012</w:t>
      </w:r>
    </w:p>
    <w:p w14:paraId="2A47EF48" w14:textId="77777777" w:rsidR="002719A9" w:rsidRPr="00E326F5" w:rsidRDefault="002719A9" w:rsidP="002719A9">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תשע"ב-2012</w:t>
      </w:r>
    </w:p>
    <w:p w14:paraId="24B3702E" w14:textId="77777777" w:rsidR="002719A9" w:rsidRPr="00E326F5" w:rsidRDefault="002719A9" w:rsidP="002719A9">
      <w:pPr>
        <w:pStyle w:val="P00"/>
        <w:spacing w:before="0"/>
        <w:ind w:left="0" w:right="1134"/>
        <w:rPr>
          <w:rStyle w:val="default"/>
          <w:rFonts w:cs="FrankRuehl" w:hint="cs"/>
          <w:vanish/>
          <w:sz w:val="20"/>
          <w:szCs w:val="20"/>
          <w:shd w:val="clear" w:color="auto" w:fill="FFFF99"/>
          <w:rtl/>
        </w:rPr>
      </w:pPr>
      <w:hyperlink r:id="rId7" w:history="1">
        <w:r w:rsidRPr="00E326F5">
          <w:rPr>
            <w:rStyle w:val="Hyperlink"/>
            <w:rFonts w:cs="FrankRuehl" w:hint="cs"/>
            <w:vanish/>
            <w:szCs w:val="20"/>
            <w:shd w:val="clear" w:color="auto" w:fill="FFFF99"/>
            <w:rtl/>
          </w:rPr>
          <w:t>ק"ת תשע"ב מס' 7087</w:t>
        </w:r>
      </w:hyperlink>
      <w:r w:rsidRPr="00E326F5">
        <w:rPr>
          <w:rStyle w:val="default"/>
          <w:rFonts w:cs="FrankRuehl" w:hint="cs"/>
          <w:vanish/>
          <w:sz w:val="20"/>
          <w:szCs w:val="20"/>
          <w:shd w:val="clear" w:color="auto" w:fill="FFFF99"/>
          <w:rtl/>
        </w:rPr>
        <w:t xml:space="preserve"> מיום 5.2.2012 עמ' 738</w:t>
      </w:r>
    </w:p>
    <w:p w14:paraId="12E35215" w14:textId="77777777" w:rsidR="002719A9" w:rsidRPr="002719A9" w:rsidRDefault="002719A9" w:rsidP="002719A9">
      <w:pPr>
        <w:pStyle w:val="P00"/>
        <w:spacing w:before="0"/>
        <w:ind w:left="0" w:right="1134"/>
        <w:rPr>
          <w:rStyle w:val="default"/>
          <w:rFonts w:cs="FrankRuehl" w:hint="cs"/>
          <w:sz w:val="2"/>
          <w:szCs w:val="2"/>
          <w:rtl/>
        </w:rPr>
      </w:pPr>
      <w:r w:rsidRPr="00E326F5">
        <w:rPr>
          <w:rStyle w:val="default"/>
          <w:rFonts w:cs="FrankRuehl" w:hint="cs"/>
          <w:b/>
          <w:bCs/>
          <w:vanish/>
          <w:sz w:val="20"/>
          <w:szCs w:val="20"/>
          <w:shd w:val="clear" w:color="auto" w:fill="FFFF99"/>
          <w:rtl/>
        </w:rPr>
        <w:t>הוספת הגדרת "אגד קרנות"</w:t>
      </w:r>
      <w:bookmarkEnd w:id="1"/>
    </w:p>
    <w:p w14:paraId="35D09A0A" w14:textId="77777777" w:rsidR="00A71F31" w:rsidRDefault="002719A9" w:rsidP="009F61AB">
      <w:pPr>
        <w:pStyle w:val="P00"/>
        <w:spacing w:before="72"/>
        <w:ind w:left="0" w:right="1134"/>
        <w:rPr>
          <w:rStyle w:val="default"/>
          <w:rFonts w:cs="FrankRuehl" w:hint="cs"/>
          <w:rtl/>
        </w:rPr>
      </w:pPr>
      <w:r>
        <w:rPr>
          <w:rFonts w:cs="FrankRuehl" w:hint="cs"/>
          <w:sz w:val="26"/>
          <w:rtl/>
          <w:lang w:eastAsia="en-US"/>
        </w:rPr>
        <w:pict w14:anchorId="6A25992A">
          <v:shape id="_x0000_s1252" type="#_x0000_t202" style="position:absolute;left:0;text-align:left;margin-left:470.35pt;margin-top:7.1pt;width:1in;height:9pt;z-index:251654144" filled="f" stroked="f">
            <v:textbox inset="1mm,0,1mm,0">
              <w:txbxContent>
                <w:p w14:paraId="1DED404A" w14:textId="77777777" w:rsidR="002719A9" w:rsidRDefault="002719A9" w:rsidP="002719A9">
                  <w:pPr>
                    <w:spacing w:line="160" w:lineRule="exact"/>
                    <w:jc w:val="left"/>
                    <w:rPr>
                      <w:rFonts w:cs="Miriam" w:hint="cs"/>
                      <w:noProof/>
                      <w:sz w:val="18"/>
                      <w:szCs w:val="18"/>
                      <w:rtl/>
                    </w:rPr>
                  </w:pPr>
                  <w:r>
                    <w:rPr>
                      <w:rFonts w:cs="Miriam" w:hint="cs"/>
                      <w:sz w:val="18"/>
                      <w:szCs w:val="18"/>
                      <w:rtl/>
                    </w:rPr>
                    <w:t>תק' תשע"ב-2012</w:t>
                  </w:r>
                </w:p>
              </w:txbxContent>
            </v:textbox>
          </v:shape>
        </w:pict>
      </w:r>
      <w:r w:rsidR="00A71F31">
        <w:rPr>
          <w:rStyle w:val="default"/>
          <w:rFonts w:cs="FrankRuehl" w:hint="cs"/>
          <w:rtl/>
        </w:rPr>
        <w:tab/>
        <w:t xml:space="preserve">"דוחות כספיים" </w:t>
      </w:r>
      <w:r w:rsidR="00A71F31">
        <w:rPr>
          <w:rStyle w:val="default"/>
          <w:rFonts w:cs="FrankRuehl"/>
          <w:rtl/>
        </w:rPr>
        <w:t>–</w:t>
      </w:r>
      <w:r w:rsidR="00A71F31">
        <w:rPr>
          <w:rStyle w:val="default"/>
          <w:rFonts w:cs="FrankRuehl" w:hint="cs"/>
          <w:rtl/>
        </w:rPr>
        <w:t xml:space="preserve"> דוחות כספיים של קרן, הכוללים </w:t>
      </w:r>
      <w:r>
        <w:rPr>
          <w:rStyle w:val="default"/>
          <w:rFonts w:cs="FrankRuehl" w:hint="cs"/>
          <w:rtl/>
        </w:rPr>
        <w:t xml:space="preserve">בין השאר </w:t>
      </w:r>
      <w:r w:rsidR="00A71F31">
        <w:rPr>
          <w:rStyle w:val="default"/>
          <w:rFonts w:cs="FrankRuehl" w:hint="cs"/>
          <w:rtl/>
        </w:rPr>
        <w:t>מאזן, דוח רווח והפסד ודוח על השינויים בערך היחידות של הקרן, לרבות הביאורים להם;</w:t>
      </w:r>
    </w:p>
    <w:p w14:paraId="1EB24422" w14:textId="77777777" w:rsidR="002719A9" w:rsidRPr="00E326F5" w:rsidRDefault="002719A9" w:rsidP="002719A9">
      <w:pPr>
        <w:pStyle w:val="P00"/>
        <w:spacing w:before="0"/>
        <w:ind w:left="0" w:right="1134"/>
        <w:rPr>
          <w:rStyle w:val="default"/>
          <w:rFonts w:cs="FrankRuehl" w:hint="cs"/>
          <w:vanish/>
          <w:color w:val="FF0000"/>
          <w:sz w:val="20"/>
          <w:szCs w:val="20"/>
          <w:shd w:val="clear" w:color="auto" w:fill="FFFF99"/>
          <w:rtl/>
        </w:rPr>
      </w:pPr>
      <w:bookmarkStart w:id="2" w:name="Rov8"/>
      <w:r w:rsidRPr="00E326F5">
        <w:rPr>
          <w:rStyle w:val="default"/>
          <w:rFonts w:cs="FrankRuehl" w:hint="cs"/>
          <w:vanish/>
          <w:color w:val="FF0000"/>
          <w:sz w:val="20"/>
          <w:szCs w:val="20"/>
          <w:shd w:val="clear" w:color="auto" w:fill="FFFF99"/>
          <w:rtl/>
        </w:rPr>
        <w:t>מיום 5.2.2012</w:t>
      </w:r>
    </w:p>
    <w:p w14:paraId="37EC7F4E" w14:textId="77777777" w:rsidR="002719A9" w:rsidRPr="00E326F5" w:rsidRDefault="002719A9" w:rsidP="002719A9">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תשע"ב-2012</w:t>
      </w:r>
    </w:p>
    <w:p w14:paraId="06DC9A99" w14:textId="77777777" w:rsidR="002719A9" w:rsidRPr="00E326F5" w:rsidRDefault="002719A9" w:rsidP="002719A9">
      <w:pPr>
        <w:pStyle w:val="P00"/>
        <w:spacing w:before="0"/>
        <w:ind w:left="0" w:right="1134"/>
        <w:rPr>
          <w:rStyle w:val="default"/>
          <w:rFonts w:cs="FrankRuehl" w:hint="cs"/>
          <w:vanish/>
          <w:sz w:val="20"/>
          <w:szCs w:val="20"/>
          <w:shd w:val="clear" w:color="auto" w:fill="FFFF99"/>
          <w:rtl/>
        </w:rPr>
      </w:pPr>
      <w:hyperlink r:id="rId8" w:history="1">
        <w:r w:rsidRPr="00E326F5">
          <w:rPr>
            <w:rStyle w:val="Hyperlink"/>
            <w:rFonts w:cs="FrankRuehl" w:hint="cs"/>
            <w:vanish/>
            <w:szCs w:val="20"/>
            <w:shd w:val="clear" w:color="auto" w:fill="FFFF99"/>
            <w:rtl/>
          </w:rPr>
          <w:t>ק"ת תשע"ב מס' 7087</w:t>
        </w:r>
      </w:hyperlink>
      <w:r w:rsidRPr="00E326F5">
        <w:rPr>
          <w:rStyle w:val="default"/>
          <w:rFonts w:cs="FrankRuehl" w:hint="cs"/>
          <w:vanish/>
          <w:sz w:val="20"/>
          <w:szCs w:val="20"/>
          <w:shd w:val="clear" w:color="auto" w:fill="FFFF99"/>
          <w:rtl/>
        </w:rPr>
        <w:t xml:space="preserve"> מיום 5.2.2012 עמ' 738</w:t>
      </w:r>
    </w:p>
    <w:p w14:paraId="58238917" w14:textId="77777777" w:rsidR="002719A9" w:rsidRPr="002719A9" w:rsidRDefault="002719A9" w:rsidP="002719A9">
      <w:pPr>
        <w:pStyle w:val="P00"/>
        <w:ind w:left="0" w:right="1134"/>
        <w:rPr>
          <w:rStyle w:val="default"/>
          <w:rFonts w:cs="FrankRuehl" w:hint="cs"/>
          <w:sz w:val="2"/>
          <w:szCs w:val="2"/>
          <w:rtl/>
        </w:rPr>
      </w:pPr>
      <w:r w:rsidRPr="00E326F5">
        <w:rPr>
          <w:rStyle w:val="default"/>
          <w:rFonts w:cs="FrankRuehl" w:hint="cs"/>
          <w:vanish/>
          <w:sz w:val="22"/>
          <w:szCs w:val="22"/>
          <w:shd w:val="clear" w:color="auto" w:fill="FFFF99"/>
          <w:rtl/>
        </w:rPr>
        <w:tab/>
        <w:t xml:space="preserve">"דוחות כספיים" </w:t>
      </w:r>
      <w:r w:rsidRPr="00E326F5">
        <w:rPr>
          <w:rStyle w:val="default"/>
          <w:rFonts w:cs="FrankRuehl"/>
          <w:vanish/>
          <w:sz w:val="22"/>
          <w:szCs w:val="22"/>
          <w:shd w:val="clear" w:color="auto" w:fill="FFFF99"/>
          <w:rtl/>
        </w:rPr>
        <w:t>–</w:t>
      </w:r>
      <w:r w:rsidRPr="00E326F5">
        <w:rPr>
          <w:rStyle w:val="default"/>
          <w:rFonts w:cs="FrankRuehl" w:hint="cs"/>
          <w:vanish/>
          <w:sz w:val="22"/>
          <w:szCs w:val="22"/>
          <w:shd w:val="clear" w:color="auto" w:fill="FFFF99"/>
          <w:rtl/>
        </w:rPr>
        <w:t xml:space="preserve"> דוחות כספיים של קרן, הכוללים </w:t>
      </w:r>
      <w:r w:rsidRPr="00E326F5">
        <w:rPr>
          <w:rStyle w:val="default"/>
          <w:rFonts w:cs="FrankRuehl" w:hint="cs"/>
          <w:vanish/>
          <w:sz w:val="22"/>
          <w:szCs w:val="22"/>
          <w:u w:val="single"/>
          <w:shd w:val="clear" w:color="auto" w:fill="FFFF99"/>
          <w:rtl/>
        </w:rPr>
        <w:t>בין השאר</w:t>
      </w:r>
      <w:r w:rsidRPr="00E326F5">
        <w:rPr>
          <w:rStyle w:val="default"/>
          <w:rFonts w:cs="FrankRuehl" w:hint="cs"/>
          <w:vanish/>
          <w:sz w:val="22"/>
          <w:szCs w:val="22"/>
          <w:shd w:val="clear" w:color="auto" w:fill="FFFF99"/>
          <w:rtl/>
        </w:rPr>
        <w:t xml:space="preserve"> מאזן, דוח רווח והפסד ודוח על השינויים בערך היחידות של הקרן, לרבות הביאורים להם;</w:t>
      </w:r>
      <w:bookmarkEnd w:id="2"/>
    </w:p>
    <w:p w14:paraId="664F2952" w14:textId="77777777" w:rsidR="002719A9" w:rsidRDefault="002719A9" w:rsidP="002719A9">
      <w:pPr>
        <w:pStyle w:val="P00"/>
        <w:spacing w:before="72"/>
        <w:ind w:left="0" w:right="1134"/>
        <w:rPr>
          <w:rStyle w:val="default"/>
          <w:rFonts w:cs="FrankRuehl" w:hint="cs"/>
          <w:rtl/>
        </w:rPr>
      </w:pPr>
      <w:r>
        <w:rPr>
          <w:rFonts w:cs="FrankRuehl" w:hint="cs"/>
          <w:sz w:val="26"/>
          <w:rtl/>
          <w:lang w:eastAsia="en-US"/>
        </w:rPr>
        <w:pict w14:anchorId="3F71E1F6">
          <v:shape id="_x0000_s1253" type="#_x0000_t202" style="position:absolute;left:0;text-align:left;margin-left:470.35pt;margin-top:7.1pt;width:1in;height:9pt;z-index:251655168" filled="f" stroked="f">
            <v:textbox inset="1mm,0,1mm,0">
              <w:txbxContent>
                <w:p w14:paraId="6CE586ED" w14:textId="77777777" w:rsidR="002719A9" w:rsidRDefault="002719A9" w:rsidP="002719A9">
                  <w:pPr>
                    <w:spacing w:line="160" w:lineRule="exact"/>
                    <w:jc w:val="lef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t xml:space="preserve">"הפרשי עיתוי" </w:t>
      </w:r>
      <w:r>
        <w:rPr>
          <w:rStyle w:val="default"/>
          <w:rFonts w:cs="FrankRuehl"/>
          <w:rtl/>
        </w:rPr>
        <w:t>–</w:t>
      </w:r>
      <w:r>
        <w:rPr>
          <w:rStyle w:val="default"/>
          <w:rFonts w:cs="FrankRuehl" w:hint="cs"/>
          <w:rtl/>
        </w:rPr>
        <w:t xml:space="preserve"> הפרשים הנובעים מפער הזמנים בין תאריך הדוחות הכספיים לבין יום המסחר האחרון של הקרן בשנת הכספים; לעניין זה, "יום מסחר" </w:t>
      </w:r>
      <w:r>
        <w:rPr>
          <w:rStyle w:val="default"/>
          <w:rFonts w:cs="FrankRuehl"/>
          <w:rtl/>
        </w:rPr>
        <w:t>–</w:t>
      </w:r>
      <w:r>
        <w:rPr>
          <w:rStyle w:val="default"/>
          <w:rFonts w:cs="FrankRuehl" w:hint="cs"/>
          <w:rtl/>
        </w:rPr>
        <w:t xml:space="preserve"> כהגדרתו בתקנות השקעות משותפות בנאמנות (מחירי קנייה ומכירה של נכסי קרן ושווי נכסי קרן), התשנ"ה-1994;</w:t>
      </w:r>
    </w:p>
    <w:p w14:paraId="05F11332" w14:textId="77777777" w:rsidR="002719A9" w:rsidRPr="00E326F5" w:rsidRDefault="002719A9" w:rsidP="002719A9">
      <w:pPr>
        <w:pStyle w:val="P00"/>
        <w:spacing w:before="0"/>
        <w:ind w:left="0" w:right="1134"/>
        <w:rPr>
          <w:rStyle w:val="default"/>
          <w:rFonts w:cs="FrankRuehl" w:hint="cs"/>
          <w:vanish/>
          <w:color w:val="FF0000"/>
          <w:sz w:val="20"/>
          <w:szCs w:val="20"/>
          <w:shd w:val="clear" w:color="auto" w:fill="FFFF99"/>
          <w:rtl/>
        </w:rPr>
      </w:pPr>
      <w:bookmarkStart w:id="3" w:name="Rov9"/>
      <w:r w:rsidRPr="00E326F5">
        <w:rPr>
          <w:rStyle w:val="default"/>
          <w:rFonts w:cs="FrankRuehl" w:hint="cs"/>
          <w:vanish/>
          <w:color w:val="FF0000"/>
          <w:sz w:val="20"/>
          <w:szCs w:val="20"/>
          <w:shd w:val="clear" w:color="auto" w:fill="FFFF99"/>
          <w:rtl/>
        </w:rPr>
        <w:t>מיום 5.2.2012</w:t>
      </w:r>
    </w:p>
    <w:p w14:paraId="0C7A27EE" w14:textId="77777777" w:rsidR="002719A9" w:rsidRPr="00E326F5" w:rsidRDefault="002719A9" w:rsidP="002719A9">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תשע"ב-2012</w:t>
      </w:r>
    </w:p>
    <w:p w14:paraId="455A82DE" w14:textId="77777777" w:rsidR="002719A9" w:rsidRPr="00E326F5" w:rsidRDefault="002719A9" w:rsidP="002719A9">
      <w:pPr>
        <w:pStyle w:val="P00"/>
        <w:spacing w:before="0"/>
        <w:ind w:left="0" w:right="1134"/>
        <w:rPr>
          <w:rStyle w:val="default"/>
          <w:rFonts w:cs="FrankRuehl" w:hint="cs"/>
          <w:vanish/>
          <w:sz w:val="20"/>
          <w:szCs w:val="20"/>
          <w:shd w:val="clear" w:color="auto" w:fill="FFFF99"/>
          <w:rtl/>
        </w:rPr>
      </w:pPr>
      <w:hyperlink r:id="rId9" w:history="1">
        <w:r w:rsidRPr="00E326F5">
          <w:rPr>
            <w:rStyle w:val="Hyperlink"/>
            <w:rFonts w:cs="FrankRuehl" w:hint="cs"/>
            <w:vanish/>
            <w:szCs w:val="20"/>
            <w:shd w:val="clear" w:color="auto" w:fill="FFFF99"/>
            <w:rtl/>
          </w:rPr>
          <w:t>ק"ת תשע"ב מס' 7087</w:t>
        </w:r>
      </w:hyperlink>
      <w:r w:rsidRPr="00E326F5">
        <w:rPr>
          <w:rStyle w:val="default"/>
          <w:rFonts w:cs="FrankRuehl" w:hint="cs"/>
          <w:vanish/>
          <w:sz w:val="20"/>
          <w:szCs w:val="20"/>
          <w:shd w:val="clear" w:color="auto" w:fill="FFFF99"/>
          <w:rtl/>
        </w:rPr>
        <w:t xml:space="preserve"> מיום 5.2.2012 עמ' 738</w:t>
      </w:r>
    </w:p>
    <w:p w14:paraId="3C5B5B56" w14:textId="77777777" w:rsidR="002719A9" w:rsidRPr="002719A9" w:rsidRDefault="002719A9" w:rsidP="002719A9">
      <w:pPr>
        <w:pStyle w:val="P00"/>
        <w:spacing w:before="0"/>
        <w:ind w:left="0" w:right="1134"/>
        <w:rPr>
          <w:rStyle w:val="default"/>
          <w:rFonts w:cs="FrankRuehl" w:hint="cs"/>
          <w:sz w:val="2"/>
          <w:szCs w:val="2"/>
          <w:rtl/>
        </w:rPr>
      </w:pPr>
      <w:r w:rsidRPr="00E326F5">
        <w:rPr>
          <w:rStyle w:val="default"/>
          <w:rFonts w:cs="FrankRuehl" w:hint="cs"/>
          <w:b/>
          <w:bCs/>
          <w:vanish/>
          <w:sz w:val="20"/>
          <w:szCs w:val="20"/>
          <w:shd w:val="clear" w:color="auto" w:fill="FFFF99"/>
          <w:rtl/>
        </w:rPr>
        <w:t>הוספת הגדרת "הפרשי עיתוי"</w:t>
      </w:r>
      <w:bookmarkEnd w:id="3"/>
    </w:p>
    <w:p w14:paraId="17CBC02C" w14:textId="77777777" w:rsidR="00A71F31" w:rsidRDefault="00A71F31" w:rsidP="009F61AB">
      <w:pPr>
        <w:pStyle w:val="P00"/>
        <w:spacing w:before="72"/>
        <w:ind w:left="0" w:right="1134"/>
        <w:rPr>
          <w:rStyle w:val="default"/>
          <w:rFonts w:cs="FrankRuehl" w:hint="cs"/>
          <w:rtl/>
        </w:rPr>
      </w:pPr>
      <w:r>
        <w:rPr>
          <w:rStyle w:val="default"/>
          <w:rFonts w:cs="FrankRuehl" w:hint="cs"/>
          <w:rtl/>
        </w:rPr>
        <w:tab/>
        <w:t xml:space="preserve">"טופס דיווח" </w:t>
      </w:r>
      <w:r>
        <w:rPr>
          <w:rStyle w:val="default"/>
          <w:rFonts w:cs="FrankRuehl"/>
          <w:rtl/>
        </w:rPr>
        <w:t>–</w:t>
      </w:r>
      <w:r>
        <w:rPr>
          <w:rStyle w:val="default"/>
          <w:rFonts w:cs="FrankRuehl" w:hint="cs"/>
          <w:rtl/>
        </w:rPr>
        <w:t xml:space="preserve"> כהגדרתו בתקנות ניירות ערך (חתימה ודיווח אלקטרוני), התשס"ג-2003;</w:t>
      </w:r>
    </w:p>
    <w:p w14:paraId="7E9807DC" w14:textId="77777777" w:rsidR="00E326F5" w:rsidRPr="00E326F5" w:rsidRDefault="00E326F5" w:rsidP="00E326F5">
      <w:pPr>
        <w:pStyle w:val="P00"/>
        <w:spacing w:before="72"/>
        <w:ind w:left="0" w:right="1134"/>
        <w:rPr>
          <w:rStyle w:val="default"/>
          <w:rFonts w:cs="FrankRuehl" w:hint="cs"/>
          <w:sz w:val="20"/>
          <w:rtl/>
        </w:rPr>
      </w:pPr>
      <w:r w:rsidRPr="00E326F5">
        <w:rPr>
          <w:rFonts w:cs="FrankRuehl" w:hint="cs"/>
          <w:rtl/>
          <w:lang w:eastAsia="en-US"/>
        </w:rPr>
        <w:pict w14:anchorId="0EF65DF5">
          <v:shape id="_x0000_s1278" type="#_x0000_t202" style="position:absolute;left:0;text-align:left;margin-left:470.35pt;margin-top:7.1pt;width:1in;height:9pt;z-index:251664384" filled="f" stroked="f">
            <v:textbox inset="1mm,0,1mm,0">
              <w:txbxContent>
                <w:p w14:paraId="5C01CCE8" w14:textId="77777777" w:rsidR="00E326F5" w:rsidRDefault="00E326F5" w:rsidP="00E326F5">
                  <w:pPr>
                    <w:spacing w:line="160" w:lineRule="exact"/>
                    <w:jc w:val="left"/>
                    <w:rPr>
                      <w:rFonts w:cs="Miriam" w:hint="cs"/>
                      <w:noProof/>
                      <w:sz w:val="18"/>
                      <w:szCs w:val="18"/>
                      <w:rtl/>
                    </w:rPr>
                  </w:pPr>
                  <w:r>
                    <w:rPr>
                      <w:rFonts w:cs="Miriam" w:hint="cs"/>
                      <w:sz w:val="18"/>
                      <w:szCs w:val="18"/>
                      <w:rtl/>
                    </w:rPr>
                    <w:t>תק' תשע"ד-2014</w:t>
                  </w:r>
                </w:p>
              </w:txbxContent>
            </v:textbox>
          </v:shape>
        </w:pict>
      </w:r>
      <w:r w:rsidRPr="00E326F5">
        <w:rPr>
          <w:rStyle w:val="default"/>
          <w:rFonts w:cs="FrankRuehl" w:hint="cs"/>
          <w:sz w:val="20"/>
          <w:rtl/>
        </w:rPr>
        <w:tab/>
        <w:t>"</w:t>
      </w:r>
      <w:r>
        <w:rPr>
          <w:rStyle w:val="default"/>
          <w:rFonts w:cs="FrankRuehl" w:hint="cs"/>
          <w:sz w:val="20"/>
          <w:rtl/>
        </w:rPr>
        <w:t>כללי חשבונאות מקובלים</w:t>
      </w:r>
      <w:r w:rsidRPr="00E326F5">
        <w:rPr>
          <w:rStyle w:val="default"/>
          <w:rFonts w:cs="FrankRuehl" w:hint="cs"/>
          <w:sz w:val="20"/>
          <w:rtl/>
        </w:rPr>
        <w:t xml:space="preserve">" </w:t>
      </w:r>
      <w:r w:rsidRPr="00E326F5">
        <w:rPr>
          <w:rStyle w:val="default"/>
          <w:rFonts w:cs="FrankRuehl"/>
          <w:sz w:val="20"/>
          <w:rtl/>
        </w:rPr>
        <w:t>–</w:t>
      </w:r>
      <w:r>
        <w:rPr>
          <w:rStyle w:val="default"/>
          <w:rFonts w:cs="FrankRuehl" w:hint="cs"/>
          <w:sz w:val="20"/>
          <w:rtl/>
        </w:rPr>
        <w:t xml:space="preserve"> כללי חשבונאות מקובלים בישראל (</w:t>
      </w:r>
      <w:r>
        <w:rPr>
          <w:rStyle w:val="default"/>
          <w:rFonts w:cs="FrankRuehl"/>
          <w:sz w:val="20"/>
        </w:rPr>
        <w:t>Israeli GAAP</w:t>
      </w:r>
      <w:r>
        <w:rPr>
          <w:rStyle w:val="default"/>
          <w:rFonts w:cs="FrankRuehl" w:hint="cs"/>
          <w:sz w:val="20"/>
          <w:rtl/>
        </w:rPr>
        <w:t>);</w:t>
      </w:r>
    </w:p>
    <w:p w14:paraId="297285C0" w14:textId="77777777" w:rsidR="00E326F5" w:rsidRPr="00E326F5" w:rsidRDefault="00E326F5" w:rsidP="00E326F5">
      <w:pPr>
        <w:pStyle w:val="P00"/>
        <w:spacing w:before="0"/>
        <w:ind w:left="0" w:right="1134"/>
        <w:rPr>
          <w:rStyle w:val="default"/>
          <w:rFonts w:cs="FrankRuehl" w:hint="cs"/>
          <w:vanish/>
          <w:color w:val="FF0000"/>
          <w:sz w:val="20"/>
          <w:szCs w:val="20"/>
          <w:shd w:val="clear" w:color="auto" w:fill="FFFF99"/>
          <w:rtl/>
        </w:rPr>
      </w:pPr>
      <w:bookmarkStart w:id="4" w:name="Rov15"/>
      <w:r w:rsidRPr="00E326F5">
        <w:rPr>
          <w:rStyle w:val="default"/>
          <w:rFonts w:cs="FrankRuehl" w:hint="cs"/>
          <w:vanish/>
          <w:color w:val="FF0000"/>
          <w:sz w:val="20"/>
          <w:szCs w:val="20"/>
          <w:shd w:val="clear" w:color="auto" w:fill="FFFF99"/>
          <w:rtl/>
        </w:rPr>
        <w:t>מיום 29.7.2014</w:t>
      </w:r>
    </w:p>
    <w:p w14:paraId="2981CFEC"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תשע"ד-2014</w:t>
      </w:r>
    </w:p>
    <w:p w14:paraId="74125AE9"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hyperlink r:id="rId10" w:history="1">
        <w:r w:rsidRPr="00E326F5">
          <w:rPr>
            <w:rStyle w:val="Hyperlink"/>
            <w:rFonts w:cs="FrankRuehl" w:hint="cs"/>
            <w:vanish/>
            <w:szCs w:val="20"/>
            <w:shd w:val="clear" w:color="auto" w:fill="FFFF99"/>
            <w:rtl/>
          </w:rPr>
          <w:t>ק"ת תשע"ד מס' 7401</w:t>
        </w:r>
      </w:hyperlink>
      <w:r w:rsidRPr="00E326F5">
        <w:rPr>
          <w:rStyle w:val="default"/>
          <w:rFonts w:cs="FrankRuehl" w:hint="cs"/>
          <w:vanish/>
          <w:sz w:val="20"/>
          <w:szCs w:val="20"/>
          <w:shd w:val="clear" w:color="auto" w:fill="FFFF99"/>
          <w:rtl/>
        </w:rPr>
        <w:t xml:space="preserve"> מיום 29.7.2014 עמ' 1549</w:t>
      </w:r>
    </w:p>
    <w:p w14:paraId="7F36961A" w14:textId="77777777" w:rsidR="00E326F5" w:rsidRPr="00E326F5" w:rsidRDefault="00E326F5" w:rsidP="00E326F5">
      <w:pPr>
        <w:pStyle w:val="P00"/>
        <w:spacing w:before="0"/>
        <w:ind w:left="0" w:right="1134"/>
        <w:rPr>
          <w:rStyle w:val="default"/>
          <w:rFonts w:cs="FrankRuehl" w:hint="cs"/>
          <w:sz w:val="2"/>
          <w:szCs w:val="2"/>
          <w:shd w:val="clear" w:color="auto" w:fill="FFFF99"/>
          <w:rtl/>
        </w:rPr>
      </w:pPr>
      <w:r w:rsidRPr="00E326F5">
        <w:rPr>
          <w:rStyle w:val="default"/>
          <w:rFonts w:cs="FrankRuehl" w:hint="cs"/>
          <w:b/>
          <w:bCs/>
          <w:vanish/>
          <w:sz w:val="20"/>
          <w:szCs w:val="20"/>
          <w:shd w:val="clear" w:color="auto" w:fill="FFFF99"/>
          <w:rtl/>
        </w:rPr>
        <w:t>הוספת הגדרת "כללי חשבונאות מקובלים"</w:t>
      </w:r>
      <w:bookmarkEnd w:id="4"/>
    </w:p>
    <w:p w14:paraId="6C294E37" w14:textId="77777777" w:rsidR="00A71F31" w:rsidRDefault="002719A9" w:rsidP="00A71F31">
      <w:pPr>
        <w:pStyle w:val="P00"/>
        <w:spacing w:before="72"/>
        <w:ind w:left="0" w:right="1134"/>
        <w:rPr>
          <w:rStyle w:val="default"/>
          <w:rFonts w:cs="FrankRuehl" w:hint="cs"/>
          <w:rtl/>
        </w:rPr>
      </w:pPr>
      <w:r>
        <w:rPr>
          <w:rFonts w:cs="FrankRuehl" w:hint="cs"/>
          <w:sz w:val="26"/>
          <w:rtl/>
          <w:lang w:eastAsia="en-US"/>
        </w:rPr>
        <w:pict w14:anchorId="1C7F2D57">
          <v:shape id="_x0000_s1256" type="#_x0000_t202" style="position:absolute;left:0;text-align:left;margin-left:470.35pt;margin-top:7.1pt;width:1in;height:9pt;z-index:251656192" filled="f" stroked="f">
            <v:textbox inset="1mm,0,1mm,0">
              <w:txbxContent>
                <w:p w14:paraId="1992F49B" w14:textId="77777777" w:rsidR="002719A9" w:rsidRDefault="002719A9" w:rsidP="002719A9">
                  <w:pPr>
                    <w:spacing w:line="160" w:lineRule="exact"/>
                    <w:jc w:val="left"/>
                    <w:rPr>
                      <w:rFonts w:cs="Miriam" w:hint="cs"/>
                      <w:noProof/>
                      <w:sz w:val="18"/>
                      <w:szCs w:val="18"/>
                      <w:rtl/>
                    </w:rPr>
                  </w:pPr>
                  <w:r>
                    <w:rPr>
                      <w:rFonts w:cs="Miriam" w:hint="cs"/>
                      <w:sz w:val="18"/>
                      <w:szCs w:val="18"/>
                      <w:rtl/>
                    </w:rPr>
                    <w:t>תק' תשע"ב-2012</w:t>
                  </w:r>
                </w:p>
              </w:txbxContent>
            </v:textbox>
          </v:shape>
        </w:pict>
      </w:r>
      <w:r w:rsidR="008A28E9">
        <w:rPr>
          <w:rStyle w:val="default"/>
          <w:rFonts w:cs="FrankRuehl" w:hint="cs"/>
          <w:rtl/>
        </w:rPr>
        <w:tab/>
        <w:t>"</w:t>
      </w:r>
      <w:r w:rsidR="00A71F31">
        <w:rPr>
          <w:rStyle w:val="default"/>
          <w:rFonts w:cs="FrankRuehl" w:hint="cs"/>
          <w:rtl/>
        </w:rPr>
        <w:t>מידת</w:t>
      </w:r>
      <w:r w:rsidR="008A28E9">
        <w:rPr>
          <w:rStyle w:val="default"/>
          <w:rFonts w:cs="FrankRuehl" w:hint="cs"/>
          <w:rtl/>
        </w:rPr>
        <w:t xml:space="preserve"> חשיפה" </w:t>
      </w:r>
      <w:r w:rsidR="008A28E9">
        <w:rPr>
          <w:rStyle w:val="default"/>
          <w:rFonts w:cs="FrankRuehl"/>
          <w:rtl/>
        </w:rPr>
        <w:t>–</w:t>
      </w:r>
    </w:p>
    <w:p w14:paraId="07AA8E0B" w14:textId="77777777" w:rsidR="008A28E9" w:rsidRDefault="00A71F31" w:rsidP="002719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איגרות חוב ומטבע חוץ </w:t>
      </w:r>
      <w:r>
        <w:rPr>
          <w:rStyle w:val="default"/>
          <w:rFonts w:cs="FrankRuehl"/>
          <w:rtl/>
        </w:rPr>
        <w:t>–</w:t>
      </w:r>
      <w:r>
        <w:rPr>
          <w:rStyle w:val="default"/>
          <w:rFonts w:cs="FrankRuehl" w:hint="cs"/>
          <w:rtl/>
        </w:rPr>
        <w:t xml:space="preserve"> כהגדרתה בתקנות השקעות משותפות בנאמנות (אופציות, חוזים עתידיים ומכירות בחסר), </w:t>
      </w:r>
      <w:r w:rsidR="002719A9">
        <w:rPr>
          <w:rStyle w:val="default"/>
          <w:rFonts w:cs="FrankRuehl" w:hint="cs"/>
          <w:rtl/>
        </w:rPr>
        <w:t>התשס"א-2001</w:t>
      </w:r>
      <w:r w:rsidR="008A28E9">
        <w:rPr>
          <w:rStyle w:val="default"/>
          <w:rFonts w:cs="FrankRuehl" w:hint="cs"/>
          <w:rtl/>
        </w:rPr>
        <w:t>;</w:t>
      </w:r>
    </w:p>
    <w:p w14:paraId="3517EB6D" w14:textId="77777777" w:rsidR="00A71F31" w:rsidRDefault="00A71F31" w:rsidP="002A38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מניות </w:t>
      </w:r>
      <w:r>
        <w:rPr>
          <w:rStyle w:val="default"/>
          <w:rFonts w:cs="FrankRuehl"/>
          <w:rtl/>
        </w:rPr>
        <w:t>–</w:t>
      </w:r>
      <w:r>
        <w:rPr>
          <w:rStyle w:val="default"/>
          <w:rFonts w:cs="FrankRuehl" w:hint="cs"/>
          <w:rtl/>
        </w:rPr>
        <w:t xml:space="preserve"> כהגדרתה בתקנות השקעות משותפות בנאמנות (סיווג קרנות לצורך פרסום), התשס"ח-2007;</w:t>
      </w:r>
    </w:p>
    <w:p w14:paraId="71AF8D9C" w14:textId="77777777" w:rsidR="002719A9" w:rsidRPr="00E326F5" w:rsidRDefault="002719A9" w:rsidP="002719A9">
      <w:pPr>
        <w:pStyle w:val="P00"/>
        <w:spacing w:before="0"/>
        <w:ind w:left="1021" w:right="1134"/>
        <w:rPr>
          <w:rStyle w:val="default"/>
          <w:rFonts w:cs="FrankRuehl" w:hint="cs"/>
          <w:vanish/>
          <w:color w:val="FF0000"/>
          <w:sz w:val="20"/>
          <w:szCs w:val="20"/>
          <w:shd w:val="clear" w:color="auto" w:fill="FFFF99"/>
          <w:rtl/>
        </w:rPr>
      </w:pPr>
      <w:bookmarkStart w:id="5" w:name="Rov10"/>
      <w:r w:rsidRPr="00E326F5">
        <w:rPr>
          <w:rStyle w:val="default"/>
          <w:rFonts w:cs="FrankRuehl" w:hint="cs"/>
          <w:vanish/>
          <w:color w:val="FF0000"/>
          <w:sz w:val="20"/>
          <w:szCs w:val="20"/>
          <w:shd w:val="clear" w:color="auto" w:fill="FFFF99"/>
          <w:rtl/>
        </w:rPr>
        <w:t>מיום 5.2.2012</w:t>
      </w:r>
    </w:p>
    <w:p w14:paraId="76D891C7" w14:textId="77777777" w:rsidR="002719A9" w:rsidRPr="00E326F5" w:rsidRDefault="002719A9" w:rsidP="002719A9">
      <w:pPr>
        <w:pStyle w:val="P00"/>
        <w:spacing w:before="0"/>
        <w:ind w:left="1021"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תשע"ב-2012</w:t>
      </w:r>
    </w:p>
    <w:p w14:paraId="6D5D8616" w14:textId="77777777" w:rsidR="002719A9" w:rsidRPr="00E326F5" w:rsidRDefault="002719A9" w:rsidP="002719A9">
      <w:pPr>
        <w:pStyle w:val="P00"/>
        <w:spacing w:before="0"/>
        <w:ind w:left="1021" w:right="1134"/>
        <w:rPr>
          <w:rStyle w:val="default"/>
          <w:rFonts w:cs="FrankRuehl" w:hint="cs"/>
          <w:vanish/>
          <w:sz w:val="20"/>
          <w:szCs w:val="20"/>
          <w:shd w:val="clear" w:color="auto" w:fill="FFFF99"/>
          <w:rtl/>
        </w:rPr>
      </w:pPr>
      <w:hyperlink r:id="rId11" w:history="1">
        <w:r w:rsidRPr="00E326F5">
          <w:rPr>
            <w:rStyle w:val="Hyperlink"/>
            <w:rFonts w:cs="FrankRuehl" w:hint="cs"/>
            <w:vanish/>
            <w:szCs w:val="20"/>
            <w:shd w:val="clear" w:color="auto" w:fill="FFFF99"/>
            <w:rtl/>
          </w:rPr>
          <w:t>ק"ת תשע"ב מס' 7087</w:t>
        </w:r>
      </w:hyperlink>
      <w:r w:rsidRPr="00E326F5">
        <w:rPr>
          <w:rStyle w:val="default"/>
          <w:rFonts w:cs="FrankRuehl" w:hint="cs"/>
          <w:vanish/>
          <w:sz w:val="20"/>
          <w:szCs w:val="20"/>
          <w:shd w:val="clear" w:color="auto" w:fill="FFFF99"/>
          <w:rtl/>
        </w:rPr>
        <w:t xml:space="preserve"> מיום 5.2.2012 עמ' 738</w:t>
      </w:r>
    </w:p>
    <w:p w14:paraId="37EDF181" w14:textId="77777777" w:rsidR="002719A9" w:rsidRPr="002719A9" w:rsidRDefault="002719A9" w:rsidP="002719A9">
      <w:pPr>
        <w:pStyle w:val="P00"/>
        <w:ind w:left="1021" w:right="1134"/>
        <w:rPr>
          <w:rStyle w:val="default"/>
          <w:rFonts w:cs="FrankRuehl" w:hint="cs"/>
          <w:sz w:val="2"/>
          <w:szCs w:val="2"/>
          <w:rtl/>
        </w:rPr>
      </w:pPr>
      <w:r w:rsidRPr="00E326F5">
        <w:rPr>
          <w:rStyle w:val="default"/>
          <w:rFonts w:cs="FrankRuehl" w:hint="cs"/>
          <w:vanish/>
          <w:sz w:val="22"/>
          <w:szCs w:val="22"/>
          <w:shd w:val="clear" w:color="auto" w:fill="FFFF99"/>
          <w:rtl/>
        </w:rPr>
        <w:t>(1)</w:t>
      </w:r>
      <w:r w:rsidRPr="00E326F5">
        <w:rPr>
          <w:rStyle w:val="default"/>
          <w:rFonts w:cs="FrankRuehl" w:hint="cs"/>
          <w:vanish/>
          <w:sz w:val="22"/>
          <w:szCs w:val="22"/>
          <w:shd w:val="clear" w:color="auto" w:fill="FFFF99"/>
          <w:rtl/>
        </w:rPr>
        <w:tab/>
        <w:t xml:space="preserve">לעניין איגרות חוב ומטבע חוץ </w:t>
      </w:r>
      <w:r w:rsidRPr="00E326F5">
        <w:rPr>
          <w:rStyle w:val="default"/>
          <w:rFonts w:cs="FrankRuehl"/>
          <w:vanish/>
          <w:sz w:val="22"/>
          <w:szCs w:val="22"/>
          <w:shd w:val="clear" w:color="auto" w:fill="FFFF99"/>
          <w:rtl/>
        </w:rPr>
        <w:t>–</w:t>
      </w:r>
      <w:r w:rsidRPr="00E326F5">
        <w:rPr>
          <w:rStyle w:val="default"/>
          <w:rFonts w:cs="FrankRuehl" w:hint="cs"/>
          <w:vanish/>
          <w:sz w:val="22"/>
          <w:szCs w:val="22"/>
          <w:shd w:val="clear" w:color="auto" w:fill="FFFF99"/>
          <w:rtl/>
        </w:rPr>
        <w:t xml:space="preserve"> כהגדרתה בתקנות השקעות משותפות בנאמנות (אופציות, חוזים עתידיים ומכירות בחסר), </w:t>
      </w:r>
      <w:r w:rsidRPr="00E326F5">
        <w:rPr>
          <w:rStyle w:val="default"/>
          <w:rFonts w:cs="FrankRuehl" w:hint="cs"/>
          <w:strike/>
          <w:vanish/>
          <w:sz w:val="22"/>
          <w:szCs w:val="22"/>
          <w:shd w:val="clear" w:color="auto" w:fill="FFFF99"/>
          <w:rtl/>
        </w:rPr>
        <w:t>התשס"ח-2007</w:t>
      </w:r>
      <w:r w:rsidRPr="00E326F5">
        <w:rPr>
          <w:rStyle w:val="default"/>
          <w:rFonts w:cs="FrankRuehl" w:hint="cs"/>
          <w:vanish/>
          <w:sz w:val="22"/>
          <w:szCs w:val="22"/>
          <w:shd w:val="clear" w:color="auto" w:fill="FFFF99"/>
          <w:rtl/>
        </w:rPr>
        <w:t xml:space="preserve"> </w:t>
      </w:r>
      <w:r w:rsidRPr="00E326F5">
        <w:rPr>
          <w:rStyle w:val="default"/>
          <w:rFonts w:cs="FrankRuehl" w:hint="cs"/>
          <w:vanish/>
          <w:sz w:val="22"/>
          <w:szCs w:val="22"/>
          <w:u w:val="single"/>
          <w:shd w:val="clear" w:color="auto" w:fill="FFFF99"/>
          <w:rtl/>
        </w:rPr>
        <w:t>התשס"א-2001</w:t>
      </w:r>
      <w:r w:rsidRPr="00E326F5">
        <w:rPr>
          <w:rStyle w:val="default"/>
          <w:rFonts w:cs="FrankRuehl" w:hint="cs"/>
          <w:vanish/>
          <w:sz w:val="22"/>
          <w:szCs w:val="22"/>
          <w:shd w:val="clear" w:color="auto" w:fill="FFFF99"/>
          <w:rtl/>
        </w:rPr>
        <w:t>;</w:t>
      </w:r>
      <w:bookmarkEnd w:id="5"/>
    </w:p>
    <w:p w14:paraId="3E56B0EA" w14:textId="77777777" w:rsidR="00A71F31" w:rsidRDefault="00A71F31" w:rsidP="00A71F31">
      <w:pPr>
        <w:pStyle w:val="P00"/>
        <w:spacing w:before="72"/>
        <w:ind w:left="0" w:right="1134"/>
        <w:rPr>
          <w:rStyle w:val="default"/>
          <w:rFonts w:cs="FrankRuehl" w:hint="cs"/>
          <w:rtl/>
        </w:rPr>
      </w:pPr>
      <w:r>
        <w:rPr>
          <w:rStyle w:val="default"/>
          <w:rFonts w:cs="FrankRuehl" w:hint="cs"/>
          <w:rtl/>
        </w:rPr>
        <w:tab/>
        <w:t xml:space="preserve">"רואה חשבון מבקר" </w:t>
      </w:r>
      <w:r>
        <w:rPr>
          <w:rStyle w:val="default"/>
          <w:rFonts w:cs="FrankRuehl"/>
          <w:rtl/>
        </w:rPr>
        <w:t>–</w:t>
      </w:r>
      <w:r>
        <w:rPr>
          <w:rStyle w:val="default"/>
          <w:rFonts w:cs="FrankRuehl" w:hint="cs"/>
          <w:rtl/>
        </w:rPr>
        <w:t xml:space="preserve"> רואה חשבון כמשמעותו בסעיף 99(א) לחוק;</w:t>
      </w:r>
    </w:p>
    <w:p w14:paraId="1ECDCCB0" w14:textId="77777777" w:rsidR="00A71F31" w:rsidRDefault="002719A9" w:rsidP="00A71F31">
      <w:pPr>
        <w:pStyle w:val="P00"/>
        <w:spacing w:before="72"/>
        <w:ind w:left="0" w:right="1134"/>
        <w:rPr>
          <w:rStyle w:val="default"/>
          <w:rFonts w:cs="FrankRuehl" w:hint="cs"/>
          <w:rtl/>
        </w:rPr>
      </w:pPr>
      <w:r>
        <w:rPr>
          <w:rFonts w:cs="FrankRuehl" w:hint="cs"/>
          <w:sz w:val="26"/>
          <w:rtl/>
          <w:lang w:eastAsia="en-US"/>
        </w:rPr>
        <w:pict w14:anchorId="55FB11F6">
          <v:shape id="_x0000_s1259" type="#_x0000_t202" style="position:absolute;left:0;text-align:left;margin-left:470.35pt;margin-top:7.1pt;width:1in;height:9pt;z-index:251657216" filled="f" stroked="f">
            <v:textbox inset="1mm,0,1mm,0">
              <w:txbxContent>
                <w:p w14:paraId="343A66CA" w14:textId="77777777" w:rsidR="002719A9" w:rsidRDefault="002719A9" w:rsidP="002719A9">
                  <w:pPr>
                    <w:spacing w:line="160" w:lineRule="exact"/>
                    <w:jc w:val="left"/>
                    <w:rPr>
                      <w:rFonts w:cs="Miriam" w:hint="cs"/>
                      <w:noProof/>
                      <w:sz w:val="18"/>
                      <w:szCs w:val="18"/>
                      <w:rtl/>
                    </w:rPr>
                  </w:pPr>
                  <w:r>
                    <w:rPr>
                      <w:rFonts w:cs="Miriam" w:hint="cs"/>
                      <w:sz w:val="18"/>
                      <w:szCs w:val="18"/>
                      <w:rtl/>
                    </w:rPr>
                    <w:t>תק' תשע"ב-2012</w:t>
                  </w:r>
                </w:p>
              </w:txbxContent>
            </v:textbox>
          </v:shape>
        </w:pict>
      </w:r>
      <w:r w:rsidR="00A71F31">
        <w:rPr>
          <w:rStyle w:val="default"/>
          <w:rFonts w:cs="FrankRuehl" w:hint="cs"/>
          <w:rtl/>
        </w:rPr>
        <w:tab/>
        <w:t xml:space="preserve">"שיעור חשיפה" </w:t>
      </w:r>
      <w:r w:rsidR="00A71F31">
        <w:rPr>
          <w:rStyle w:val="default"/>
          <w:rFonts w:cs="FrankRuehl"/>
          <w:rtl/>
        </w:rPr>
        <w:t>–</w:t>
      </w:r>
    </w:p>
    <w:p w14:paraId="583240F2" w14:textId="77777777" w:rsidR="00A71F31" w:rsidRDefault="00A71F31" w:rsidP="002719A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B116A">
        <w:rPr>
          <w:rStyle w:val="default"/>
          <w:rFonts w:cs="FrankRuehl" w:hint="cs"/>
          <w:rtl/>
        </w:rPr>
        <w:t xml:space="preserve">לעניין איגרות חוב ומטבע חוץ </w:t>
      </w:r>
      <w:r w:rsidR="00AB116A">
        <w:rPr>
          <w:rStyle w:val="default"/>
          <w:rFonts w:cs="FrankRuehl"/>
          <w:rtl/>
        </w:rPr>
        <w:t>–</w:t>
      </w:r>
      <w:r w:rsidR="00AB116A">
        <w:rPr>
          <w:rStyle w:val="default"/>
          <w:rFonts w:cs="FrankRuehl" w:hint="cs"/>
          <w:rtl/>
        </w:rPr>
        <w:t xml:space="preserve"> כהגדרתו בתקנות השקעות משותפות בנאמנות (אופציות, חוזים עתידיים ומכירות בחסר), </w:t>
      </w:r>
      <w:r w:rsidR="002719A9">
        <w:rPr>
          <w:rStyle w:val="default"/>
          <w:rFonts w:cs="FrankRuehl" w:hint="cs"/>
          <w:rtl/>
        </w:rPr>
        <w:t>התשס"א-2001</w:t>
      </w:r>
      <w:r w:rsidR="00AB116A">
        <w:rPr>
          <w:rStyle w:val="default"/>
          <w:rFonts w:cs="FrankRuehl" w:hint="cs"/>
          <w:rtl/>
        </w:rPr>
        <w:t>;</w:t>
      </w:r>
    </w:p>
    <w:p w14:paraId="1AF268EC" w14:textId="77777777" w:rsidR="00AB116A" w:rsidRDefault="00AB116A" w:rsidP="0061725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617252">
        <w:rPr>
          <w:rStyle w:val="default"/>
          <w:rFonts w:cs="FrankRuehl" w:hint="cs"/>
          <w:rtl/>
        </w:rPr>
        <w:t xml:space="preserve">לעניין מניות </w:t>
      </w:r>
      <w:r w:rsidR="00617252">
        <w:rPr>
          <w:rStyle w:val="default"/>
          <w:rFonts w:cs="FrankRuehl"/>
          <w:rtl/>
        </w:rPr>
        <w:t>–</w:t>
      </w:r>
      <w:r w:rsidR="00617252">
        <w:rPr>
          <w:rStyle w:val="default"/>
          <w:rFonts w:cs="FrankRuehl" w:hint="cs"/>
          <w:rtl/>
        </w:rPr>
        <w:t xml:space="preserve"> כהגדרתו בתקנות השקעות משותפות בנאמנות (סיווג קרנות לצורך פרסום), התשס"ח-2007;</w:t>
      </w:r>
    </w:p>
    <w:p w14:paraId="60AFD384" w14:textId="77777777" w:rsidR="002719A9" w:rsidRPr="00E326F5" w:rsidRDefault="002719A9" w:rsidP="002719A9">
      <w:pPr>
        <w:pStyle w:val="P00"/>
        <w:spacing w:before="0"/>
        <w:ind w:left="1021" w:right="1134"/>
        <w:rPr>
          <w:rStyle w:val="default"/>
          <w:rFonts w:cs="FrankRuehl" w:hint="cs"/>
          <w:vanish/>
          <w:color w:val="FF0000"/>
          <w:sz w:val="20"/>
          <w:szCs w:val="20"/>
          <w:shd w:val="clear" w:color="auto" w:fill="FFFF99"/>
          <w:rtl/>
        </w:rPr>
      </w:pPr>
      <w:bookmarkStart w:id="6" w:name="Rov11"/>
      <w:r w:rsidRPr="00E326F5">
        <w:rPr>
          <w:rStyle w:val="default"/>
          <w:rFonts w:cs="FrankRuehl" w:hint="cs"/>
          <w:vanish/>
          <w:color w:val="FF0000"/>
          <w:sz w:val="20"/>
          <w:szCs w:val="20"/>
          <w:shd w:val="clear" w:color="auto" w:fill="FFFF99"/>
          <w:rtl/>
        </w:rPr>
        <w:t>מיום 5.2.2012</w:t>
      </w:r>
    </w:p>
    <w:p w14:paraId="5452481E" w14:textId="77777777" w:rsidR="002719A9" w:rsidRPr="00E326F5" w:rsidRDefault="002719A9" w:rsidP="002719A9">
      <w:pPr>
        <w:pStyle w:val="P00"/>
        <w:spacing w:before="0"/>
        <w:ind w:left="1021"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תשע"ב-2012</w:t>
      </w:r>
    </w:p>
    <w:p w14:paraId="73A58694" w14:textId="77777777" w:rsidR="002719A9" w:rsidRPr="00E326F5" w:rsidRDefault="002719A9" w:rsidP="002719A9">
      <w:pPr>
        <w:pStyle w:val="P00"/>
        <w:spacing w:before="0"/>
        <w:ind w:left="1021" w:right="1134"/>
        <w:rPr>
          <w:rStyle w:val="default"/>
          <w:rFonts w:cs="FrankRuehl" w:hint="cs"/>
          <w:vanish/>
          <w:sz w:val="20"/>
          <w:szCs w:val="20"/>
          <w:shd w:val="clear" w:color="auto" w:fill="FFFF99"/>
          <w:rtl/>
        </w:rPr>
      </w:pPr>
      <w:hyperlink r:id="rId12" w:history="1">
        <w:r w:rsidRPr="00E326F5">
          <w:rPr>
            <w:rStyle w:val="Hyperlink"/>
            <w:rFonts w:cs="FrankRuehl" w:hint="cs"/>
            <w:vanish/>
            <w:szCs w:val="20"/>
            <w:shd w:val="clear" w:color="auto" w:fill="FFFF99"/>
            <w:rtl/>
          </w:rPr>
          <w:t>ק"ת תשע"ב מס' 7087</w:t>
        </w:r>
      </w:hyperlink>
      <w:r w:rsidRPr="00E326F5">
        <w:rPr>
          <w:rStyle w:val="default"/>
          <w:rFonts w:cs="FrankRuehl" w:hint="cs"/>
          <w:vanish/>
          <w:sz w:val="20"/>
          <w:szCs w:val="20"/>
          <w:shd w:val="clear" w:color="auto" w:fill="FFFF99"/>
          <w:rtl/>
        </w:rPr>
        <w:t xml:space="preserve"> מיום 5.2.2012 עמ' 738</w:t>
      </w:r>
    </w:p>
    <w:p w14:paraId="3028DA3F" w14:textId="77777777" w:rsidR="002719A9" w:rsidRPr="002719A9" w:rsidRDefault="002719A9" w:rsidP="002719A9">
      <w:pPr>
        <w:pStyle w:val="P00"/>
        <w:ind w:left="1021" w:right="1134"/>
        <w:rPr>
          <w:rStyle w:val="default"/>
          <w:rFonts w:cs="FrankRuehl" w:hint="cs"/>
          <w:sz w:val="2"/>
          <w:szCs w:val="2"/>
          <w:rtl/>
        </w:rPr>
      </w:pPr>
      <w:r w:rsidRPr="00E326F5">
        <w:rPr>
          <w:rStyle w:val="default"/>
          <w:rFonts w:cs="FrankRuehl" w:hint="cs"/>
          <w:vanish/>
          <w:sz w:val="22"/>
          <w:szCs w:val="22"/>
          <w:shd w:val="clear" w:color="auto" w:fill="FFFF99"/>
          <w:rtl/>
        </w:rPr>
        <w:t>(1)</w:t>
      </w:r>
      <w:r w:rsidRPr="00E326F5">
        <w:rPr>
          <w:rStyle w:val="default"/>
          <w:rFonts w:cs="FrankRuehl" w:hint="cs"/>
          <w:vanish/>
          <w:sz w:val="22"/>
          <w:szCs w:val="22"/>
          <w:shd w:val="clear" w:color="auto" w:fill="FFFF99"/>
          <w:rtl/>
        </w:rPr>
        <w:tab/>
        <w:t xml:space="preserve">לעניין איגרות חוב ומטבע חוץ </w:t>
      </w:r>
      <w:r w:rsidRPr="00E326F5">
        <w:rPr>
          <w:rStyle w:val="default"/>
          <w:rFonts w:cs="FrankRuehl"/>
          <w:vanish/>
          <w:sz w:val="22"/>
          <w:szCs w:val="22"/>
          <w:shd w:val="clear" w:color="auto" w:fill="FFFF99"/>
          <w:rtl/>
        </w:rPr>
        <w:t>–</w:t>
      </w:r>
      <w:r w:rsidRPr="00E326F5">
        <w:rPr>
          <w:rStyle w:val="default"/>
          <w:rFonts w:cs="FrankRuehl" w:hint="cs"/>
          <w:vanish/>
          <w:sz w:val="22"/>
          <w:szCs w:val="22"/>
          <w:shd w:val="clear" w:color="auto" w:fill="FFFF99"/>
          <w:rtl/>
        </w:rPr>
        <w:t xml:space="preserve"> כהגדרתו בתקנות השקעות משותפות בנאמנות (אופציות, חוזים עתידיים ומכירות בחסר), </w:t>
      </w:r>
      <w:r w:rsidRPr="00E326F5">
        <w:rPr>
          <w:rStyle w:val="default"/>
          <w:rFonts w:cs="FrankRuehl" w:hint="cs"/>
          <w:strike/>
          <w:vanish/>
          <w:sz w:val="22"/>
          <w:szCs w:val="22"/>
          <w:shd w:val="clear" w:color="auto" w:fill="FFFF99"/>
          <w:rtl/>
        </w:rPr>
        <w:t>התשס"ח-2007</w:t>
      </w:r>
      <w:r w:rsidRPr="00E326F5">
        <w:rPr>
          <w:rStyle w:val="default"/>
          <w:rFonts w:cs="FrankRuehl" w:hint="cs"/>
          <w:vanish/>
          <w:sz w:val="22"/>
          <w:szCs w:val="22"/>
          <w:shd w:val="clear" w:color="auto" w:fill="FFFF99"/>
          <w:rtl/>
        </w:rPr>
        <w:t xml:space="preserve"> </w:t>
      </w:r>
      <w:r w:rsidRPr="00E326F5">
        <w:rPr>
          <w:rStyle w:val="default"/>
          <w:rFonts w:cs="FrankRuehl" w:hint="cs"/>
          <w:vanish/>
          <w:sz w:val="22"/>
          <w:szCs w:val="22"/>
          <w:u w:val="single"/>
          <w:shd w:val="clear" w:color="auto" w:fill="FFFF99"/>
          <w:rtl/>
        </w:rPr>
        <w:t>התשס"א-2001</w:t>
      </w:r>
      <w:r w:rsidRPr="00E326F5">
        <w:rPr>
          <w:rStyle w:val="default"/>
          <w:rFonts w:cs="FrankRuehl" w:hint="cs"/>
          <w:vanish/>
          <w:sz w:val="22"/>
          <w:szCs w:val="22"/>
          <w:shd w:val="clear" w:color="auto" w:fill="FFFF99"/>
          <w:rtl/>
        </w:rPr>
        <w:t>;</w:t>
      </w:r>
      <w:bookmarkEnd w:id="6"/>
    </w:p>
    <w:p w14:paraId="2A496DBE" w14:textId="77777777" w:rsidR="00617252" w:rsidRDefault="00617252" w:rsidP="00A71F31">
      <w:pPr>
        <w:pStyle w:val="P00"/>
        <w:spacing w:before="72"/>
        <w:ind w:left="0" w:right="1134"/>
        <w:rPr>
          <w:rStyle w:val="default"/>
          <w:rFonts w:cs="FrankRuehl" w:hint="cs"/>
          <w:rtl/>
        </w:rPr>
      </w:pPr>
      <w:r>
        <w:rPr>
          <w:rStyle w:val="default"/>
          <w:rFonts w:cs="FrankRuehl" w:hint="cs"/>
          <w:rtl/>
        </w:rPr>
        <w:tab/>
        <w:t xml:space="preserve">"שנת כספים" </w:t>
      </w:r>
      <w:r>
        <w:rPr>
          <w:rStyle w:val="default"/>
          <w:rFonts w:cs="FrankRuehl"/>
          <w:rtl/>
        </w:rPr>
        <w:t>–</w:t>
      </w:r>
      <w:r>
        <w:rPr>
          <w:rStyle w:val="default"/>
          <w:rFonts w:cs="FrankRuehl" w:hint="cs"/>
          <w:rtl/>
        </w:rPr>
        <w:t xml:space="preserve"> תקופה של שנים עשר חודשים שקבע מנהל הקרן בתשקיף או בדוח כשנת כספים של הקרן, או תקופה קצרה יותר, אם היא שנת הכספים הראשונה של קרן חדשה או שנת כספים ראשונה לאחר שמנהל הקרן שינה את שנת הכספים של הקרן;</w:t>
      </w:r>
    </w:p>
    <w:p w14:paraId="5E03D71B" w14:textId="77777777" w:rsidR="00F6069E" w:rsidRDefault="00E326F5" w:rsidP="00E326F5">
      <w:pPr>
        <w:pStyle w:val="P00"/>
        <w:spacing w:before="72"/>
        <w:ind w:left="0" w:right="1134"/>
        <w:rPr>
          <w:rStyle w:val="default"/>
          <w:rFonts w:cs="FrankRuehl" w:hint="cs"/>
          <w:rtl/>
        </w:rPr>
      </w:pPr>
      <w:r>
        <w:rPr>
          <w:rFonts w:cs="FrankRuehl" w:hint="cs"/>
          <w:sz w:val="26"/>
          <w:rtl/>
          <w:lang w:eastAsia="en-US"/>
        </w:rPr>
        <w:pict w14:anchorId="1BECDC6B">
          <v:shape id="_x0000_s1281" type="#_x0000_t202" style="position:absolute;left:0;text-align:left;margin-left:470.35pt;margin-top:7.1pt;width:1in;height:9pt;z-index:251665408" filled="f" stroked="f">
            <v:textbox inset="1mm,0,1mm,0">
              <w:txbxContent>
                <w:p w14:paraId="3EFED47A" w14:textId="77777777" w:rsidR="00E326F5" w:rsidRDefault="00E326F5" w:rsidP="00E326F5">
                  <w:pPr>
                    <w:spacing w:line="160" w:lineRule="exact"/>
                    <w:jc w:val="left"/>
                    <w:rPr>
                      <w:rFonts w:cs="Miriam" w:hint="cs"/>
                      <w:noProof/>
                      <w:sz w:val="18"/>
                      <w:szCs w:val="18"/>
                      <w:rtl/>
                    </w:rPr>
                  </w:pPr>
                  <w:r>
                    <w:rPr>
                      <w:rFonts w:cs="Miriam" w:hint="cs"/>
                      <w:sz w:val="18"/>
                      <w:szCs w:val="18"/>
                      <w:rtl/>
                    </w:rPr>
                    <w:t>תק' תשע"ד-2014</w:t>
                  </w:r>
                </w:p>
              </w:txbxContent>
            </v:textbox>
          </v:shape>
        </w:pict>
      </w:r>
      <w:r w:rsidR="00F6069E">
        <w:rPr>
          <w:rStyle w:val="default"/>
          <w:rFonts w:cs="FrankRuehl" w:hint="cs"/>
          <w:rtl/>
        </w:rPr>
        <w:tab/>
        <w:t>"</w:t>
      </w:r>
      <w:r w:rsidR="00617252">
        <w:rPr>
          <w:rStyle w:val="default"/>
          <w:rFonts w:cs="FrankRuehl" w:hint="cs"/>
          <w:rtl/>
        </w:rPr>
        <w:t xml:space="preserve">תקני דיווח כספי בין-לאומיים" </w:t>
      </w:r>
      <w:r w:rsidR="00617252">
        <w:rPr>
          <w:rStyle w:val="default"/>
          <w:rFonts w:cs="FrankRuehl"/>
          <w:rtl/>
        </w:rPr>
        <w:t>–</w:t>
      </w:r>
      <w:r w:rsidR="00617252">
        <w:rPr>
          <w:rStyle w:val="default"/>
          <w:rFonts w:cs="FrankRuehl" w:hint="cs"/>
          <w:rtl/>
        </w:rPr>
        <w:t xml:space="preserve"> </w:t>
      </w:r>
      <w:r>
        <w:rPr>
          <w:rStyle w:val="default"/>
          <w:rFonts w:cs="FrankRuehl" w:hint="cs"/>
          <w:rtl/>
        </w:rPr>
        <w:t>(נמחקה)</w:t>
      </w:r>
      <w:r w:rsidR="00617252">
        <w:rPr>
          <w:rStyle w:val="default"/>
          <w:rFonts w:cs="FrankRuehl" w:hint="cs"/>
          <w:rtl/>
        </w:rPr>
        <w:t>.</w:t>
      </w:r>
    </w:p>
    <w:p w14:paraId="546012C8" w14:textId="77777777" w:rsidR="00E326F5" w:rsidRPr="00E326F5" w:rsidRDefault="00E326F5" w:rsidP="00E326F5">
      <w:pPr>
        <w:pStyle w:val="P00"/>
        <w:spacing w:before="0"/>
        <w:ind w:left="0" w:right="1134"/>
        <w:rPr>
          <w:rStyle w:val="default"/>
          <w:rFonts w:cs="FrankRuehl" w:hint="cs"/>
          <w:vanish/>
          <w:color w:val="FF0000"/>
          <w:sz w:val="20"/>
          <w:szCs w:val="20"/>
          <w:shd w:val="clear" w:color="auto" w:fill="FFFF99"/>
          <w:rtl/>
        </w:rPr>
      </w:pPr>
      <w:bookmarkStart w:id="7" w:name="Rov16"/>
      <w:r w:rsidRPr="00E326F5">
        <w:rPr>
          <w:rStyle w:val="default"/>
          <w:rFonts w:cs="FrankRuehl" w:hint="cs"/>
          <w:vanish/>
          <w:color w:val="FF0000"/>
          <w:sz w:val="20"/>
          <w:szCs w:val="20"/>
          <w:shd w:val="clear" w:color="auto" w:fill="FFFF99"/>
          <w:rtl/>
        </w:rPr>
        <w:t>מיום 29.7.2014</w:t>
      </w:r>
    </w:p>
    <w:p w14:paraId="04BD52AF"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תשע"ד-2014</w:t>
      </w:r>
    </w:p>
    <w:p w14:paraId="6E19B6BF"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hyperlink r:id="rId13" w:history="1">
        <w:r w:rsidRPr="00E326F5">
          <w:rPr>
            <w:rStyle w:val="Hyperlink"/>
            <w:rFonts w:cs="FrankRuehl" w:hint="cs"/>
            <w:vanish/>
            <w:szCs w:val="20"/>
            <w:shd w:val="clear" w:color="auto" w:fill="FFFF99"/>
            <w:rtl/>
          </w:rPr>
          <w:t>ק"ת תשע"ד מס' 7401</w:t>
        </w:r>
      </w:hyperlink>
      <w:r w:rsidRPr="00E326F5">
        <w:rPr>
          <w:rStyle w:val="default"/>
          <w:rFonts w:cs="FrankRuehl" w:hint="cs"/>
          <w:vanish/>
          <w:sz w:val="20"/>
          <w:szCs w:val="20"/>
          <w:shd w:val="clear" w:color="auto" w:fill="FFFF99"/>
          <w:rtl/>
        </w:rPr>
        <w:t xml:space="preserve"> מיום 29.7.2014 עמ' 1549</w:t>
      </w:r>
    </w:p>
    <w:p w14:paraId="6B84BFE9"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מחיקת הגדרת "תקני דיווח כספי בין-לאומיים"</w:t>
      </w:r>
    </w:p>
    <w:p w14:paraId="5EC337AB" w14:textId="77777777" w:rsidR="00E326F5" w:rsidRPr="00E326F5" w:rsidRDefault="00E326F5" w:rsidP="00E326F5">
      <w:pPr>
        <w:pStyle w:val="P00"/>
        <w:ind w:left="0" w:right="1134"/>
        <w:rPr>
          <w:rStyle w:val="default"/>
          <w:rFonts w:cs="FrankRuehl" w:hint="cs"/>
          <w:vanish/>
          <w:sz w:val="20"/>
          <w:szCs w:val="20"/>
          <w:shd w:val="clear" w:color="auto" w:fill="FFFF99"/>
          <w:rtl/>
        </w:rPr>
      </w:pPr>
      <w:r w:rsidRPr="00E326F5">
        <w:rPr>
          <w:rStyle w:val="default"/>
          <w:rFonts w:cs="FrankRuehl" w:hint="cs"/>
          <w:vanish/>
          <w:sz w:val="20"/>
          <w:szCs w:val="20"/>
          <w:shd w:val="clear" w:color="auto" w:fill="FFFF99"/>
          <w:rtl/>
        </w:rPr>
        <w:t>הנוסח הקודם:</w:t>
      </w:r>
    </w:p>
    <w:p w14:paraId="023B75DD" w14:textId="77777777" w:rsidR="00E326F5" w:rsidRPr="00E326F5" w:rsidRDefault="00E326F5" w:rsidP="00E326F5">
      <w:pPr>
        <w:pStyle w:val="P00"/>
        <w:spacing w:before="0"/>
        <w:ind w:left="0" w:right="1134"/>
        <w:rPr>
          <w:rStyle w:val="default"/>
          <w:rFonts w:cs="FrankRuehl" w:hint="cs"/>
          <w:strike/>
          <w:sz w:val="2"/>
          <w:szCs w:val="2"/>
          <w:rtl/>
        </w:rPr>
      </w:pPr>
      <w:r w:rsidRPr="00E326F5">
        <w:rPr>
          <w:rStyle w:val="default"/>
          <w:rFonts w:cs="FrankRuehl" w:hint="cs"/>
          <w:vanish/>
          <w:sz w:val="18"/>
          <w:szCs w:val="22"/>
          <w:shd w:val="clear" w:color="auto" w:fill="FFFF99"/>
          <w:rtl/>
        </w:rPr>
        <w:tab/>
      </w:r>
      <w:r w:rsidRPr="00E326F5">
        <w:rPr>
          <w:rStyle w:val="default"/>
          <w:rFonts w:cs="FrankRuehl" w:hint="cs"/>
          <w:strike/>
          <w:vanish/>
          <w:sz w:val="18"/>
          <w:szCs w:val="22"/>
          <w:shd w:val="clear" w:color="auto" w:fill="FFFF99"/>
          <w:rtl/>
        </w:rPr>
        <w:t xml:space="preserve">"תקני דיווח כספי בין-לאומיים" </w:t>
      </w:r>
      <w:r w:rsidRPr="00E326F5">
        <w:rPr>
          <w:rStyle w:val="default"/>
          <w:rFonts w:cs="FrankRuehl"/>
          <w:strike/>
          <w:vanish/>
          <w:sz w:val="18"/>
          <w:szCs w:val="22"/>
          <w:shd w:val="clear" w:color="auto" w:fill="FFFF99"/>
          <w:rtl/>
        </w:rPr>
        <w:t>–</w:t>
      </w:r>
      <w:r w:rsidRPr="00E326F5">
        <w:rPr>
          <w:rStyle w:val="default"/>
          <w:rFonts w:cs="FrankRuehl" w:hint="cs"/>
          <w:strike/>
          <w:vanish/>
          <w:sz w:val="18"/>
          <w:szCs w:val="22"/>
          <w:shd w:val="clear" w:color="auto" w:fill="FFFF99"/>
          <w:rtl/>
        </w:rPr>
        <w:t xml:space="preserve"> תקנים ופרשנויות שאומצו על ידי הוועדה לתקני חשבונאות בין-לאומיים </w:t>
      </w:r>
      <w:r w:rsidRPr="00E326F5">
        <w:rPr>
          <w:rStyle w:val="default"/>
          <w:rFonts w:cs="FrankRuehl"/>
          <w:strike/>
          <w:vanish/>
          <w:sz w:val="18"/>
          <w:szCs w:val="22"/>
          <w:shd w:val="clear" w:color="auto" w:fill="FFFF99"/>
        </w:rPr>
        <w:t>International Accounting Standard Board (IASB)</w:t>
      </w:r>
      <w:r w:rsidRPr="00E326F5">
        <w:rPr>
          <w:rStyle w:val="default"/>
          <w:rFonts w:cs="FrankRuehl" w:hint="cs"/>
          <w:strike/>
          <w:vanish/>
          <w:sz w:val="18"/>
          <w:szCs w:val="22"/>
          <w:shd w:val="clear" w:color="auto" w:fill="FFFF99"/>
          <w:rtl/>
        </w:rPr>
        <w:t>.</w:t>
      </w:r>
      <w:bookmarkEnd w:id="7"/>
    </w:p>
    <w:p w14:paraId="3E25517D" w14:textId="77777777" w:rsidR="00642120" w:rsidRDefault="00642120" w:rsidP="00617252">
      <w:pPr>
        <w:pStyle w:val="P00"/>
        <w:spacing w:before="72"/>
        <w:ind w:left="0" w:right="1134"/>
        <w:rPr>
          <w:rStyle w:val="default"/>
          <w:rFonts w:cs="FrankRuehl" w:hint="cs"/>
          <w:rtl/>
        </w:rPr>
      </w:pPr>
      <w:bookmarkStart w:id="8" w:name="Seif2"/>
      <w:bookmarkEnd w:id="8"/>
      <w:r>
        <w:rPr>
          <w:lang w:val="he-IL"/>
        </w:rPr>
        <w:pict w14:anchorId="68D0A460">
          <v:rect id="_x0000_s1108" style="position:absolute;left:0;text-align:left;margin-left:464.5pt;margin-top:8.05pt;width:75.05pt;height:17.2pt;z-index:251648000" o:allowincell="f" filled="f" stroked="f" strokecolor="lime" strokeweight=".25pt">
            <v:textbox style="mso-next-textbox:#_x0000_s1108" inset="0,0,0,0">
              <w:txbxContent>
                <w:p w14:paraId="1625E4F4" w14:textId="77777777" w:rsidR="00C55FF6" w:rsidRDefault="00617252" w:rsidP="006A0AF5">
                  <w:pPr>
                    <w:spacing w:line="160" w:lineRule="exact"/>
                    <w:jc w:val="left"/>
                    <w:rPr>
                      <w:rFonts w:cs="Miriam" w:hint="cs"/>
                      <w:noProof/>
                      <w:sz w:val="18"/>
                      <w:szCs w:val="18"/>
                      <w:rtl/>
                    </w:rPr>
                  </w:pPr>
                  <w:r>
                    <w:rPr>
                      <w:rFonts w:cs="Miriam" w:hint="cs"/>
                      <w:sz w:val="18"/>
                      <w:szCs w:val="18"/>
                      <w:rtl/>
                    </w:rPr>
                    <w:t>הגשת דוחות כספיים</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0146A6">
        <w:rPr>
          <w:rStyle w:val="default"/>
          <w:rFonts w:cs="FrankRuehl" w:hint="cs"/>
          <w:rtl/>
        </w:rPr>
        <w:t>(א)</w:t>
      </w:r>
      <w:r w:rsidR="000146A6">
        <w:rPr>
          <w:rStyle w:val="default"/>
          <w:rFonts w:cs="FrankRuehl" w:hint="cs"/>
          <w:rtl/>
        </w:rPr>
        <w:tab/>
      </w:r>
      <w:r w:rsidR="00617252">
        <w:rPr>
          <w:rStyle w:val="default"/>
          <w:rFonts w:cs="FrankRuehl" w:hint="cs"/>
          <w:rtl/>
        </w:rPr>
        <w:t>מנהל קרן יגיש לרשות ולבורסה דוחות כספיים של קרן שבניהולו לכל שנת כספים.</w:t>
      </w:r>
    </w:p>
    <w:p w14:paraId="38B3F6B7" w14:textId="77777777" w:rsidR="00617252" w:rsidRDefault="00E326F5" w:rsidP="00E326F5">
      <w:pPr>
        <w:pStyle w:val="P00"/>
        <w:spacing w:before="72"/>
        <w:ind w:left="0" w:right="1134"/>
        <w:rPr>
          <w:rStyle w:val="default"/>
          <w:rFonts w:cs="FrankRuehl" w:hint="cs"/>
          <w:rtl/>
        </w:rPr>
      </w:pPr>
      <w:r>
        <w:rPr>
          <w:rFonts w:cs="FrankRuehl" w:hint="cs"/>
          <w:sz w:val="26"/>
          <w:rtl/>
          <w:lang w:eastAsia="en-US"/>
        </w:rPr>
        <w:pict w14:anchorId="273ED6DC">
          <v:shape id="_x0000_s1285" type="#_x0000_t202" style="position:absolute;left:0;text-align:left;margin-left:470.35pt;margin-top:7.1pt;width:1in;height:9pt;z-index:251666432" filled="f" stroked="f">
            <v:textbox inset="1mm,0,1mm,0">
              <w:txbxContent>
                <w:p w14:paraId="100973E5" w14:textId="77777777" w:rsidR="00E326F5" w:rsidRDefault="00E326F5" w:rsidP="00E326F5">
                  <w:pPr>
                    <w:spacing w:line="160" w:lineRule="exact"/>
                    <w:jc w:val="left"/>
                    <w:rPr>
                      <w:rFonts w:cs="Miriam" w:hint="cs"/>
                      <w:noProof/>
                      <w:sz w:val="18"/>
                      <w:szCs w:val="18"/>
                      <w:rtl/>
                    </w:rPr>
                  </w:pPr>
                  <w:r>
                    <w:rPr>
                      <w:rFonts w:cs="Miriam" w:hint="cs"/>
                      <w:sz w:val="18"/>
                      <w:szCs w:val="18"/>
                      <w:rtl/>
                    </w:rPr>
                    <w:t>תק' תשע"ד-2014</w:t>
                  </w:r>
                </w:p>
              </w:txbxContent>
            </v:textbox>
          </v:shape>
        </w:pict>
      </w:r>
      <w:r w:rsidR="00617252">
        <w:rPr>
          <w:rStyle w:val="default"/>
          <w:rFonts w:cs="FrankRuehl" w:hint="cs"/>
          <w:rtl/>
        </w:rPr>
        <w:tab/>
        <w:t>(ב)</w:t>
      </w:r>
      <w:r w:rsidR="00617252">
        <w:rPr>
          <w:rStyle w:val="default"/>
          <w:rFonts w:cs="FrankRuehl" w:hint="cs"/>
          <w:rtl/>
        </w:rPr>
        <w:tab/>
        <w:t xml:space="preserve">הדוחות הכספיים ייערכו </w:t>
      </w:r>
      <w:r w:rsidRPr="00E326F5">
        <w:rPr>
          <w:rStyle w:val="default"/>
          <w:rFonts w:cs="FrankRuehl" w:hint="cs"/>
          <w:rtl/>
        </w:rPr>
        <w:t>לפי כללי חשבונאות מקובלים ותקנות אלה</w:t>
      </w:r>
      <w:r w:rsidR="00617252">
        <w:rPr>
          <w:rStyle w:val="default"/>
          <w:rFonts w:cs="FrankRuehl" w:hint="cs"/>
          <w:rtl/>
        </w:rPr>
        <w:t xml:space="preserve"> ויהיו מבוקרים כדין.</w:t>
      </w:r>
    </w:p>
    <w:p w14:paraId="6B0C8DD7" w14:textId="77777777" w:rsidR="00617252" w:rsidRDefault="00617252" w:rsidP="0061725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הדוחות הכספיים יוגשו בתוך שלושה חודשים מתום שנת הכספים, באמצעות טופס דיווח שכותרתו "דוחות כספיים של קרן".</w:t>
      </w:r>
    </w:p>
    <w:p w14:paraId="5BAA5642" w14:textId="77777777" w:rsidR="00617252" w:rsidRDefault="00617252" w:rsidP="0061725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הדוחות הכספיים ייחתמו בידי מנהל הקרן, הנאמן והמנהל הכללי של מנהל הקרן; כן יצוינו שמות החותמים ותפקידיהם, ובצד כל שם תאריך החתימה.</w:t>
      </w:r>
    </w:p>
    <w:p w14:paraId="30BC0435" w14:textId="77777777" w:rsidR="00617252" w:rsidRDefault="00617252" w:rsidP="00617252">
      <w:pPr>
        <w:pStyle w:val="P00"/>
        <w:spacing w:before="72"/>
        <w:ind w:left="0" w:right="1134"/>
        <w:rPr>
          <w:rStyle w:val="default"/>
          <w:rFonts w:cs="FrankRuehl" w:hint="cs"/>
          <w:rtl/>
        </w:rPr>
      </w:pPr>
      <w:r>
        <w:rPr>
          <w:rStyle w:val="default"/>
          <w:rFonts w:cs="FrankRuehl" w:hint="cs"/>
          <w:rtl/>
        </w:rPr>
        <w:lastRenderedPageBreak/>
        <w:tab/>
        <w:t>(ה)</w:t>
      </w:r>
      <w:r>
        <w:rPr>
          <w:rStyle w:val="default"/>
          <w:rFonts w:cs="FrankRuehl" w:hint="cs"/>
          <w:rtl/>
        </w:rPr>
        <w:tab/>
        <w:t xml:space="preserve">לדוחות הכספיים תצורף חוות דעתו של רואה החשבון המבקר של הקרן, חתומה בידו ונושאת את תאריך חתימתו; חוות הדעת תכלול גם </w:t>
      </w:r>
      <w:r>
        <w:rPr>
          <w:rStyle w:val="default"/>
          <w:rFonts w:cs="FrankRuehl"/>
          <w:rtl/>
        </w:rPr>
        <w:t>–</w:t>
      </w:r>
    </w:p>
    <w:p w14:paraId="37FA441D" w14:textId="77777777" w:rsidR="00617252" w:rsidRDefault="00E326F5" w:rsidP="00E326F5">
      <w:pPr>
        <w:pStyle w:val="P00"/>
        <w:spacing w:before="72"/>
        <w:ind w:left="1021" w:right="1134"/>
        <w:rPr>
          <w:rStyle w:val="default"/>
          <w:rFonts w:cs="FrankRuehl" w:hint="cs"/>
          <w:rtl/>
        </w:rPr>
      </w:pPr>
      <w:r>
        <w:rPr>
          <w:rFonts w:cs="FrankRuehl" w:hint="cs"/>
          <w:sz w:val="26"/>
          <w:rtl/>
          <w:lang w:eastAsia="en-US"/>
        </w:rPr>
        <w:pict w14:anchorId="30C5838D">
          <v:shape id="_x0000_s1288" type="#_x0000_t202" style="position:absolute;left:0;text-align:left;margin-left:470.35pt;margin-top:7.1pt;width:1in;height:9pt;z-index:251667456" filled="f" stroked="f">
            <v:textbox inset="1mm,0,1mm,0">
              <w:txbxContent>
                <w:p w14:paraId="51EDB2E3" w14:textId="77777777" w:rsidR="00E326F5" w:rsidRDefault="00E326F5" w:rsidP="00E326F5">
                  <w:pPr>
                    <w:spacing w:line="160" w:lineRule="exact"/>
                    <w:jc w:val="left"/>
                    <w:rPr>
                      <w:rFonts w:cs="Miriam" w:hint="cs"/>
                      <w:noProof/>
                      <w:sz w:val="18"/>
                      <w:szCs w:val="18"/>
                      <w:rtl/>
                    </w:rPr>
                  </w:pPr>
                  <w:r>
                    <w:rPr>
                      <w:rFonts w:cs="Miriam" w:hint="cs"/>
                      <w:sz w:val="18"/>
                      <w:szCs w:val="18"/>
                      <w:rtl/>
                    </w:rPr>
                    <w:t>תק' תשע"ד-2014</w:t>
                  </w:r>
                </w:p>
              </w:txbxContent>
            </v:textbox>
          </v:shape>
        </w:pict>
      </w:r>
      <w:r w:rsidR="00617252">
        <w:rPr>
          <w:rStyle w:val="default"/>
          <w:rFonts w:cs="FrankRuehl" w:hint="cs"/>
          <w:rtl/>
        </w:rPr>
        <w:t>(1)</w:t>
      </w:r>
      <w:r w:rsidR="00617252">
        <w:rPr>
          <w:rStyle w:val="default"/>
          <w:rFonts w:cs="FrankRuehl" w:hint="cs"/>
          <w:rtl/>
        </w:rPr>
        <w:tab/>
        <w:t xml:space="preserve">אישור בדבר עריכת הדוחות הכספיים </w:t>
      </w:r>
      <w:r w:rsidRPr="00E326F5">
        <w:rPr>
          <w:rStyle w:val="default"/>
          <w:rFonts w:cs="FrankRuehl" w:hint="cs"/>
          <w:rtl/>
        </w:rPr>
        <w:t>לפי כללי חשבונאות מקובלים ותקנות</w:t>
      </w:r>
      <w:r w:rsidR="00617252">
        <w:rPr>
          <w:rStyle w:val="default"/>
          <w:rFonts w:cs="FrankRuehl" w:hint="cs"/>
          <w:rtl/>
        </w:rPr>
        <w:t xml:space="preserve"> אלה;</w:t>
      </w:r>
    </w:p>
    <w:p w14:paraId="1713E4BB" w14:textId="77777777" w:rsidR="00617252" w:rsidRDefault="002719A9" w:rsidP="00B73316">
      <w:pPr>
        <w:pStyle w:val="P00"/>
        <w:spacing w:before="72"/>
        <w:ind w:left="1021" w:right="1134"/>
        <w:rPr>
          <w:rStyle w:val="default"/>
          <w:rFonts w:cs="FrankRuehl" w:hint="cs"/>
          <w:rtl/>
        </w:rPr>
      </w:pPr>
      <w:r>
        <w:rPr>
          <w:rFonts w:cs="FrankRuehl" w:hint="cs"/>
          <w:sz w:val="26"/>
          <w:rtl/>
          <w:lang w:eastAsia="en-US"/>
        </w:rPr>
        <w:pict w14:anchorId="24547298">
          <v:shape id="_x0000_s1262" type="#_x0000_t202" style="position:absolute;left:0;text-align:left;margin-left:470.35pt;margin-top:7.1pt;width:1in;height:9pt;z-index:251658240" filled="f" stroked="f">
            <v:textbox style="mso-next-textbox:#_x0000_s1262" inset="1mm,0,1mm,0">
              <w:txbxContent>
                <w:p w14:paraId="6167AEF5" w14:textId="77777777" w:rsidR="002719A9" w:rsidRDefault="002719A9" w:rsidP="002719A9">
                  <w:pPr>
                    <w:spacing w:line="160" w:lineRule="exact"/>
                    <w:jc w:val="left"/>
                    <w:rPr>
                      <w:rFonts w:cs="Miriam" w:hint="cs"/>
                      <w:noProof/>
                      <w:sz w:val="18"/>
                      <w:szCs w:val="18"/>
                      <w:rtl/>
                    </w:rPr>
                  </w:pPr>
                  <w:r>
                    <w:rPr>
                      <w:rFonts w:cs="Miriam" w:hint="cs"/>
                      <w:sz w:val="18"/>
                      <w:szCs w:val="18"/>
                      <w:rtl/>
                    </w:rPr>
                    <w:t>תק' תשע"ב-2012</w:t>
                  </w:r>
                </w:p>
              </w:txbxContent>
            </v:textbox>
          </v:shape>
        </w:pict>
      </w:r>
      <w:r w:rsidR="00617252">
        <w:rPr>
          <w:rStyle w:val="default"/>
          <w:rFonts w:cs="FrankRuehl" w:hint="cs"/>
          <w:rtl/>
        </w:rPr>
        <w:t>(2)</w:t>
      </w:r>
      <w:r w:rsidR="00617252">
        <w:rPr>
          <w:rStyle w:val="default"/>
          <w:rFonts w:cs="FrankRuehl" w:hint="cs"/>
          <w:rtl/>
        </w:rPr>
        <w:tab/>
        <w:t xml:space="preserve">הסכמתו </w:t>
      </w:r>
      <w:r w:rsidR="00B73316">
        <w:rPr>
          <w:rStyle w:val="default"/>
          <w:rFonts w:cs="FrankRuehl" w:hint="cs"/>
          <w:rtl/>
        </w:rPr>
        <w:t>לצירוף חוות הדעת לדוחות הכספיים, בציון המועד או טווח המועדים שבו יוגשו לרשות הדוחות הכספיים שאליהם מתייחסת הסכמה כאמור</w:t>
      </w:r>
      <w:r w:rsidR="00617252">
        <w:rPr>
          <w:rStyle w:val="default"/>
          <w:rFonts w:cs="FrankRuehl" w:hint="cs"/>
          <w:rtl/>
        </w:rPr>
        <w:t>.</w:t>
      </w:r>
    </w:p>
    <w:p w14:paraId="713A8564" w14:textId="77777777" w:rsidR="002719A9" w:rsidRPr="00E326F5" w:rsidRDefault="002719A9" w:rsidP="00B73316">
      <w:pPr>
        <w:pStyle w:val="P00"/>
        <w:spacing w:before="0"/>
        <w:ind w:left="1021" w:right="1134"/>
        <w:rPr>
          <w:rStyle w:val="default"/>
          <w:rFonts w:cs="FrankRuehl" w:hint="cs"/>
          <w:vanish/>
          <w:color w:val="FF0000"/>
          <w:sz w:val="20"/>
          <w:szCs w:val="20"/>
          <w:shd w:val="clear" w:color="auto" w:fill="FFFF99"/>
          <w:rtl/>
        </w:rPr>
      </w:pPr>
      <w:bookmarkStart w:id="9" w:name="Rov17"/>
      <w:r w:rsidRPr="00E326F5">
        <w:rPr>
          <w:rStyle w:val="default"/>
          <w:rFonts w:cs="FrankRuehl" w:hint="cs"/>
          <w:vanish/>
          <w:color w:val="FF0000"/>
          <w:sz w:val="20"/>
          <w:szCs w:val="20"/>
          <w:shd w:val="clear" w:color="auto" w:fill="FFFF99"/>
          <w:rtl/>
        </w:rPr>
        <w:t>מיום 5.2.2012</w:t>
      </w:r>
    </w:p>
    <w:p w14:paraId="6D1C34A7" w14:textId="77777777" w:rsidR="002719A9" w:rsidRPr="00E326F5" w:rsidRDefault="002719A9" w:rsidP="00B73316">
      <w:pPr>
        <w:pStyle w:val="P00"/>
        <w:spacing w:before="0"/>
        <w:ind w:left="1021"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תשע"ב-2012</w:t>
      </w:r>
    </w:p>
    <w:p w14:paraId="6E1CD716" w14:textId="77777777" w:rsidR="002719A9" w:rsidRPr="00E326F5" w:rsidRDefault="002719A9" w:rsidP="00B73316">
      <w:pPr>
        <w:pStyle w:val="P00"/>
        <w:spacing w:before="0"/>
        <w:ind w:left="1021" w:right="1134"/>
        <w:rPr>
          <w:rStyle w:val="default"/>
          <w:rFonts w:cs="FrankRuehl" w:hint="cs"/>
          <w:vanish/>
          <w:sz w:val="20"/>
          <w:szCs w:val="20"/>
          <w:shd w:val="clear" w:color="auto" w:fill="FFFF99"/>
          <w:rtl/>
        </w:rPr>
      </w:pPr>
      <w:hyperlink r:id="rId14" w:history="1">
        <w:r w:rsidRPr="00E326F5">
          <w:rPr>
            <w:rStyle w:val="Hyperlink"/>
            <w:rFonts w:cs="FrankRuehl" w:hint="cs"/>
            <w:vanish/>
            <w:szCs w:val="20"/>
            <w:shd w:val="clear" w:color="auto" w:fill="FFFF99"/>
            <w:rtl/>
          </w:rPr>
          <w:t>ק"ת תשע"ב מס' 7087</w:t>
        </w:r>
      </w:hyperlink>
      <w:r w:rsidRPr="00E326F5">
        <w:rPr>
          <w:rStyle w:val="default"/>
          <w:rFonts w:cs="FrankRuehl" w:hint="cs"/>
          <w:vanish/>
          <w:sz w:val="20"/>
          <w:szCs w:val="20"/>
          <w:shd w:val="clear" w:color="auto" w:fill="FFFF99"/>
          <w:rtl/>
        </w:rPr>
        <w:t xml:space="preserve"> מיום 5.2.2012 עמ' 738</w:t>
      </w:r>
    </w:p>
    <w:p w14:paraId="637460E6" w14:textId="77777777" w:rsidR="002719A9" w:rsidRPr="00E326F5" w:rsidRDefault="002719A9" w:rsidP="00B73316">
      <w:pPr>
        <w:pStyle w:val="P00"/>
        <w:spacing w:before="0"/>
        <w:ind w:left="1021"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החלפת פסקה 2(ה)(2)</w:t>
      </w:r>
    </w:p>
    <w:p w14:paraId="02B645C7" w14:textId="77777777" w:rsidR="002719A9" w:rsidRPr="00E326F5" w:rsidRDefault="002719A9" w:rsidP="00B73316">
      <w:pPr>
        <w:pStyle w:val="P00"/>
        <w:ind w:left="1021" w:right="1134"/>
        <w:rPr>
          <w:rStyle w:val="default"/>
          <w:rFonts w:cs="FrankRuehl" w:hint="cs"/>
          <w:vanish/>
          <w:sz w:val="20"/>
          <w:szCs w:val="20"/>
          <w:shd w:val="clear" w:color="auto" w:fill="FFFF99"/>
          <w:rtl/>
        </w:rPr>
      </w:pPr>
      <w:r w:rsidRPr="00E326F5">
        <w:rPr>
          <w:rStyle w:val="default"/>
          <w:rFonts w:cs="FrankRuehl" w:hint="cs"/>
          <w:vanish/>
          <w:sz w:val="20"/>
          <w:szCs w:val="20"/>
          <w:shd w:val="clear" w:color="auto" w:fill="FFFF99"/>
          <w:rtl/>
        </w:rPr>
        <w:t>הנוסח הקודם:</w:t>
      </w:r>
    </w:p>
    <w:p w14:paraId="259F9E30" w14:textId="77777777" w:rsidR="002719A9" w:rsidRPr="00E326F5" w:rsidRDefault="002719A9" w:rsidP="00B73316">
      <w:pPr>
        <w:pStyle w:val="P00"/>
        <w:spacing w:before="0"/>
        <w:ind w:left="1021" w:right="1134"/>
        <w:rPr>
          <w:rStyle w:val="default"/>
          <w:rFonts w:cs="FrankRuehl" w:hint="cs"/>
          <w:vanish/>
          <w:sz w:val="22"/>
          <w:szCs w:val="22"/>
          <w:shd w:val="clear" w:color="auto" w:fill="FFFF99"/>
          <w:rtl/>
        </w:rPr>
      </w:pPr>
      <w:r w:rsidRPr="00E326F5">
        <w:rPr>
          <w:rStyle w:val="default"/>
          <w:rFonts w:cs="FrankRuehl" w:hint="cs"/>
          <w:strike/>
          <w:vanish/>
          <w:sz w:val="22"/>
          <w:szCs w:val="22"/>
          <w:shd w:val="clear" w:color="auto" w:fill="FFFF99"/>
          <w:rtl/>
        </w:rPr>
        <w:t>(2)</w:t>
      </w:r>
      <w:r w:rsidRPr="00E326F5">
        <w:rPr>
          <w:rStyle w:val="default"/>
          <w:rFonts w:cs="FrankRuehl" w:hint="cs"/>
          <w:strike/>
          <w:vanish/>
          <w:sz w:val="22"/>
          <w:szCs w:val="22"/>
          <w:shd w:val="clear" w:color="auto" w:fill="FFFF99"/>
          <w:rtl/>
        </w:rPr>
        <w:tab/>
        <w:t xml:space="preserve">הסכמתו להכללת חוות הדעת בתשקיף או בדוח, בציון המועד או טווח המועדים שבו יוגש לרשות הדוח שאליו מתייחסת הסכמה כאמור, ולעניין תשקיף </w:t>
      </w:r>
      <w:r w:rsidRPr="00E326F5">
        <w:rPr>
          <w:rStyle w:val="default"/>
          <w:rFonts w:cs="FrankRuehl"/>
          <w:strike/>
          <w:vanish/>
          <w:sz w:val="22"/>
          <w:szCs w:val="22"/>
          <w:shd w:val="clear" w:color="auto" w:fill="FFFF99"/>
          <w:rtl/>
        </w:rPr>
        <w:t>–</w:t>
      </w:r>
      <w:r w:rsidRPr="00E326F5">
        <w:rPr>
          <w:rStyle w:val="default"/>
          <w:rFonts w:cs="FrankRuehl" w:hint="cs"/>
          <w:strike/>
          <w:vanish/>
          <w:sz w:val="22"/>
          <w:szCs w:val="22"/>
          <w:shd w:val="clear" w:color="auto" w:fill="FFFF99"/>
          <w:rtl/>
        </w:rPr>
        <w:t xml:space="preserve"> בציון המועד או טווח המועדים שבו תוגש לרשות בקשת היתר לפרסום התשקיף שאליו מתייחסת ההסכמה כאמור.</w:t>
      </w:r>
    </w:p>
    <w:p w14:paraId="7784686F"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p>
    <w:p w14:paraId="2DA768BB" w14:textId="77777777" w:rsidR="00E326F5" w:rsidRPr="00E326F5" w:rsidRDefault="00E326F5" w:rsidP="00E326F5">
      <w:pPr>
        <w:pStyle w:val="P00"/>
        <w:spacing w:before="0"/>
        <w:ind w:left="0" w:right="1134"/>
        <w:rPr>
          <w:rStyle w:val="default"/>
          <w:rFonts w:cs="FrankRuehl" w:hint="cs"/>
          <w:vanish/>
          <w:color w:val="FF0000"/>
          <w:sz w:val="20"/>
          <w:szCs w:val="20"/>
          <w:shd w:val="clear" w:color="auto" w:fill="FFFF99"/>
          <w:rtl/>
        </w:rPr>
      </w:pPr>
      <w:r w:rsidRPr="00E326F5">
        <w:rPr>
          <w:rStyle w:val="default"/>
          <w:rFonts w:cs="FrankRuehl" w:hint="cs"/>
          <w:vanish/>
          <w:color w:val="FF0000"/>
          <w:sz w:val="20"/>
          <w:szCs w:val="20"/>
          <w:shd w:val="clear" w:color="auto" w:fill="FFFF99"/>
          <w:rtl/>
        </w:rPr>
        <w:t>מיום 29.7.2014</w:t>
      </w:r>
    </w:p>
    <w:p w14:paraId="0A6991E6"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תשע"ד-2014</w:t>
      </w:r>
    </w:p>
    <w:p w14:paraId="0F0ECE5E"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hyperlink r:id="rId15" w:history="1">
        <w:r w:rsidRPr="00E326F5">
          <w:rPr>
            <w:rStyle w:val="Hyperlink"/>
            <w:rFonts w:cs="FrankRuehl" w:hint="cs"/>
            <w:vanish/>
            <w:szCs w:val="20"/>
            <w:shd w:val="clear" w:color="auto" w:fill="FFFF99"/>
            <w:rtl/>
          </w:rPr>
          <w:t>ק"ת תשע"ד מס' 7401</w:t>
        </w:r>
      </w:hyperlink>
      <w:r w:rsidRPr="00E326F5">
        <w:rPr>
          <w:rStyle w:val="default"/>
          <w:rFonts w:cs="FrankRuehl" w:hint="cs"/>
          <w:vanish/>
          <w:sz w:val="20"/>
          <w:szCs w:val="20"/>
          <w:shd w:val="clear" w:color="auto" w:fill="FFFF99"/>
          <w:rtl/>
        </w:rPr>
        <w:t xml:space="preserve"> מיום 29.7.2014 עמ' 1550</w:t>
      </w:r>
    </w:p>
    <w:p w14:paraId="460FAD43" w14:textId="77777777" w:rsidR="00E326F5" w:rsidRPr="00E326F5" w:rsidRDefault="00E326F5" w:rsidP="00E326F5">
      <w:pPr>
        <w:pStyle w:val="P00"/>
        <w:ind w:left="0"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ab/>
        <w:t>(ב)</w:t>
      </w:r>
      <w:r w:rsidRPr="00E326F5">
        <w:rPr>
          <w:rStyle w:val="default"/>
          <w:rFonts w:cs="FrankRuehl" w:hint="cs"/>
          <w:vanish/>
          <w:sz w:val="22"/>
          <w:szCs w:val="22"/>
          <w:shd w:val="clear" w:color="auto" w:fill="FFFF99"/>
          <w:rtl/>
        </w:rPr>
        <w:tab/>
        <w:t xml:space="preserve">הדוחות הכספיים ייערכו </w:t>
      </w:r>
      <w:r w:rsidRPr="00E326F5">
        <w:rPr>
          <w:rStyle w:val="default"/>
          <w:rFonts w:cs="FrankRuehl" w:hint="cs"/>
          <w:strike/>
          <w:vanish/>
          <w:sz w:val="22"/>
          <w:szCs w:val="22"/>
          <w:shd w:val="clear" w:color="auto" w:fill="FFFF99"/>
          <w:rtl/>
        </w:rPr>
        <w:t>לפי תקני דיווח כספי בין-לאומיים</w:t>
      </w:r>
      <w:r w:rsidRPr="00E326F5">
        <w:rPr>
          <w:rStyle w:val="default"/>
          <w:rFonts w:cs="FrankRuehl" w:hint="cs"/>
          <w:vanish/>
          <w:sz w:val="22"/>
          <w:szCs w:val="22"/>
          <w:shd w:val="clear" w:color="auto" w:fill="FFFF99"/>
          <w:rtl/>
        </w:rPr>
        <w:t xml:space="preserve"> </w:t>
      </w:r>
      <w:r w:rsidRPr="00E326F5">
        <w:rPr>
          <w:rStyle w:val="default"/>
          <w:rFonts w:cs="FrankRuehl" w:hint="cs"/>
          <w:vanish/>
          <w:sz w:val="22"/>
          <w:szCs w:val="22"/>
          <w:u w:val="single"/>
          <w:shd w:val="clear" w:color="auto" w:fill="FFFF99"/>
          <w:rtl/>
        </w:rPr>
        <w:t>לפי כללי חשבונאות מקובלים ותקנות אלה</w:t>
      </w:r>
      <w:r w:rsidRPr="00E326F5">
        <w:rPr>
          <w:rStyle w:val="default"/>
          <w:rFonts w:cs="FrankRuehl" w:hint="cs"/>
          <w:vanish/>
          <w:sz w:val="22"/>
          <w:szCs w:val="22"/>
          <w:shd w:val="clear" w:color="auto" w:fill="FFFF99"/>
          <w:rtl/>
        </w:rPr>
        <w:t xml:space="preserve"> ויהיו מבוקרים כדין.</w:t>
      </w:r>
    </w:p>
    <w:p w14:paraId="6276B742" w14:textId="77777777" w:rsidR="00E326F5" w:rsidRPr="00E326F5" w:rsidRDefault="00E326F5" w:rsidP="00E326F5">
      <w:pPr>
        <w:pStyle w:val="P00"/>
        <w:spacing w:before="0"/>
        <w:ind w:left="0"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ab/>
        <w:t>(ג)</w:t>
      </w:r>
      <w:r w:rsidRPr="00E326F5">
        <w:rPr>
          <w:rStyle w:val="default"/>
          <w:rFonts w:cs="FrankRuehl" w:hint="cs"/>
          <w:vanish/>
          <w:sz w:val="22"/>
          <w:szCs w:val="22"/>
          <w:shd w:val="clear" w:color="auto" w:fill="FFFF99"/>
          <w:rtl/>
        </w:rPr>
        <w:tab/>
        <w:t>הדוחות הכספיים יוגשו בתוך שלושה חודשים מתום שנת הכספים, באמצעות טופס דיווח שכותרתו "דוחות כספיים של קרן".</w:t>
      </w:r>
    </w:p>
    <w:p w14:paraId="7F614999" w14:textId="77777777" w:rsidR="00E326F5" w:rsidRPr="00E326F5" w:rsidRDefault="00E326F5" w:rsidP="00E326F5">
      <w:pPr>
        <w:pStyle w:val="P00"/>
        <w:spacing w:before="0"/>
        <w:ind w:left="0"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ab/>
        <w:t>(ד)</w:t>
      </w:r>
      <w:r w:rsidRPr="00E326F5">
        <w:rPr>
          <w:rStyle w:val="default"/>
          <w:rFonts w:cs="FrankRuehl" w:hint="cs"/>
          <w:vanish/>
          <w:sz w:val="22"/>
          <w:szCs w:val="22"/>
          <w:shd w:val="clear" w:color="auto" w:fill="FFFF99"/>
          <w:rtl/>
        </w:rPr>
        <w:tab/>
        <w:t>הדוחות הכספיים ייחתמו בידי מנהל הקרן, הנאמן והמנהל הכללי של מנהל הקרן; כן יצוינו שמות החותמים ותפקידיהם, ובצד כל שם תאריך החתימה.</w:t>
      </w:r>
    </w:p>
    <w:p w14:paraId="52515EA1" w14:textId="77777777" w:rsidR="00E326F5" w:rsidRPr="00E326F5" w:rsidRDefault="00E326F5" w:rsidP="00E326F5">
      <w:pPr>
        <w:pStyle w:val="P00"/>
        <w:spacing w:before="0"/>
        <w:ind w:left="0"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ab/>
        <w:t>(ה)</w:t>
      </w:r>
      <w:r w:rsidRPr="00E326F5">
        <w:rPr>
          <w:rStyle w:val="default"/>
          <w:rFonts w:cs="FrankRuehl" w:hint="cs"/>
          <w:vanish/>
          <w:sz w:val="22"/>
          <w:szCs w:val="22"/>
          <w:shd w:val="clear" w:color="auto" w:fill="FFFF99"/>
          <w:rtl/>
        </w:rPr>
        <w:tab/>
        <w:t xml:space="preserve">לדוחות הכספיים תצורף חוות דעתו של רואה החשבון המבקר של הקרן, חתומה בידו ונושאת את תאריך חתימתו; חוות הדעת תכלול גם </w:t>
      </w:r>
      <w:r w:rsidRPr="00E326F5">
        <w:rPr>
          <w:rStyle w:val="default"/>
          <w:rFonts w:cs="FrankRuehl"/>
          <w:vanish/>
          <w:sz w:val="22"/>
          <w:szCs w:val="22"/>
          <w:shd w:val="clear" w:color="auto" w:fill="FFFF99"/>
          <w:rtl/>
        </w:rPr>
        <w:t>–</w:t>
      </w:r>
    </w:p>
    <w:p w14:paraId="16A81DA2" w14:textId="77777777" w:rsidR="00E326F5" w:rsidRPr="00E326F5" w:rsidRDefault="00E326F5" w:rsidP="00E326F5">
      <w:pPr>
        <w:pStyle w:val="P00"/>
        <w:spacing w:before="0"/>
        <w:ind w:left="1021"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(1)</w:t>
      </w:r>
      <w:r w:rsidRPr="00E326F5">
        <w:rPr>
          <w:rStyle w:val="default"/>
          <w:rFonts w:cs="FrankRuehl" w:hint="cs"/>
          <w:vanish/>
          <w:sz w:val="22"/>
          <w:szCs w:val="22"/>
          <w:shd w:val="clear" w:color="auto" w:fill="FFFF99"/>
          <w:rtl/>
        </w:rPr>
        <w:tab/>
        <w:t xml:space="preserve">אישור בדבר עריכת הדוחות הכספיים </w:t>
      </w:r>
      <w:r w:rsidRPr="00E326F5">
        <w:rPr>
          <w:rStyle w:val="default"/>
          <w:rFonts w:cs="FrankRuehl" w:hint="cs"/>
          <w:strike/>
          <w:vanish/>
          <w:sz w:val="22"/>
          <w:szCs w:val="22"/>
          <w:shd w:val="clear" w:color="auto" w:fill="FFFF99"/>
          <w:rtl/>
        </w:rPr>
        <w:t>בהתאם להוראות תקנות</w:t>
      </w:r>
      <w:r w:rsidRPr="00E326F5">
        <w:rPr>
          <w:rStyle w:val="default"/>
          <w:rFonts w:cs="FrankRuehl" w:hint="cs"/>
          <w:vanish/>
          <w:sz w:val="22"/>
          <w:szCs w:val="22"/>
          <w:shd w:val="clear" w:color="auto" w:fill="FFFF99"/>
          <w:rtl/>
        </w:rPr>
        <w:t xml:space="preserve"> </w:t>
      </w:r>
      <w:r w:rsidRPr="00E326F5">
        <w:rPr>
          <w:rStyle w:val="default"/>
          <w:rFonts w:cs="FrankRuehl" w:hint="cs"/>
          <w:vanish/>
          <w:sz w:val="22"/>
          <w:szCs w:val="22"/>
          <w:u w:val="single"/>
          <w:shd w:val="clear" w:color="auto" w:fill="FFFF99"/>
          <w:rtl/>
        </w:rPr>
        <w:t>לפי כללי חשבונאות מקובלים ותקנות</w:t>
      </w:r>
      <w:r w:rsidRPr="00E326F5">
        <w:rPr>
          <w:rStyle w:val="default"/>
          <w:rFonts w:cs="FrankRuehl" w:hint="cs"/>
          <w:vanish/>
          <w:sz w:val="22"/>
          <w:szCs w:val="22"/>
          <w:shd w:val="clear" w:color="auto" w:fill="FFFF99"/>
          <w:rtl/>
        </w:rPr>
        <w:t xml:space="preserve"> אלה;</w:t>
      </w:r>
    </w:p>
    <w:p w14:paraId="4A858CD8" w14:textId="77777777" w:rsidR="00E326F5" w:rsidRPr="00E326F5" w:rsidRDefault="00E326F5" w:rsidP="00E326F5">
      <w:pPr>
        <w:pStyle w:val="P00"/>
        <w:spacing w:before="0"/>
        <w:ind w:left="1021" w:right="1134"/>
        <w:rPr>
          <w:rStyle w:val="default"/>
          <w:rFonts w:cs="FrankRuehl" w:hint="cs"/>
          <w:sz w:val="2"/>
          <w:szCs w:val="2"/>
          <w:rtl/>
        </w:rPr>
      </w:pPr>
      <w:r w:rsidRPr="00E326F5">
        <w:rPr>
          <w:rStyle w:val="default"/>
          <w:rFonts w:cs="FrankRuehl" w:hint="cs"/>
          <w:vanish/>
          <w:sz w:val="22"/>
          <w:szCs w:val="22"/>
          <w:shd w:val="clear" w:color="auto" w:fill="FFFF99"/>
          <w:rtl/>
        </w:rPr>
        <w:t>(2)</w:t>
      </w:r>
      <w:r w:rsidRPr="00E326F5">
        <w:rPr>
          <w:rStyle w:val="default"/>
          <w:rFonts w:cs="FrankRuehl" w:hint="cs"/>
          <w:vanish/>
          <w:sz w:val="22"/>
          <w:szCs w:val="22"/>
          <w:shd w:val="clear" w:color="auto" w:fill="FFFF99"/>
          <w:rtl/>
        </w:rPr>
        <w:tab/>
        <w:t>הסכמתו לצירוף חוות הדעת לדוחות הכספיים, בציון המועד או טווח המועדים שבו יוגשו לרשות הדוחות הכספיים שאליהם מתייחסת הסכמה כאמור.</w:t>
      </w:r>
      <w:bookmarkEnd w:id="9"/>
    </w:p>
    <w:p w14:paraId="00790EC4" w14:textId="77777777" w:rsidR="009F35FF" w:rsidRDefault="009F35FF" w:rsidP="00617252">
      <w:pPr>
        <w:pStyle w:val="P00"/>
        <w:spacing w:before="72"/>
        <w:ind w:left="0" w:right="1134"/>
        <w:rPr>
          <w:rStyle w:val="default"/>
          <w:rFonts w:cs="FrankRuehl" w:hint="cs"/>
          <w:rtl/>
        </w:rPr>
      </w:pPr>
      <w:bookmarkStart w:id="10" w:name="Seif3"/>
      <w:bookmarkEnd w:id="10"/>
      <w:r>
        <w:rPr>
          <w:lang w:val="he-IL"/>
        </w:rPr>
        <w:pict w14:anchorId="56BCF7CD">
          <v:rect id="_x0000_s1198" style="position:absolute;left:0;text-align:left;margin-left:464.5pt;margin-top:8.05pt;width:75.05pt;height:25.7pt;z-index:251649024" o:allowincell="f" filled="f" stroked="f" strokecolor="lime" strokeweight=".25pt">
            <v:textbox style="mso-next-textbox:#_x0000_s1198" inset="0,0,0,0">
              <w:txbxContent>
                <w:p w14:paraId="4483B19A" w14:textId="77777777" w:rsidR="00C55FF6" w:rsidRDefault="00617252" w:rsidP="009F35FF">
                  <w:pPr>
                    <w:spacing w:line="160" w:lineRule="exact"/>
                    <w:jc w:val="left"/>
                    <w:rPr>
                      <w:rFonts w:cs="Miriam" w:hint="cs"/>
                      <w:noProof/>
                      <w:sz w:val="18"/>
                      <w:szCs w:val="18"/>
                      <w:rtl/>
                    </w:rPr>
                  </w:pPr>
                  <w:r>
                    <w:rPr>
                      <w:rFonts w:cs="Miriam" w:hint="cs"/>
                      <w:sz w:val="18"/>
                      <w:szCs w:val="18"/>
                      <w:rtl/>
                    </w:rPr>
                    <w:t>ביאורים לדוחות הכספיים</w:t>
                  </w:r>
                </w:p>
              </w:txbxContent>
            </v:textbox>
            <w10:anchorlock/>
          </v:rect>
        </w:pict>
      </w:r>
      <w:r>
        <w:rPr>
          <w:rStyle w:val="big-number"/>
          <w:rFonts w:cs="Miriam" w:hint="cs"/>
          <w:rtl/>
        </w:rPr>
        <w:t>3</w:t>
      </w:r>
      <w:r>
        <w:rPr>
          <w:rStyle w:val="big-number"/>
          <w:rFonts w:cs="Miriam"/>
          <w:rtl/>
        </w:rPr>
        <w:t>.</w:t>
      </w:r>
      <w:r>
        <w:rPr>
          <w:rStyle w:val="big-number"/>
          <w:rFonts w:cs="Miriam"/>
          <w:rtl/>
        </w:rPr>
        <w:tab/>
      </w:r>
      <w:r w:rsidR="00617252">
        <w:rPr>
          <w:rStyle w:val="default"/>
          <w:rFonts w:cs="FrankRuehl" w:hint="cs"/>
          <w:rtl/>
        </w:rPr>
        <w:t>בביאורים לדוחות הכספיים יובאו, בין השאר, הפרטים האלה:</w:t>
      </w:r>
    </w:p>
    <w:p w14:paraId="3F3835F1" w14:textId="77777777" w:rsidR="00617252" w:rsidRDefault="00617252" w:rsidP="00782DC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רשימה מלאה ומפורטת של נכסי הקרן והתחייבויותיה, לרבות חוזים עתידיים, לתאריך הדוחות הכספיים; הרשימה תהיה ערוכה לפי סוגי נכסי הקרן והתחייבויותיה, ולגבי כל אחד מהפריטים בה יצוינו כל אלה:</w:t>
      </w:r>
    </w:p>
    <w:p w14:paraId="6A7A35FE" w14:textId="77777777" w:rsidR="00617252" w:rsidRDefault="00617252" w:rsidP="00782DC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782DC3">
        <w:rPr>
          <w:rStyle w:val="default"/>
          <w:rFonts w:cs="FrankRuehl" w:hint="cs"/>
          <w:rtl/>
        </w:rPr>
        <w:t>פרטים מזהים של ניירות הערך, האופציות והחוזים העתידיים, הכוללים שם מלא, סימול, מטבע ומקום המסחר;</w:t>
      </w:r>
    </w:p>
    <w:p w14:paraId="6D76359A" w14:textId="77777777" w:rsidR="00782DC3" w:rsidRDefault="00782DC3" w:rsidP="00782DC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האם הונפק על ידי בעל עניין במנהל הקרן או בנאמן;</w:t>
      </w:r>
    </w:p>
    <w:p w14:paraId="6AF33719" w14:textId="77777777" w:rsidR="00B73316" w:rsidRPr="00B73316" w:rsidRDefault="00B73316" w:rsidP="00B73316">
      <w:pPr>
        <w:pStyle w:val="P00"/>
        <w:spacing w:before="72"/>
        <w:ind w:left="1021" w:right="1134"/>
        <w:rPr>
          <w:rStyle w:val="default"/>
          <w:rFonts w:cs="FrankRuehl" w:hint="cs"/>
          <w:rtl/>
        </w:rPr>
      </w:pPr>
      <w:r>
        <w:rPr>
          <w:rFonts w:cs="FrankRuehl" w:hint="cs"/>
          <w:sz w:val="26"/>
          <w:rtl/>
          <w:lang w:eastAsia="en-US"/>
        </w:rPr>
        <w:pict w14:anchorId="2A7B515C">
          <v:shape id="_x0000_s1265" type="#_x0000_t202" style="position:absolute;left:0;text-align:left;margin-left:470.35pt;margin-top:7.1pt;width:1in;height:9pt;z-index:251659264" filled="f" stroked="f">
            <v:textbox inset="1mm,0,1mm,0">
              <w:txbxContent>
                <w:p w14:paraId="22E92E3E" w14:textId="77777777" w:rsidR="00B73316" w:rsidRDefault="00B73316" w:rsidP="00B73316">
                  <w:pPr>
                    <w:spacing w:line="160" w:lineRule="exact"/>
                    <w:jc w:val="left"/>
                    <w:rPr>
                      <w:rFonts w:cs="Miriam" w:hint="cs"/>
                      <w:noProof/>
                      <w:sz w:val="18"/>
                      <w:szCs w:val="18"/>
                      <w:rtl/>
                    </w:rPr>
                  </w:pPr>
                  <w:r>
                    <w:rPr>
                      <w:rFonts w:cs="Miriam" w:hint="cs"/>
                      <w:sz w:val="18"/>
                      <w:szCs w:val="18"/>
                      <w:rtl/>
                    </w:rPr>
                    <w:t>תק' תשע"ב-2012</w:t>
                  </w:r>
                </w:p>
              </w:txbxContent>
            </v:textbox>
          </v:shape>
        </w:pict>
      </w:r>
      <w:r w:rsidRPr="00B73316">
        <w:rPr>
          <w:rStyle w:val="default"/>
          <w:rFonts w:cs="FrankRuehl" w:hint="cs"/>
          <w:rtl/>
        </w:rPr>
        <w:t>(ב1)</w:t>
      </w:r>
      <w:r w:rsidRPr="00B73316">
        <w:rPr>
          <w:rStyle w:val="default"/>
          <w:rFonts w:cs="FrankRuehl" w:hint="cs"/>
          <w:rtl/>
        </w:rPr>
        <w:tab/>
        <w:t>האם שוערך לפי הנחיות הדירקטוריון לקביעת שוויו של נכס בהתאם לתקנה 14ב לתקנות השקעות משותפות בנאמנות (מחירי קנייה ומכירה של נכסי קרן ושווי נכסי קרן), התשנ"ה-1994;</w:t>
      </w:r>
    </w:p>
    <w:p w14:paraId="0F95B87D" w14:textId="77777777" w:rsidR="00B73316" w:rsidRPr="00B73316" w:rsidRDefault="00B73316" w:rsidP="00B73316">
      <w:pPr>
        <w:pStyle w:val="P00"/>
        <w:spacing w:before="72"/>
        <w:ind w:left="1021" w:right="1134"/>
        <w:rPr>
          <w:rStyle w:val="default"/>
          <w:rFonts w:cs="FrankRuehl" w:hint="cs"/>
          <w:rtl/>
        </w:rPr>
      </w:pPr>
      <w:r>
        <w:rPr>
          <w:rFonts w:cs="FrankRuehl" w:hint="cs"/>
          <w:sz w:val="26"/>
          <w:rtl/>
          <w:lang w:eastAsia="en-US"/>
        </w:rPr>
        <w:pict w14:anchorId="57ED00C0">
          <v:shape id="_x0000_s1268" type="#_x0000_t202" style="position:absolute;left:0;text-align:left;margin-left:470.35pt;margin-top:7.1pt;width:1in;height:9pt;z-index:251660288" filled="f" stroked="f">
            <v:textbox inset="1mm,0,1mm,0">
              <w:txbxContent>
                <w:p w14:paraId="23C8A6A6" w14:textId="77777777" w:rsidR="00B73316" w:rsidRDefault="00B73316" w:rsidP="00B73316">
                  <w:pPr>
                    <w:spacing w:line="160" w:lineRule="exact"/>
                    <w:jc w:val="left"/>
                    <w:rPr>
                      <w:rFonts w:cs="Miriam" w:hint="cs"/>
                      <w:noProof/>
                      <w:sz w:val="18"/>
                      <w:szCs w:val="18"/>
                      <w:rtl/>
                    </w:rPr>
                  </w:pPr>
                  <w:r>
                    <w:rPr>
                      <w:rFonts w:cs="Miriam" w:hint="cs"/>
                      <w:sz w:val="18"/>
                      <w:szCs w:val="18"/>
                      <w:rtl/>
                    </w:rPr>
                    <w:t>תק' תשע"ב-2012</w:t>
                  </w:r>
                </w:p>
              </w:txbxContent>
            </v:textbox>
          </v:shape>
        </w:pict>
      </w:r>
      <w:r w:rsidRPr="00B73316">
        <w:rPr>
          <w:rStyle w:val="default"/>
          <w:rFonts w:cs="FrankRuehl" w:hint="cs"/>
          <w:rtl/>
        </w:rPr>
        <w:t>(ב2)</w:t>
      </w:r>
      <w:r w:rsidRPr="00B73316">
        <w:rPr>
          <w:rStyle w:val="default"/>
          <w:rFonts w:cs="FrankRuehl" w:hint="cs"/>
          <w:rtl/>
        </w:rPr>
        <w:tab/>
        <w:t>האם הושאל;</w:t>
      </w:r>
    </w:p>
    <w:p w14:paraId="7DD3575E" w14:textId="77777777" w:rsidR="00782DC3" w:rsidRDefault="00782DC3" w:rsidP="00782DC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כמות, מחיר ליחידה והשווי הכולל לתאריך הדוחות הכספיים;</w:t>
      </w:r>
    </w:p>
    <w:p w14:paraId="2FCBA7B0" w14:textId="77777777" w:rsidR="00782DC3" w:rsidRDefault="00782DC3" w:rsidP="00782DC3">
      <w:pPr>
        <w:pStyle w:val="P00"/>
        <w:spacing w:before="72"/>
        <w:ind w:left="1021" w:right="1134"/>
        <w:rPr>
          <w:rStyle w:val="default"/>
          <w:rFonts w:cs="FrankRuehl" w:hint="cs"/>
          <w:rtl/>
        </w:rPr>
      </w:pPr>
      <w:r>
        <w:rPr>
          <w:rStyle w:val="default"/>
          <w:rFonts w:cs="FrankRuehl" w:hint="cs"/>
          <w:rtl/>
        </w:rPr>
        <w:t>בסוף רשימת הפריטים הנכללים בכל סוג של הנכסים וההתחייבויות יצוינו סיכומי ביניים של השווי הכולל של כל הפריטים ברשימה; כן יצוין סיכום של השווי הכולל של כל נכסי הקרן והתחייבויותיה;</w:t>
      </w:r>
    </w:p>
    <w:p w14:paraId="32ECCC33" w14:textId="77777777" w:rsidR="00782DC3" w:rsidRDefault="00B73316" w:rsidP="00782DC3">
      <w:pPr>
        <w:pStyle w:val="P00"/>
        <w:spacing w:before="72"/>
        <w:ind w:left="624" w:right="1134"/>
        <w:rPr>
          <w:rStyle w:val="default"/>
          <w:rFonts w:cs="FrankRuehl" w:hint="cs"/>
          <w:rtl/>
        </w:rPr>
      </w:pPr>
      <w:r>
        <w:rPr>
          <w:rFonts w:cs="FrankRuehl" w:hint="cs"/>
          <w:sz w:val="26"/>
          <w:rtl/>
          <w:lang w:eastAsia="en-US"/>
        </w:rPr>
        <w:pict w14:anchorId="3A42A6C8">
          <v:shape id="_x0000_s1271" type="#_x0000_t202" style="position:absolute;left:0;text-align:left;margin-left:470.35pt;margin-top:7.1pt;width:1in;height:9pt;z-index:251661312" filled="f" stroked="f">
            <v:textbox style="mso-next-textbox:#_x0000_s1271" inset="1mm,0,1mm,0">
              <w:txbxContent>
                <w:p w14:paraId="60DBA44D" w14:textId="77777777" w:rsidR="00B73316" w:rsidRDefault="00B73316" w:rsidP="00B73316">
                  <w:pPr>
                    <w:spacing w:line="160" w:lineRule="exact"/>
                    <w:jc w:val="left"/>
                    <w:rPr>
                      <w:rFonts w:cs="Miriam" w:hint="cs"/>
                      <w:noProof/>
                      <w:sz w:val="18"/>
                      <w:szCs w:val="18"/>
                      <w:rtl/>
                    </w:rPr>
                  </w:pPr>
                  <w:r>
                    <w:rPr>
                      <w:rFonts w:cs="Miriam" w:hint="cs"/>
                      <w:sz w:val="18"/>
                      <w:szCs w:val="18"/>
                      <w:rtl/>
                    </w:rPr>
                    <w:t>תק' תשע"ב-2012</w:t>
                  </w:r>
                </w:p>
              </w:txbxContent>
            </v:textbox>
          </v:shape>
        </w:pict>
      </w:r>
      <w:r w:rsidR="00782DC3">
        <w:rPr>
          <w:rStyle w:val="default"/>
          <w:rFonts w:cs="FrankRuehl" w:hint="cs"/>
          <w:rtl/>
        </w:rPr>
        <w:t>(2)</w:t>
      </w:r>
      <w:r w:rsidR="00782DC3">
        <w:rPr>
          <w:rStyle w:val="default"/>
          <w:rFonts w:cs="FrankRuehl" w:hint="cs"/>
          <w:rtl/>
        </w:rPr>
        <w:tab/>
      </w:r>
      <w:r w:rsidRPr="00B73316">
        <w:rPr>
          <w:rStyle w:val="default"/>
          <w:rFonts w:cs="FrankRuehl" w:hint="cs"/>
          <w:rtl/>
        </w:rPr>
        <w:t xml:space="preserve">למעט באגד קרנות </w:t>
      </w:r>
      <w:r w:rsidRPr="00B73316">
        <w:rPr>
          <w:rStyle w:val="default"/>
          <w:rFonts w:cs="FrankRuehl"/>
          <w:rtl/>
        </w:rPr>
        <w:t>–</w:t>
      </w:r>
      <w:r w:rsidRPr="00B73316">
        <w:rPr>
          <w:rStyle w:val="default"/>
          <w:rFonts w:cs="FrankRuehl" w:hint="cs"/>
          <w:rtl/>
        </w:rPr>
        <w:t xml:space="preserve"> </w:t>
      </w:r>
      <w:r w:rsidR="00782DC3">
        <w:rPr>
          <w:rStyle w:val="default"/>
          <w:rFonts w:cs="FrankRuehl" w:hint="cs"/>
          <w:rtl/>
        </w:rPr>
        <w:t>מידת החשיפה ושיעור החשיפה של הקרן לאיגרות חוב, למניות ולמטבע חוץ, לתאריך הדוחות הכספיים;</w:t>
      </w:r>
    </w:p>
    <w:p w14:paraId="4162A262" w14:textId="77777777" w:rsidR="00782DC3" w:rsidRDefault="00B73316" w:rsidP="00B73316">
      <w:pPr>
        <w:pStyle w:val="P00"/>
        <w:spacing w:before="72"/>
        <w:ind w:left="624" w:right="1134"/>
        <w:rPr>
          <w:rStyle w:val="default"/>
          <w:rFonts w:cs="FrankRuehl" w:hint="cs"/>
          <w:rtl/>
        </w:rPr>
      </w:pPr>
      <w:r>
        <w:rPr>
          <w:rFonts w:cs="FrankRuehl" w:hint="cs"/>
          <w:sz w:val="26"/>
          <w:rtl/>
          <w:lang w:eastAsia="en-US"/>
        </w:rPr>
        <w:pict w14:anchorId="2A05291D">
          <v:shape id="_x0000_s1274" type="#_x0000_t202" style="position:absolute;left:0;text-align:left;margin-left:470.35pt;margin-top:7.1pt;width:1in;height:9pt;z-index:251662336" filled="f" stroked="f">
            <v:textbox inset="1mm,0,1mm,0">
              <w:txbxContent>
                <w:p w14:paraId="152E5BEC" w14:textId="77777777" w:rsidR="00B73316" w:rsidRDefault="00B73316" w:rsidP="00B73316">
                  <w:pPr>
                    <w:spacing w:line="160" w:lineRule="exact"/>
                    <w:jc w:val="left"/>
                    <w:rPr>
                      <w:rFonts w:cs="Miriam" w:hint="cs"/>
                      <w:noProof/>
                      <w:sz w:val="18"/>
                      <w:szCs w:val="18"/>
                      <w:rtl/>
                    </w:rPr>
                  </w:pPr>
                  <w:r>
                    <w:rPr>
                      <w:rFonts w:cs="Miriam" w:hint="cs"/>
                      <w:sz w:val="18"/>
                      <w:szCs w:val="18"/>
                      <w:rtl/>
                    </w:rPr>
                    <w:t>תק' תשע"ב-2012</w:t>
                  </w:r>
                </w:p>
              </w:txbxContent>
            </v:textbox>
          </v:shape>
        </w:pict>
      </w:r>
      <w:r w:rsidR="00782DC3">
        <w:rPr>
          <w:rStyle w:val="default"/>
          <w:rFonts w:cs="FrankRuehl" w:hint="cs"/>
          <w:rtl/>
        </w:rPr>
        <w:t>(3)</w:t>
      </w:r>
      <w:r w:rsidR="00782DC3">
        <w:rPr>
          <w:rStyle w:val="default"/>
          <w:rFonts w:cs="FrankRuehl" w:hint="cs"/>
          <w:rtl/>
        </w:rPr>
        <w:tab/>
        <w:t xml:space="preserve">מחיר הפדיון הנגזר מהשווי הנקי של נכסי הקרן לתאריך הדוחות הכספיים ומחיר פדיון ליום המסחר האחרון של הקרן בשנת הכספים כפי שפורסם בגיליון השערים היומי של הבורסה לפי תקנות ההשקעות המשותפות בנאמנות (פרסום מחיר יחידה ומחיר פדיון בקרן פתוחה ומחיר יחידה ושוויה בקרן סגורה), התשנ"ה-1994; היה הפרש בין מחיר הפדיון הנגזר לבין מחיר הפדיון שהתפרסם בגיליון השערים כאמור, </w:t>
      </w:r>
      <w:r w:rsidRPr="00B73316">
        <w:rPr>
          <w:rStyle w:val="default"/>
          <w:rFonts w:cs="FrankRuehl" w:hint="cs"/>
          <w:rtl/>
        </w:rPr>
        <w:t>יצורף הסבר ההפרש ותחשיב</w:t>
      </w:r>
      <w:r w:rsidR="00782DC3">
        <w:rPr>
          <w:rStyle w:val="default"/>
          <w:rFonts w:cs="FrankRuehl" w:hint="cs"/>
          <w:rtl/>
        </w:rPr>
        <w:t xml:space="preserve"> מפורט להסבר ההפרש</w:t>
      </w:r>
      <w:r>
        <w:rPr>
          <w:rStyle w:val="default"/>
          <w:rFonts w:cs="FrankRuehl" w:hint="cs"/>
          <w:rtl/>
        </w:rPr>
        <w:t xml:space="preserve"> </w:t>
      </w:r>
      <w:r w:rsidRPr="00B73316">
        <w:rPr>
          <w:rStyle w:val="default"/>
          <w:rFonts w:cs="FrankRuehl" w:hint="cs"/>
          <w:rtl/>
        </w:rPr>
        <w:t>תוך התייחסות נפרדת להפרש הנובע מהפרשי עיתוי, בציון עובדה זו, ולהפרש הנובע מסיבות אחרות</w:t>
      </w:r>
      <w:r w:rsidR="00782DC3">
        <w:rPr>
          <w:rStyle w:val="default"/>
          <w:rFonts w:cs="FrankRuehl" w:hint="cs"/>
          <w:rtl/>
        </w:rPr>
        <w:t>;</w:t>
      </w:r>
    </w:p>
    <w:p w14:paraId="7FFC6BFB" w14:textId="77777777" w:rsidR="00782DC3" w:rsidRDefault="00782DC3" w:rsidP="00782DC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הוצאות כאמור בסעיף 80(ב) לחוק, שנפרעו מנכסי הקרן במהלך שנת הכספים;</w:t>
      </w:r>
    </w:p>
    <w:p w14:paraId="11C768FC" w14:textId="77777777" w:rsidR="00782DC3" w:rsidRDefault="00E326F5" w:rsidP="00E326F5">
      <w:pPr>
        <w:pStyle w:val="P00"/>
        <w:spacing w:before="72"/>
        <w:ind w:left="624" w:right="1134"/>
        <w:rPr>
          <w:rStyle w:val="default"/>
          <w:rFonts w:cs="FrankRuehl" w:hint="cs"/>
          <w:rtl/>
        </w:rPr>
      </w:pPr>
      <w:r>
        <w:rPr>
          <w:rFonts w:cs="FrankRuehl" w:hint="cs"/>
          <w:sz w:val="26"/>
          <w:rtl/>
          <w:lang w:eastAsia="en-US"/>
        </w:rPr>
        <w:pict w14:anchorId="23070AF0">
          <v:shape id="_x0000_s1291" type="#_x0000_t202" style="position:absolute;left:0;text-align:left;margin-left:470.35pt;margin-top:7.1pt;width:1in;height:9pt;z-index:251668480" filled="f" stroked="f">
            <v:textbox inset="1mm,0,1mm,0">
              <w:txbxContent>
                <w:p w14:paraId="1701DFFD" w14:textId="77777777" w:rsidR="00E326F5" w:rsidRDefault="00E326F5" w:rsidP="00E326F5">
                  <w:pPr>
                    <w:spacing w:line="160" w:lineRule="exact"/>
                    <w:jc w:val="left"/>
                    <w:rPr>
                      <w:rFonts w:cs="Miriam" w:hint="cs"/>
                      <w:noProof/>
                      <w:sz w:val="18"/>
                      <w:szCs w:val="18"/>
                      <w:rtl/>
                    </w:rPr>
                  </w:pPr>
                  <w:r>
                    <w:rPr>
                      <w:rFonts w:cs="Miriam" w:hint="cs"/>
                      <w:sz w:val="18"/>
                      <w:szCs w:val="18"/>
                      <w:rtl/>
                    </w:rPr>
                    <w:t>תק' תשע"ד-2014</w:t>
                  </w:r>
                </w:p>
              </w:txbxContent>
            </v:textbox>
          </v:shape>
        </w:pict>
      </w:r>
      <w:r w:rsidR="00782DC3">
        <w:rPr>
          <w:rStyle w:val="default"/>
          <w:rFonts w:cs="FrankRuehl" w:hint="cs"/>
          <w:rtl/>
        </w:rPr>
        <w:t>(5)</w:t>
      </w:r>
      <w:r w:rsidR="00782DC3">
        <w:rPr>
          <w:rStyle w:val="default"/>
          <w:rFonts w:cs="FrankRuehl" w:hint="cs"/>
          <w:rtl/>
        </w:rPr>
        <w:tab/>
        <w:t xml:space="preserve">כל פרט, מידע או הבהרה נוספים, אשר בהעדרם לא ישקפו הדוחות הכספיים והביאורים לדוחות הכספיים באופן נאות, בהתאם </w:t>
      </w:r>
      <w:r w:rsidRPr="00E326F5">
        <w:rPr>
          <w:rStyle w:val="default"/>
          <w:rFonts w:cs="FrankRuehl" w:hint="cs"/>
          <w:rtl/>
        </w:rPr>
        <w:t>לכללי חשבונאות מקובלים ותקנות אלה</w:t>
      </w:r>
      <w:r w:rsidR="00782DC3">
        <w:rPr>
          <w:rStyle w:val="default"/>
          <w:rFonts w:cs="FrankRuehl" w:hint="cs"/>
          <w:rtl/>
        </w:rPr>
        <w:t>, את מצב הקרן לתאריך הדוחות הכספיים ואת תוצאות פעילותה בשנת הכספים.</w:t>
      </w:r>
    </w:p>
    <w:p w14:paraId="2A133522" w14:textId="77777777" w:rsidR="00B73316" w:rsidRPr="00E326F5" w:rsidRDefault="00B73316" w:rsidP="00B73316">
      <w:pPr>
        <w:pStyle w:val="P00"/>
        <w:spacing w:before="0"/>
        <w:ind w:left="624" w:right="1134"/>
        <w:rPr>
          <w:rStyle w:val="default"/>
          <w:rFonts w:cs="FrankRuehl" w:hint="cs"/>
          <w:vanish/>
          <w:color w:val="FF0000"/>
          <w:sz w:val="20"/>
          <w:szCs w:val="20"/>
          <w:shd w:val="clear" w:color="auto" w:fill="FFFF99"/>
          <w:rtl/>
        </w:rPr>
      </w:pPr>
      <w:bookmarkStart w:id="11" w:name="Rov18"/>
      <w:r w:rsidRPr="00E326F5">
        <w:rPr>
          <w:rStyle w:val="default"/>
          <w:rFonts w:cs="FrankRuehl" w:hint="cs"/>
          <w:vanish/>
          <w:color w:val="FF0000"/>
          <w:sz w:val="20"/>
          <w:szCs w:val="20"/>
          <w:shd w:val="clear" w:color="auto" w:fill="FFFF99"/>
          <w:rtl/>
        </w:rPr>
        <w:t>מיום 5.2.2012</w:t>
      </w:r>
    </w:p>
    <w:p w14:paraId="3DEA2BEC" w14:textId="77777777" w:rsidR="00B73316" w:rsidRPr="00E326F5" w:rsidRDefault="00B73316" w:rsidP="00B73316">
      <w:pPr>
        <w:pStyle w:val="P00"/>
        <w:spacing w:before="0"/>
        <w:ind w:left="624"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תשע"ב-2012</w:t>
      </w:r>
    </w:p>
    <w:p w14:paraId="5BA3DD04" w14:textId="77777777" w:rsidR="00B73316" w:rsidRPr="00E326F5" w:rsidRDefault="00B73316" w:rsidP="00B73316">
      <w:pPr>
        <w:pStyle w:val="P00"/>
        <w:spacing w:before="0"/>
        <w:ind w:left="624" w:right="1134"/>
        <w:rPr>
          <w:rStyle w:val="default"/>
          <w:rFonts w:cs="FrankRuehl" w:hint="cs"/>
          <w:vanish/>
          <w:sz w:val="20"/>
          <w:szCs w:val="20"/>
          <w:shd w:val="clear" w:color="auto" w:fill="FFFF99"/>
          <w:rtl/>
        </w:rPr>
      </w:pPr>
      <w:hyperlink r:id="rId16" w:history="1">
        <w:r w:rsidRPr="00E326F5">
          <w:rPr>
            <w:rStyle w:val="Hyperlink"/>
            <w:rFonts w:cs="FrankRuehl" w:hint="cs"/>
            <w:vanish/>
            <w:szCs w:val="20"/>
            <w:shd w:val="clear" w:color="auto" w:fill="FFFF99"/>
            <w:rtl/>
          </w:rPr>
          <w:t>ק"ת תשע"ב מס' 7087</w:t>
        </w:r>
      </w:hyperlink>
      <w:r w:rsidRPr="00E326F5">
        <w:rPr>
          <w:rStyle w:val="default"/>
          <w:rFonts w:cs="FrankRuehl" w:hint="cs"/>
          <w:vanish/>
          <w:sz w:val="20"/>
          <w:szCs w:val="20"/>
          <w:shd w:val="clear" w:color="auto" w:fill="FFFF99"/>
          <w:rtl/>
        </w:rPr>
        <w:t xml:space="preserve"> מיום 5.2.2012 עמ' 738</w:t>
      </w:r>
    </w:p>
    <w:p w14:paraId="3862CBF4" w14:textId="77777777" w:rsidR="00B73316" w:rsidRPr="00E326F5" w:rsidRDefault="00B73316" w:rsidP="00B73316">
      <w:pPr>
        <w:pStyle w:val="P00"/>
        <w:ind w:left="624"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(1)</w:t>
      </w:r>
      <w:r w:rsidRPr="00E326F5">
        <w:rPr>
          <w:rStyle w:val="default"/>
          <w:rFonts w:cs="FrankRuehl" w:hint="cs"/>
          <w:vanish/>
          <w:sz w:val="22"/>
          <w:szCs w:val="22"/>
          <w:shd w:val="clear" w:color="auto" w:fill="FFFF99"/>
          <w:rtl/>
        </w:rPr>
        <w:tab/>
        <w:t>רשימה מלאה ומפורטת של נכסי הקרן והתחייבויותיה, לרבות חוזים עתידיים, לתאריך הדוחות הכספיים; הרשימה תהיה ערוכה לפי סוגי נכסי הקרן והתחייבויותיה, ולגבי כל אחד מהפריטים בה יצוינו כל אלה:</w:t>
      </w:r>
    </w:p>
    <w:p w14:paraId="41371FE4" w14:textId="77777777" w:rsidR="00B73316" w:rsidRPr="00E326F5" w:rsidRDefault="00B73316" w:rsidP="00B73316">
      <w:pPr>
        <w:pStyle w:val="P00"/>
        <w:spacing w:before="0"/>
        <w:ind w:left="1021"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(א)</w:t>
      </w:r>
      <w:r w:rsidRPr="00E326F5">
        <w:rPr>
          <w:rStyle w:val="default"/>
          <w:rFonts w:cs="FrankRuehl" w:hint="cs"/>
          <w:vanish/>
          <w:sz w:val="22"/>
          <w:szCs w:val="22"/>
          <w:shd w:val="clear" w:color="auto" w:fill="FFFF99"/>
          <w:rtl/>
        </w:rPr>
        <w:tab/>
        <w:t>פרטים מזהים של ניירות הערך, האופציות והחוזים העתידיים, הכוללים שם מלא, סימול, מטבע ומקום המסחר;</w:t>
      </w:r>
    </w:p>
    <w:p w14:paraId="7ACF35E8" w14:textId="77777777" w:rsidR="00B73316" w:rsidRPr="00E326F5" w:rsidRDefault="00B73316" w:rsidP="00B73316">
      <w:pPr>
        <w:pStyle w:val="P00"/>
        <w:spacing w:before="0"/>
        <w:ind w:left="1021"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(ב)</w:t>
      </w:r>
      <w:r w:rsidRPr="00E326F5">
        <w:rPr>
          <w:rStyle w:val="default"/>
          <w:rFonts w:cs="FrankRuehl" w:hint="cs"/>
          <w:vanish/>
          <w:sz w:val="22"/>
          <w:szCs w:val="22"/>
          <w:shd w:val="clear" w:color="auto" w:fill="FFFF99"/>
          <w:rtl/>
        </w:rPr>
        <w:tab/>
        <w:t>האם הונפק על ידי בעל עניין במנהל הקרן או בנאמן;</w:t>
      </w:r>
    </w:p>
    <w:p w14:paraId="7A53FB71" w14:textId="77777777" w:rsidR="00B73316" w:rsidRPr="00E326F5" w:rsidRDefault="00B73316" w:rsidP="00B73316">
      <w:pPr>
        <w:pStyle w:val="P00"/>
        <w:spacing w:before="0"/>
        <w:ind w:left="1021" w:right="1134"/>
        <w:rPr>
          <w:rStyle w:val="default"/>
          <w:rFonts w:cs="FrankRuehl" w:hint="cs"/>
          <w:vanish/>
          <w:sz w:val="22"/>
          <w:szCs w:val="22"/>
          <w:u w:val="single"/>
          <w:shd w:val="clear" w:color="auto" w:fill="FFFF99"/>
          <w:rtl/>
        </w:rPr>
      </w:pPr>
      <w:r w:rsidRPr="00E326F5">
        <w:rPr>
          <w:rStyle w:val="default"/>
          <w:rFonts w:cs="FrankRuehl" w:hint="cs"/>
          <w:vanish/>
          <w:sz w:val="22"/>
          <w:szCs w:val="22"/>
          <w:u w:val="single"/>
          <w:shd w:val="clear" w:color="auto" w:fill="FFFF99"/>
          <w:rtl/>
        </w:rPr>
        <w:t>(ב1)</w:t>
      </w:r>
      <w:r w:rsidRPr="00E326F5">
        <w:rPr>
          <w:rStyle w:val="default"/>
          <w:rFonts w:cs="FrankRuehl" w:hint="cs"/>
          <w:vanish/>
          <w:sz w:val="22"/>
          <w:szCs w:val="22"/>
          <w:u w:val="single"/>
          <w:shd w:val="clear" w:color="auto" w:fill="FFFF99"/>
          <w:rtl/>
        </w:rPr>
        <w:tab/>
        <w:t>האם שוערך לפי הנחיות הדירקטוריון לקביעת שוויו של נכס בהתאם לתקנה 14ב לתקנות השקעות משותפות בנאמנות (מחירי קנייה ומכירה של נכסי קרן ושווי נכסי קרן), התשנ"ה-1994;</w:t>
      </w:r>
    </w:p>
    <w:p w14:paraId="02E20921" w14:textId="77777777" w:rsidR="00B73316" w:rsidRPr="00E326F5" w:rsidRDefault="00B73316" w:rsidP="00B73316">
      <w:pPr>
        <w:pStyle w:val="P00"/>
        <w:spacing w:before="0"/>
        <w:ind w:left="1021" w:right="1134"/>
        <w:rPr>
          <w:rStyle w:val="default"/>
          <w:rFonts w:cs="FrankRuehl" w:hint="cs"/>
          <w:vanish/>
          <w:sz w:val="22"/>
          <w:szCs w:val="22"/>
          <w:u w:val="single"/>
          <w:shd w:val="clear" w:color="auto" w:fill="FFFF99"/>
          <w:rtl/>
        </w:rPr>
      </w:pPr>
      <w:r w:rsidRPr="00E326F5">
        <w:rPr>
          <w:rStyle w:val="default"/>
          <w:rFonts w:cs="FrankRuehl" w:hint="cs"/>
          <w:vanish/>
          <w:sz w:val="22"/>
          <w:szCs w:val="22"/>
          <w:u w:val="single"/>
          <w:shd w:val="clear" w:color="auto" w:fill="FFFF99"/>
          <w:rtl/>
        </w:rPr>
        <w:t>(ב2)</w:t>
      </w:r>
      <w:r w:rsidRPr="00E326F5">
        <w:rPr>
          <w:rStyle w:val="default"/>
          <w:rFonts w:cs="FrankRuehl" w:hint="cs"/>
          <w:vanish/>
          <w:sz w:val="22"/>
          <w:szCs w:val="22"/>
          <w:u w:val="single"/>
          <w:shd w:val="clear" w:color="auto" w:fill="FFFF99"/>
          <w:rtl/>
        </w:rPr>
        <w:tab/>
        <w:t>האם הושאל;</w:t>
      </w:r>
    </w:p>
    <w:p w14:paraId="3484D9D5" w14:textId="77777777" w:rsidR="00B73316" w:rsidRPr="00E326F5" w:rsidRDefault="00B73316" w:rsidP="00B73316">
      <w:pPr>
        <w:pStyle w:val="P00"/>
        <w:spacing w:before="0"/>
        <w:ind w:left="1021"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(ג)</w:t>
      </w:r>
      <w:r w:rsidRPr="00E326F5">
        <w:rPr>
          <w:rStyle w:val="default"/>
          <w:rFonts w:cs="FrankRuehl" w:hint="cs"/>
          <w:vanish/>
          <w:sz w:val="22"/>
          <w:szCs w:val="22"/>
          <w:shd w:val="clear" w:color="auto" w:fill="FFFF99"/>
          <w:rtl/>
        </w:rPr>
        <w:tab/>
        <w:t>כמות, מחיר ליחידה והשווי הכולל לתאריך הדוחות הכספיים;</w:t>
      </w:r>
    </w:p>
    <w:p w14:paraId="67A5859D" w14:textId="77777777" w:rsidR="00B73316" w:rsidRPr="00E326F5" w:rsidRDefault="00B73316" w:rsidP="00B73316">
      <w:pPr>
        <w:pStyle w:val="P00"/>
        <w:spacing w:before="0"/>
        <w:ind w:left="1021"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בסוף רשימת הפריטים הנכללים בכל סוג של הנכסים וההתחייבויות יצוינו סיכומי ביניים של השווי הכולל של כל הפריטים ברשימה; כן יצוין סיכום של השווי הכולל של כל נכסי הקרן והתחייבויותיה;</w:t>
      </w:r>
    </w:p>
    <w:p w14:paraId="5403C295" w14:textId="77777777" w:rsidR="00B73316" w:rsidRPr="00E326F5" w:rsidRDefault="00B73316" w:rsidP="00B73316">
      <w:pPr>
        <w:pStyle w:val="P00"/>
        <w:spacing w:before="0"/>
        <w:ind w:left="624"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(2)</w:t>
      </w:r>
      <w:r w:rsidRPr="00E326F5">
        <w:rPr>
          <w:rStyle w:val="default"/>
          <w:rFonts w:cs="FrankRuehl" w:hint="cs"/>
          <w:vanish/>
          <w:sz w:val="22"/>
          <w:szCs w:val="22"/>
          <w:shd w:val="clear" w:color="auto" w:fill="FFFF99"/>
          <w:rtl/>
        </w:rPr>
        <w:tab/>
      </w:r>
      <w:r w:rsidRPr="00E326F5">
        <w:rPr>
          <w:rStyle w:val="default"/>
          <w:rFonts w:cs="FrankRuehl" w:hint="cs"/>
          <w:vanish/>
          <w:sz w:val="22"/>
          <w:szCs w:val="22"/>
          <w:u w:val="single"/>
          <w:shd w:val="clear" w:color="auto" w:fill="FFFF99"/>
          <w:rtl/>
        </w:rPr>
        <w:t xml:space="preserve">למעט באגד קרנות </w:t>
      </w:r>
      <w:r w:rsidRPr="00E326F5">
        <w:rPr>
          <w:rStyle w:val="default"/>
          <w:rFonts w:cs="FrankRuehl"/>
          <w:vanish/>
          <w:sz w:val="22"/>
          <w:szCs w:val="22"/>
          <w:u w:val="single"/>
          <w:shd w:val="clear" w:color="auto" w:fill="FFFF99"/>
          <w:rtl/>
        </w:rPr>
        <w:t>–</w:t>
      </w:r>
      <w:r w:rsidRPr="00E326F5">
        <w:rPr>
          <w:rStyle w:val="default"/>
          <w:rFonts w:cs="FrankRuehl" w:hint="cs"/>
          <w:vanish/>
          <w:sz w:val="22"/>
          <w:szCs w:val="22"/>
          <w:shd w:val="clear" w:color="auto" w:fill="FFFF99"/>
          <w:rtl/>
        </w:rPr>
        <w:t xml:space="preserve"> מידת החשיפה ושיעור החשיפה של הקרן לאיגרות חוב, למניות ולמטבע חוץ, לתאריך הדוחות הכספיים;</w:t>
      </w:r>
    </w:p>
    <w:p w14:paraId="2F4CB335" w14:textId="77777777" w:rsidR="00B73316" w:rsidRPr="00E326F5" w:rsidRDefault="00B73316" w:rsidP="00B73316">
      <w:pPr>
        <w:pStyle w:val="P00"/>
        <w:spacing w:before="0"/>
        <w:ind w:left="624"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(3)</w:t>
      </w:r>
      <w:r w:rsidRPr="00E326F5">
        <w:rPr>
          <w:rStyle w:val="default"/>
          <w:rFonts w:cs="FrankRuehl" w:hint="cs"/>
          <w:vanish/>
          <w:sz w:val="22"/>
          <w:szCs w:val="22"/>
          <w:shd w:val="clear" w:color="auto" w:fill="FFFF99"/>
          <w:rtl/>
        </w:rPr>
        <w:tab/>
        <w:t xml:space="preserve">מחיר הפדיון הנגזר מהשווי הנקי של נכסי הקרן לתאריך הדוחות הכספיים ומחיר פדיון ליום המסחר האחרון של הקרן בשנת הכספים כפי שפורסם בגיליון השערים היומי של הבורסה לפי תקנות ההשקעות המשותפות בנאמנות (פרסום מחיר יחידה ומחיר פדיון בקרן פתוחה ומחיר יחידה ושוויה בקרן סגורה), התשנ"ה-1994; היה הפרש בין מחיר הפדיון הנגזר לבין מחיר הפדיון שהתפרסם בגיליון השערים כאמור, </w:t>
      </w:r>
      <w:r w:rsidRPr="00E326F5">
        <w:rPr>
          <w:rStyle w:val="default"/>
          <w:rFonts w:cs="FrankRuehl" w:hint="cs"/>
          <w:strike/>
          <w:vanish/>
          <w:sz w:val="22"/>
          <w:szCs w:val="22"/>
          <w:shd w:val="clear" w:color="auto" w:fill="FFFF99"/>
          <w:rtl/>
        </w:rPr>
        <w:t>יצורף תחשיב</w:t>
      </w:r>
      <w:r w:rsidRPr="00E326F5">
        <w:rPr>
          <w:rStyle w:val="default"/>
          <w:rFonts w:cs="FrankRuehl" w:hint="cs"/>
          <w:vanish/>
          <w:sz w:val="22"/>
          <w:szCs w:val="22"/>
          <w:shd w:val="clear" w:color="auto" w:fill="FFFF99"/>
          <w:rtl/>
        </w:rPr>
        <w:t xml:space="preserve"> </w:t>
      </w:r>
      <w:r w:rsidRPr="00E326F5">
        <w:rPr>
          <w:rStyle w:val="default"/>
          <w:rFonts w:cs="FrankRuehl" w:hint="cs"/>
          <w:vanish/>
          <w:sz w:val="22"/>
          <w:szCs w:val="22"/>
          <w:u w:val="single"/>
          <w:shd w:val="clear" w:color="auto" w:fill="FFFF99"/>
          <w:rtl/>
        </w:rPr>
        <w:t>יצורף הסבר ההפרש ותחשיב</w:t>
      </w:r>
      <w:r w:rsidRPr="00E326F5">
        <w:rPr>
          <w:rStyle w:val="default"/>
          <w:rFonts w:cs="FrankRuehl" w:hint="cs"/>
          <w:vanish/>
          <w:sz w:val="22"/>
          <w:szCs w:val="22"/>
          <w:shd w:val="clear" w:color="auto" w:fill="FFFF99"/>
          <w:rtl/>
        </w:rPr>
        <w:t xml:space="preserve"> מפורט להסבר ההפרש </w:t>
      </w:r>
      <w:r w:rsidRPr="00E326F5">
        <w:rPr>
          <w:rStyle w:val="default"/>
          <w:rFonts w:cs="FrankRuehl" w:hint="cs"/>
          <w:vanish/>
          <w:sz w:val="22"/>
          <w:szCs w:val="22"/>
          <w:u w:val="single"/>
          <w:shd w:val="clear" w:color="auto" w:fill="FFFF99"/>
          <w:rtl/>
        </w:rPr>
        <w:t>תוך התייחסות נפרדת להפרש הנובע מהפרשי עיתוי, בציון עובדה זו, ולהפרש הנובע מסיבות אחרות</w:t>
      </w:r>
      <w:r w:rsidRPr="00E326F5">
        <w:rPr>
          <w:rStyle w:val="default"/>
          <w:rFonts w:cs="FrankRuehl" w:hint="cs"/>
          <w:vanish/>
          <w:sz w:val="22"/>
          <w:szCs w:val="22"/>
          <w:shd w:val="clear" w:color="auto" w:fill="FFFF99"/>
          <w:rtl/>
        </w:rPr>
        <w:t>;</w:t>
      </w:r>
    </w:p>
    <w:p w14:paraId="2C83D35E" w14:textId="77777777" w:rsidR="00E326F5" w:rsidRPr="00E326F5" w:rsidRDefault="00E326F5" w:rsidP="00E326F5">
      <w:pPr>
        <w:pStyle w:val="P00"/>
        <w:spacing w:before="0"/>
        <w:ind w:left="624" w:right="1134"/>
        <w:rPr>
          <w:rStyle w:val="default"/>
          <w:rFonts w:cs="FrankRuehl" w:hint="cs"/>
          <w:vanish/>
          <w:sz w:val="20"/>
          <w:szCs w:val="20"/>
          <w:shd w:val="clear" w:color="auto" w:fill="FFFF99"/>
          <w:rtl/>
        </w:rPr>
      </w:pPr>
    </w:p>
    <w:p w14:paraId="58509231" w14:textId="77777777" w:rsidR="00E326F5" w:rsidRPr="00E326F5" w:rsidRDefault="00E326F5" w:rsidP="00E326F5">
      <w:pPr>
        <w:pStyle w:val="P00"/>
        <w:spacing w:before="0"/>
        <w:ind w:left="624" w:right="1134"/>
        <w:rPr>
          <w:rStyle w:val="default"/>
          <w:rFonts w:cs="FrankRuehl" w:hint="cs"/>
          <w:vanish/>
          <w:color w:val="FF0000"/>
          <w:sz w:val="20"/>
          <w:szCs w:val="20"/>
          <w:shd w:val="clear" w:color="auto" w:fill="FFFF99"/>
          <w:rtl/>
        </w:rPr>
      </w:pPr>
      <w:r w:rsidRPr="00E326F5">
        <w:rPr>
          <w:rStyle w:val="default"/>
          <w:rFonts w:cs="FrankRuehl" w:hint="cs"/>
          <w:vanish/>
          <w:color w:val="FF0000"/>
          <w:sz w:val="20"/>
          <w:szCs w:val="20"/>
          <w:shd w:val="clear" w:color="auto" w:fill="FFFF99"/>
          <w:rtl/>
        </w:rPr>
        <w:t>מיום 29.7.2014</w:t>
      </w:r>
    </w:p>
    <w:p w14:paraId="260541DC" w14:textId="77777777" w:rsidR="00E326F5" w:rsidRPr="00E326F5" w:rsidRDefault="00E326F5" w:rsidP="00E326F5">
      <w:pPr>
        <w:pStyle w:val="P00"/>
        <w:spacing w:before="0"/>
        <w:ind w:left="624"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תשע"ד-2014</w:t>
      </w:r>
    </w:p>
    <w:p w14:paraId="32BC6984" w14:textId="77777777" w:rsidR="00E326F5" w:rsidRPr="00E326F5" w:rsidRDefault="00E326F5" w:rsidP="00E326F5">
      <w:pPr>
        <w:pStyle w:val="P00"/>
        <w:spacing w:before="0"/>
        <w:ind w:left="624" w:right="1134"/>
        <w:rPr>
          <w:rStyle w:val="default"/>
          <w:rFonts w:cs="FrankRuehl" w:hint="cs"/>
          <w:vanish/>
          <w:sz w:val="20"/>
          <w:szCs w:val="20"/>
          <w:shd w:val="clear" w:color="auto" w:fill="FFFF99"/>
          <w:rtl/>
        </w:rPr>
      </w:pPr>
      <w:hyperlink r:id="rId17" w:history="1">
        <w:r w:rsidRPr="00E326F5">
          <w:rPr>
            <w:rStyle w:val="Hyperlink"/>
            <w:rFonts w:cs="FrankRuehl" w:hint="cs"/>
            <w:vanish/>
            <w:szCs w:val="20"/>
            <w:shd w:val="clear" w:color="auto" w:fill="FFFF99"/>
            <w:rtl/>
          </w:rPr>
          <w:t>ק"ת תשע"ד מס' 7401</w:t>
        </w:r>
      </w:hyperlink>
      <w:r w:rsidRPr="00E326F5">
        <w:rPr>
          <w:rStyle w:val="default"/>
          <w:rFonts w:cs="FrankRuehl" w:hint="cs"/>
          <w:vanish/>
          <w:sz w:val="20"/>
          <w:szCs w:val="20"/>
          <w:shd w:val="clear" w:color="auto" w:fill="FFFF99"/>
          <w:rtl/>
        </w:rPr>
        <w:t xml:space="preserve"> מיום 29.7.2014 עמ' 1550</w:t>
      </w:r>
    </w:p>
    <w:p w14:paraId="0128C992" w14:textId="77777777" w:rsidR="00E326F5" w:rsidRPr="00E326F5" w:rsidRDefault="00E326F5" w:rsidP="00E326F5">
      <w:pPr>
        <w:pStyle w:val="P00"/>
        <w:ind w:left="624" w:right="1134"/>
        <w:rPr>
          <w:rStyle w:val="default"/>
          <w:rFonts w:cs="FrankRuehl" w:hint="cs"/>
          <w:sz w:val="2"/>
          <w:szCs w:val="2"/>
          <w:rtl/>
        </w:rPr>
      </w:pPr>
      <w:r w:rsidRPr="00E326F5">
        <w:rPr>
          <w:rStyle w:val="default"/>
          <w:rFonts w:cs="FrankRuehl" w:hint="cs"/>
          <w:vanish/>
          <w:sz w:val="22"/>
          <w:szCs w:val="22"/>
          <w:shd w:val="clear" w:color="auto" w:fill="FFFF99"/>
          <w:rtl/>
        </w:rPr>
        <w:t>(5)</w:t>
      </w:r>
      <w:r w:rsidRPr="00E326F5">
        <w:rPr>
          <w:rStyle w:val="default"/>
          <w:rFonts w:cs="FrankRuehl" w:hint="cs"/>
          <w:vanish/>
          <w:sz w:val="22"/>
          <w:szCs w:val="22"/>
          <w:shd w:val="clear" w:color="auto" w:fill="FFFF99"/>
          <w:rtl/>
        </w:rPr>
        <w:tab/>
        <w:t xml:space="preserve">כל פרט, מידע או הבהרה נוספים, אשר בהעדרם לא ישקפו הדוחות הכספיים והביאורים לדוחות הכספיים באופן נאות, בהתאם </w:t>
      </w:r>
      <w:r w:rsidRPr="00E326F5">
        <w:rPr>
          <w:rStyle w:val="default"/>
          <w:rFonts w:cs="FrankRuehl" w:hint="cs"/>
          <w:strike/>
          <w:vanish/>
          <w:sz w:val="22"/>
          <w:szCs w:val="22"/>
          <w:shd w:val="clear" w:color="auto" w:fill="FFFF99"/>
          <w:rtl/>
        </w:rPr>
        <w:t>לתקני דיווח כספי בין-לאומיים</w:t>
      </w:r>
      <w:r w:rsidRPr="00E326F5">
        <w:rPr>
          <w:rStyle w:val="default"/>
          <w:rFonts w:cs="FrankRuehl" w:hint="cs"/>
          <w:vanish/>
          <w:sz w:val="22"/>
          <w:szCs w:val="22"/>
          <w:shd w:val="clear" w:color="auto" w:fill="FFFF99"/>
          <w:rtl/>
        </w:rPr>
        <w:t xml:space="preserve"> </w:t>
      </w:r>
      <w:r w:rsidRPr="00E326F5">
        <w:rPr>
          <w:rStyle w:val="default"/>
          <w:rFonts w:cs="FrankRuehl" w:hint="cs"/>
          <w:vanish/>
          <w:sz w:val="22"/>
          <w:szCs w:val="22"/>
          <w:u w:val="single"/>
          <w:shd w:val="clear" w:color="auto" w:fill="FFFF99"/>
          <w:rtl/>
        </w:rPr>
        <w:t>לכללי חשבונאות מקובלים ותקנות אלה</w:t>
      </w:r>
      <w:r w:rsidRPr="00E326F5">
        <w:rPr>
          <w:rStyle w:val="default"/>
          <w:rFonts w:cs="FrankRuehl" w:hint="cs"/>
          <w:vanish/>
          <w:sz w:val="22"/>
          <w:szCs w:val="22"/>
          <w:shd w:val="clear" w:color="auto" w:fill="FFFF99"/>
          <w:rtl/>
        </w:rPr>
        <w:t>, את מצב הקרן לתאריך הדוחות הכספיים ואת תוצאות פעילותה בשנת הכספים.</w:t>
      </w:r>
      <w:bookmarkEnd w:id="11"/>
    </w:p>
    <w:p w14:paraId="14C986A3" w14:textId="77777777" w:rsidR="00583639" w:rsidRDefault="00583639" w:rsidP="00782DC3">
      <w:pPr>
        <w:pStyle w:val="P00"/>
        <w:spacing w:before="72"/>
        <w:ind w:left="0" w:right="1134"/>
        <w:rPr>
          <w:rStyle w:val="default"/>
          <w:rFonts w:cs="FrankRuehl" w:hint="cs"/>
          <w:rtl/>
        </w:rPr>
      </w:pPr>
      <w:bookmarkStart w:id="12" w:name="Seif4"/>
      <w:bookmarkEnd w:id="12"/>
      <w:r>
        <w:rPr>
          <w:lang w:val="he-IL"/>
        </w:rPr>
        <w:pict w14:anchorId="603B6503">
          <v:rect id="_x0000_s1201" style="position:absolute;left:0;text-align:left;margin-left:464.5pt;margin-top:8.05pt;width:75.05pt;height:17.2pt;z-index:251650048" o:allowincell="f" filled="f" stroked="f" strokecolor="lime" strokeweight=".25pt">
            <v:textbox style="mso-next-textbox:#_x0000_s1201" inset="0,0,0,0">
              <w:txbxContent>
                <w:p w14:paraId="7DC175F7" w14:textId="77777777" w:rsidR="00C55FF6" w:rsidRDefault="00782DC3" w:rsidP="00583639">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6A75B5">
        <w:rPr>
          <w:rStyle w:val="big-number"/>
          <w:rFonts w:cs="Miriam" w:hint="cs"/>
          <w:rtl/>
        </w:rPr>
        <w:t>4</w:t>
      </w:r>
      <w:r>
        <w:rPr>
          <w:rStyle w:val="big-number"/>
          <w:rFonts w:cs="Miriam"/>
          <w:rtl/>
        </w:rPr>
        <w:t>.</w:t>
      </w:r>
      <w:r>
        <w:rPr>
          <w:rStyle w:val="big-number"/>
          <w:rFonts w:cs="Miriam"/>
          <w:rtl/>
        </w:rPr>
        <w:tab/>
      </w:r>
      <w:r w:rsidR="00782DC3">
        <w:rPr>
          <w:rStyle w:val="default"/>
          <w:rFonts w:cs="FrankRuehl" w:hint="cs"/>
          <w:rtl/>
        </w:rPr>
        <w:t xml:space="preserve">תקנות השקעות משותפות בנאמנות (עריכת דין וחשבון שנתי), התש"ל-1970 </w:t>
      </w:r>
      <w:r w:rsidR="00782DC3">
        <w:rPr>
          <w:rStyle w:val="default"/>
          <w:rFonts w:cs="FrankRuehl"/>
          <w:rtl/>
        </w:rPr>
        <w:t>–</w:t>
      </w:r>
      <w:r w:rsidR="00782DC3">
        <w:rPr>
          <w:rStyle w:val="default"/>
          <w:rFonts w:cs="FrankRuehl" w:hint="cs"/>
          <w:rtl/>
        </w:rPr>
        <w:t xml:space="preserve"> בטלות</w:t>
      </w:r>
      <w:r w:rsidR="006A75B5">
        <w:rPr>
          <w:rStyle w:val="default"/>
          <w:rFonts w:cs="FrankRuehl" w:hint="cs"/>
          <w:rtl/>
        </w:rPr>
        <w:t>.</w:t>
      </w:r>
    </w:p>
    <w:p w14:paraId="123ECF38" w14:textId="77777777" w:rsidR="00583639" w:rsidRDefault="00583639" w:rsidP="007F0616">
      <w:pPr>
        <w:pStyle w:val="P00"/>
        <w:spacing w:before="72"/>
        <w:ind w:left="0" w:right="1134"/>
        <w:rPr>
          <w:rStyle w:val="default"/>
          <w:rFonts w:cs="FrankRuehl" w:hint="cs"/>
          <w:rtl/>
        </w:rPr>
      </w:pPr>
      <w:bookmarkStart w:id="13" w:name="Seif5"/>
      <w:bookmarkEnd w:id="13"/>
      <w:r>
        <w:rPr>
          <w:lang w:val="he-IL"/>
        </w:rPr>
        <w:pict w14:anchorId="619F1D66">
          <v:rect id="_x0000_s1202" style="position:absolute;left:0;text-align:left;margin-left:464.5pt;margin-top:8.05pt;width:75.05pt;height:17.2pt;z-index:251651072" o:allowincell="f" filled="f" stroked="f" strokecolor="lime" strokeweight=".25pt">
            <v:textbox style="mso-next-textbox:#_x0000_s1202" inset="0,0,0,0">
              <w:txbxContent>
                <w:p w14:paraId="72938F02" w14:textId="77777777" w:rsidR="00C55FF6" w:rsidRDefault="007F0616" w:rsidP="00583639">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6A75B5">
        <w:rPr>
          <w:rStyle w:val="big-number"/>
          <w:rFonts w:cs="Miriam" w:hint="cs"/>
          <w:rtl/>
        </w:rPr>
        <w:t>5</w:t>
      </w:r>
      <w:r>
        <w:rPr>
          <w:rStyle w:val="big-number"/>
          <w:rFonts w:cs="Miriam"/>
          <w:rtl/>
        </w:rPr>
        <w:t>.</w:t>
      </w:r>
      <w:r>
        <w:rPr>
          <w:rStyle w:val="big-number"/>
          <w:rFonts w:cs="Miriam"/>
          <w:rtl/>
        </w:rPr>
        <w:tab/>
      </w:r>
      <w:r w:rsidR="006A75B5">
        <w:rPr>
          <w:rStyle w:val="default"/>
          <w:rFonts w:cs="FrankRuehl" w:hint="cs"/>
          <w:rtl/>
        </w:rPr>
        <w:t>(א)</w:t>
      </w:r>
      <w:r w:rsidR="006A75B5">
        <w:rPr>
          <w:rStyle w:val="default"/>
          <w:rFonts w:cs="FrankRuehl" w:hint="cs"/>
          <w:rtl/>
        </w:rPr>
        <w:tab/>
      </w:r>
      <w:r w:rsidR="007F0616">
        <w:rPr>
          <w:rStyle w:val="default"/>
          <w:rFonts w:cs="FrankRuehl" w:hint="cs"/>
          <w:rtl/>
        </w:rPr>
        <w:t xml:space="preserve">תחילתן של תקנות אלה, למעט האמור בתקנות 2(ב) ו-3(5), ביום פרסומן או ביום תחילתן של תקנות השקעות משותפות בנאמנות (פרטי תשקיף של קרן, מבנהו וצורתו), התש"ע-2009 (להלן </w:t>
      </w:r>
      <w:r w:rsidR="007F0616">
        <w:rPr>
          <w:rStyle w:val="default"/>
          <w:rFonts w:cs="FrankRuehl"/>
          <w:rtl/>
        </w:rPr>
        <w:t>–</w:t>
      </w:r>
      <w:r w:rsidR="007F0616">
        <w:rPr>
          <w:rStyle w:val="default"/>
          <w:rFonts w:cs="FrankRuehl" w:hint="cs"/>
          <w:rtl/>
        </w:rPr>
        <w:t xml:space="preserve"> מועד התחילה), לפי המאוחר.</w:t>
      </w:r>
    </w:p>
    <w:p w14:paraId="0EA05892" w14:textId="77777777" w:rsidR="007F0616" w:rsidRDefault="00B73316" w:rsidP="00E326F5">
      <w:pPr>
        <w:pStyle w:val="P00"/>
        <w:spacing w:before="72"/>
        <w:ind w:left="0" w:right="1134"/>
        <w:rPr>
          <w:rStyle w:val="default"/>
          <w:rFonts w:cs="FrankRuehl" w:hint="cs"/>
          <w:rtl/>
        </w:rPr>
      </w:pPr>
      <w:r>
        <w:rPr>
          <w:rFonts w:cs="FrankRuehl" w:hint="cs"/>
          <w:sz w:val="26"/>
          <w:rtl/>
          <w:lang w:eastAsia="en-US"/>
        </w:rPr>
        <w:pict w14:anchorId="3037AED1">
          <v:shape id="_x0000_s1277" type="#_x0000_t202" style="position:absolute;left:0;text-align:left;margin-left:470.35pt;margin-top:7.1pt;width:1in;height:9pt;z-index:251663360" filled="f" stroked="f">
            <v:textbox inset="1mm,0,1mm,0">
              <w:txbxContent>
                <w:p w14:paraId="53EDB0E1" w14:textId="77777777" w:rsidR="00B73316" w:rsidRDefault="00B73316" w:rsidP="00E326F5">
                  <w:pPr>
                    <w:spacing w:line="160" w:lineRule="exact"/>
                    <w:jc w:val="left"/>
                    <w:rPr>
                      <w:rFonts w:cs="Miriam" w:hint="cs"/>
                      <w:noProof/>
                      <w:sz w:val="18"/>
                      <w:szCs w:val="18"/>
                      <w:rtl/>
                    </w:rPr>
                  </w:pPr>
                  <w:r>
                    <w:rPr>
                      <w:rFonts w:cs="Miriam" w:hint="cs"/>
                      <w:sz w:val="18"/>
                      <w:szCs w:val="18"/>
                      <w:rtl/>
                    </w:rPr>
                    <w:t>תק' תשע"</w:t>
                  </w:r>
                  <w:r w:rsidR="00E326F5">
                    <w:rPr>
                      <w:rFonts w:cs="Miriam" w:hint="cs"/>
                      <w:sz w:val="18"/>
                      <w:szCs w:val="18"/>
                      <w:rtl/>
                    </w:rPr>
                    <w:t>ד-2014</w:t>
                  </w:r>
                </w:p>
              </w:txbxContent>
            </v:textbox>
          </v:shape>
        </w:pict>
      </w:r>
      <w:r w:rsidR="007F0616">
        <w:rPr>
          <w:rStyle w:val="default"/>
          <w:rFonts w:cs="FrankRuehl" w:hint="cs"/>
          <w:rtl/>
        </w:rPr>
        <w:tab/>
        <w:t>(ב)</w:t>
      </w:r>
      <w:r w:rsidR="007F0616">
        <w:rPr>
          <w:rStyle w:val="default"/>
          <w:rFonts w:cs="FrankRuehl" w:hint="cs"/>
          <w:rtl/>
        </w:rPr>
        <w:tab/>
      </w:r>
      <w:r w:rsidR="00E326F5">
        <w:rPr>
          <w:rStyle w:val="default"/>
          <w:rFonts w:cs="FrankRuehl" w:hint="cs"/>
          <w:rtl/>
        </w:rPr>
        <w:t>תחילתן של</w:t>
      </w:r>
      <w:r w:rsidR="007F0616">
        <w:rPr>
          <w:rStyle w:val="default"/>
          <w:rFonts w:cs="FrankRuehl" w:hint="cs"/>
          <w:rtl/>
        </w:rPr>
        <w:t xml:space="preserve"> 2(ב)</w:t>
      </w:r>
      <w:r w:rsidR="00E326F5">
        <w:rPr>
          <w:rStyle w:val="default"/>
          <w:rFonts w:cs="FrankRuehl" w:hint="cs"/>
          <w:rtl/>
        </w:rPr>
        <w:t xml:space="preserve"> לתקנות העיקריות כתיקונה בתקנה 2(1) לתקנות השקעות משותפות בנאמנות (דוחות כספיים של קרן) (תיקון), התשע"ד-2014 (להלן </w:t>
      </w:r>
      <w:r w:rsidR="00E326F5">
        <w:rPr>
          <w:rStyle w:val="default"/>
          <w:rFonts w:cs="FrankRuehl"/>
          <w:rtl/>
        </w:rPr>
        <w:t>–</w:t>
      </w:r>
      <w:r w:rsidR="00E326F5">
        <w:rPr>
          <w:rStyle w:val="default"/>
          <w:rFonts w:cs="FrankRuehl" w:hint="cs"/>
          <w:rtl/>
        </w:rPr>
        <w:t xml:space="preserve"> תיקון התשע"ד),</w:t>
      </w:r>
      <w:r w:rsidR="007F0616">
        <w:rPr>
          <w:rStyle w:val="default"/>
          <w:rFonts w:cs="FrankRuehl" w:hint="cs"/>
          <w:rtl/>
        </w:rPr>
        <w:t xml:space="preserve"> ו</w:t>
      </w:r>
      <w:r w:rsidR="00E326F5">
        <w:rPr>
          <w:rStyle w:val="default"/>
          <w:rFonts w:cs="FrankRuehl" w:hint="cs"/>
          <w:rtl/>
        </w:rPr>
        <w:t xml:space="preserve">תקנה </w:t>
      </w:r>
      <w:r w:rsidR="007F0616">
        <w:rPr>
          <w:rStyle w:val="default"/>
          <w:rFonts w:cs="FrankRuehl" w:hint="cs"/>
          <w:rtl/>
        </w:rPr>
        <w:t xml:space="preserve">3(5) </w:t>
      </w:r>
      <w:r w:rsidR="00E326F5">
        <w:rPr>
          <w:rStyle w:val="default"/>
          <w:rFonts w:cs="FrankRuehl" w:hint="cs"/>
          <w:rtl/>
        </w:rPr>
        <w:t>לתקנות העיקריות כתיקונה בתקנה 3 לתיקון התשע"ד ביום תחילתו של תיקון התשע"ד</w:t>
      </w:r>
      <w:r w:rsidR="007F0616">
        <w:rPr>
          <w:rStyle w:val="default"/>
          <w:rFonts w:cs="FrankRuehl" w:hint="cs"/>
          <w:rtl/>
        </w:rPr>
        <w:t>.</w:t>
      </w:r>
    </w:p>
    <w:p w14:paraId="3872A43B" w14:textId="77777777" w:rsidR="00B73316" w:rsidRPr="00E326F5" w:rsidRDefault="00B73316" w:rsidP="00B73316">
      <w:pPr>
        <w:pStyle w:val="P00"/>
        <w:spacing w:before="0"/>
        <w:ind w:left="0" w:right="1134"/>
        <w:rPr>
          <w:rStyle w:val="default"/>
          <w:rFonts w:cs="FrankRuehl" w:hint="cs"/>
          <w:vanish/>
          <w:color w:val="FF0000"/>
          <w:sz w:val="20"/>
          <w:szCs w:val="20"/>
          <w:shd w:val="clear" w:color="auto" w:fill="FFFF99"/>
          <w:rtl/>
        </w:rPr>
      </w:pPr>
      <w:bookmarkStart w:id="14" w:name="Rov19"/>
      <w:r w:rsidRPr="00E326F5">
        <w:rPr>
          <w:rStyle w:val="default"/>
          <w:rFonts w:cs="FrankRuehl" w:hint="cs"/>
          <w:vanish/>
          <w:color w:val="FF0000"/>
          <w:sz w:val="20"/>
          <w:szCs w:val="20"/>
          <w:shd w:val="clear" w:color="auto" w:fill="FFFF99"/>
          <w:rtl/>
        </w:rPr>
        <w:t>מיום 5.2.2012</w:t>
      </w:r>
    </w:p>
    <w:p w14:paraId="21133CB2" w14:textId="77777777" w:rsidR="00B73316" w:rsidRPr="00E326F5" w:rsidRDefault="00B73316" w:rsidP="00B73316">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תשע"ב-2012</w:t>
      </w:r>
    </w:p>
    <w:p w14:paraId="7A0C3EF2" w14:textId="77777777" w:rsidR="00B73316" w:rsidRPr="00E326F5" w:rsidRDefault="00B73316" w:rsidP="00B73316">
      <w:pPr>
        <w:pStyle w:val="P00"/>
        <w:spacing w:before="0"/>
        <w:ind w:left="0" w:right="1134"/>
        <w:rPr>
          <w:rStyle w:val="default"/>
          <w:rFonts w:cs="FrankRuehl" w:hint="cs"/>
          <w:vanish/>
          <w:sz w:val="20"/>
          <w:szCs w:val="20"/>
          <w:shd w:val="clear" w:color="auto" w:fill="FFFF99"/>
          <w:rtl/>
        </w:rPr>
      </w:pPr>
      <w:hyperlink r:id="rId18" w:history="1">
        <w:r w:rsidRPr="00E326F5">
          <w:rPr>
            <w:rStyle w:val="Hyperlink"/>
            <w:rFonts w:cs="FrankRuehl" w:hint="cs"/>
            <w:vanish/>
            <w:szCs w:val="20"/>
            <w:shd w:val="clear" w:color="auto" w:fill="FFFF99"/>
            <w:rtl/>
          </w:rPr>
          <w:t>ק"ת תשע"ב מס' 7087</w:t>
        </w:r>
      </w:hyperlink>
      <w:r w:rsidRPr="00E326F5">
        <w:rPr>
          <w:rStyle w:val="default"/>
          <w:rFonts w:cs="FrankRuehl" w:hint="cs"/>
          <w:vanish/>
          <w:sz w:val="20"/>
          <w:szCs w:val="20"/>
          <w:shd w:val="clear" w:color="auto" w:fill="FFFF99"/>
          <w:rtl/>
        </w:rPr>
        <w:t xml:space="preserve"> מיום 5.2.2012 עמ' 738</w:t>
      </w:r>
    </w:p>
    <w:p w14:paraId="42D7B24A" w14:textId="77777777" w:rsidR="00B73316" w:rsidRPr="00E326F5" w:rsidRDefault="00B73316" w:rsidP="00B73316">
      <w:pPr>
        <w:pStyle w:val="P00"/>
        <w:ind w:left="0" w:right="1134"/>
        <w:rPr>
          <w:rStyle w:val="default"/>
          <w:rFonts w:cs="FrankRuehl" w:hint="cs"/>
          <w:vanish/>
          <w:sz w:val="22"/>
          <w:szCs w:val="22"/>
          <w:shd w:val="clear" w:color="auto" w:fill="FFFF99"/>
          <w:rtl/>
        </w:rPr>
      </w:pPr>
      <w:r w:rsidRPr="00E326F5">
        <w:rPr>
          <w:rStyle w:val="default"/>
          <w:rFonts w:cs="FrankRuehl" w:hint="cs"/>
          <w:vanish/>
          <w:sz w:val="22"/>
          <w:szCs w:val="22"/>
          <w:shd w:val="clear" w:color="auto" w:fill="FFFF99"/>
          <w:rtl/>
        </w:rPr>
        <w:tab/>
        <w:t>(ב)</w:t>
      </w:r>
      <w:r w:rsidRPr="00E326F5">
        <w:rPr>
          <w:rStyle w:val="default"/>
          <w:rFonts w:cs="FrankRuehl" w:hint="cs"/>
          <w:vanish/>
          <w:sz w:val="22"/>
          <w:szCs w:val="22"/>
          <w:shd w:val="clear" w:color="auto" w:fill="FFFF99"/>
          <w:rtl/>
        </w:rPr>
        <w:tab/>
        <w:t xml:space="preserve">תקנות 2(ב) ו-3(5) יחולו לגבי דוחות כספיים לתקופות שתחילתן </w:t>
      </w:r>
      <w:r w:rsidRPr="00E326F5">
        <w:rPr>
          <w:rStyle w:val="default"/>
          <w:rFonts w:cs="FrankRuehl" w:hint="cs"/>
          <w:strike/>
          <w:vanish/>
          <w:sz w:val="22"/>
          <w:szCs w:val="22"/>
          <w:shd w:val="clear" w:color="auto" w:fill="FFFF99"/>
          <w:rtl/>
        </w:rPr>
        <w:t>ביום כ"ה בטבת התשע"א (1 בינואר 2011)</w:t>
      </w:r>
      <w:r w:rsidRPr="00E326F5">
        <w:rPr>
          <w:rStyle w:val="default"/>
          <w:rFonts w:cs="FrankRuehl" w:hint="cs"/>
          <w:vanish/>
          <w:sz w:val="22"/>
          <w:szCs w:val="22"/>
          <w:shd w:val="clear" w:color="auto" w:fill="FFFF99"/>
          <w:rtl/>
        </w:rPr>
        <w:t xml:space="preserve"> </w:t>
      </w:r>
      <w:r w:rsidRPr="00E326F5">
        <w:rPr>
          <w:rStyle w:val="default"/>
          <w:rFonts w:cs="FrankRuehl" w:hint="cs"/>
          <w:vanish/>
          <w:sz w:val="22"/>
          <w:szCs w:val="22"/>
          <w:u w:val="single"/>
          <w:shd w:val="clear" w:color="auto" w:fill="FFFF99"/>
          <w:rtl/>
        </w:rPr>
        <w:t>ביום כ' בטבת התשע"ו (1 בינואר 2016)</w:t>
      </w:r>
      <w:r w:rsidRPr="00E326F5">
        <w:rPr>
          <w:rStyle w:val="default"/>
          <w:rFonts w:cs="FrankRuehl" w:hint="cs"/>
          <w:vanish/>
          <w:sz w:val="22"/>
          <w:szCs w:val="22"/>
          <w:shd w:val="clear" w:color="auto" w:fill="FFFF99"/>
          <w:rtl/>
        </w:rPr>
        <w:t>.</w:t>
      </w:r>
    </w:p>
    <w:p w14:paraId="67DF9BC5"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p>
    <w:p w14:paraId="0867BB12" w14:textId="77777777" w:rsidR="00E326F5" w:rsidRPr="00E326F5" w:rsidRDefault="00E326F5" w:rsidP="00E326F5">
      <w:pPr>
        <w:pStyle w:val="P00"/>
        <w:spacing w:before="0"/>
        <w:ind w:left="0" w:right="1134"/>
        <w:rPr>
          <w:rStyle w:val="default"/>
          <w:rFonts w:cs="FrankRuehl" w:hint="cs"/>
          <w:vanish/>
          <w:color w:val="FF0000"/>
          <w:sz w:val="20"/>
          <w:szCs w:val="20"/>
          <w:shd w:val="clear" w:color="auto" w:fill="FFFF99"/>
          <w:rtl/>
        </w:rPr>
      </w:pPr>
      <w:r w:rsidRPr="00E326F5">
        <w:rPr>
          <w:rStyle w:val="default"/>
          <w:rFonts w:cs="FrankRuehl" w:hint="cs"/>
          <w:vanish/>
          <w:color w:val="FF0000"/>
          <w:sz w:val="20"/>
          <w:szCs w:val="20"/>
          <w:shd w:val="clear" w:color="auto" w:fill="FFFF99"/>
          <w:rtl/>
        </w:rPr>
        <w:t>מיום 29.7.2014</w:t>
      </w:r>
    </w:p>
    <w:p w14:paraId="0E80679A"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תק' תשע"ד-2014</w:t>
      </w:r>
    </w:p>
    <w:p w14:paraId="6F132C0D"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hyperlink r:id="rId19" w:history="1">
        <w:r w:rsidRPr="00E326F5">
          <w:rPr>
            <w:rStyle w:val="Hyperlink"/>
            <w:rFonts w:cs="FrankRuehl" w:hint="cs"/>
            <w:vanish/>
            <w:szCs w:val="20"/>
            <w:shd w:val="clear" w:color="auto" w:fill="FFFF99"/>
            <w:rtl/>
          </w:rPr>
          <w:t>ק"ת תשע"ד מס' 7401</w:t>
        </w:r>
      </w:hyperlink>
      <w:r w:rsidRPr="00E326F5">
        <w:rPr>
          <w:rStyle w:val="default"/>
          <w:rFonts w:cs="FrankRuehl" w:hint="cs"/>
          <w:vanish/>
          <w:sz w:val="20"/>
          <w:szCs w:val="20"/>
          <w:shd w:val="clear" w:color="auto" w:fill="FFFF99"/>
          <w:rtl/>
        </w:rPr>
        <w:t xml:space="preserve"> מיום 29.7.2014 עמ' 1550</w:t>
      </w:r>
    </w:p>
    <w:p w14:paraId="4D8DD5E6" w14:textId="77777777" w:rsidR="00E326F5" w:rsidRPr="00E326F5" w:rsidRDefault="00E326F5" w:rsidP="00E326F5">
      <w:pPr>
        <w:pStyle w:val="P00"/>
        <w:spacing w:before="0"/>
        <w:ind w:left="0" w:right="1134"/>
        <w:rPr>
          <w:rStyle w:val="default"/>
          <w:rFonts w:cs="FrankRuehl" w:hint="cs"/>
          <w:vanish/>
          <w:sz w:val="20"/>
          <w:szCs w:val="20"/>
          <w:shd w:val="clear" w:color="auto" w:fill="FFFF99"/>
          <w:rtl/>
        </w:rPr>
      </w:pPr>
      <w:r w:rsidRPr="00E326F5">
        <w:rPr>
          <w:rStyle w:val="default"/>
          <w:rFonts w:cs="FrankRuehl" w:hint="cs"/>
          <w:b/>
          <w:bCs/>
          <w:vanish/>
          <w:sz w:val="20"/>
          <w:szCs w:val="20"/>
          <w:shd w:val="clear" w:color="auto" w:fill="FFFF99"/>
          <w:rtl/>
        </w:rPr>
        <w:t>החלפת תקנת משנה 5(ב)</w:t>
      </w:r>
    </w:p>
    <w:p w14:paraId="5553B70A" w14:textId="77777777" w:rsidR="00E326F5" w:rsidRPr="00E326F5" w:rsidRDefault="00E326F5" w:rsidP="00E326F5">
      <w:pPr>
        <w:pStyle w:val="P00"/>
        <w:ind w:left="0" w:right="1134"/>
        <w:rPr>
          <w:rStyle w:val="default"/>
          <w:rFonts w:cs="FrankRuehl" w:hint="cs"/>
          <w:vanish/>
          <w:sz w:val="20"/>
          <w:szCs w:val="20"/>
          <w:shd w:val="clear" w:color="auto" w:fill="FFFF99"/>
          <w:rtl/>
        </w:rPr>
      </w:pPr>
      <w:r w:rsidRPr="00E326F5">
        <w:rPr>
          <w:rStyle w:val="default"/>
          <w:rFonts w:cs="FrankRuehl" w:hint="cs"/>
          <w:vanish/>
          <w:sz w:val="20"/>
          <w:szCs w:val="20"/>
          <w:shd w:val="clear" w:color="auto" w:fill="FFFF99"/>
          <w:rtl/>
        </w:rPr>
        <w:t>הנוסח הקודם:</w:t>
      </w:r>
    </w:p>
    <w:p w14:paraId="07A1D659" w14:textId="77777777" w:rsidR="00E326F5" w:rsidRPr="00E326F5" w:rsidRDefault="00E326F5" w:rsidP="00E326F5">
      <w:pPr>
        <w:pStyle w:val="P00"/>
        <w:spacing w:before="0"/>
        <w:ind w:left="0" w:right="1134"/>
        <w:rPr>
          <w:rStyle w:val="default"/>
          <w:rFonts w:cs="FrankRuehl" w:hint="cs"/>
          <w:strike/>
          <w:sz w:val="2"/>
          <w:szCs w:val="2"/>
          <w:shd w:val="clear" w:color="auto" w:fill="FFFF99"/>
          <w:rtl/>
        </w:rPr>
      </w:pPr>
      <w:r w:rsidRPr="00E326F5">
        <w:rPr>
          <w:rStyle w:val="default"/>
          <w:rFonts w:cs="FrankRuehl" w:hint="cs"/>
          <w:vanish/>
          <w:sz w:val="22"/>
          <w:szCs w:val="22"/>
          <w:shd w:val="clear" w:color="auto" w:fill="FFFF99"/>
          <w:rtl/>
        </w:rPr>
        <w:tab/>
      </w:r>
      <w:r w:rsidRPr="00E326F5">
        <w:rPr>
          <w:rStyle w:val="default"/>
          <w:rFonts w:cs="FrankRuehl" w:hint="cs"/>
          <w:strike/>
          <w:vanish/>
          <w:sz w:val="22"/>
          <w:szCs w:val="22"/>
          <w:shd w:val="clear" w:color="auto" w:fill="FFFF99"/>
          <w:rtl/>
        </w:rPr>
        <w:t>(ב)</w:t>
      </w:r>
      <w:r w:rsidRPr="00E326F5">
        <w:rPr>
          <w:rStyle w:val="default"/>
          <w:rFonts w:cs="FrankRuehl" w:hint="cs"/>
          <w:strike/>
          <w:vanish/>
          <w:sz w:val="22"/>
          <w:szCs w:val="22"/>
          <w:shd w:val="clear" w:color="auto" w:fill="FFFF99"/>
          <w:rtl/>
        </w:rPr>
        <w:tab/>
        <w:t>תקנות 2(ב) ו-3(5) יחולו לגבי דוחות כספיים לתקופות שתחילתן ביום כ' בטבת התשע"ו (1 בינואר 2016).</w:t>
      </w:r>
      <w:bookmarkEnd w:id="14"/>
    </w:p>
    <w:p w14:paraId="66A8D465" w14:textId="77777777" w:rsidR="00583639" w:rsidRDefault="00583639" w:rsidP="007F0616">
      <w:pPr>
        <w:pStyle w:val="P00"/>
        <w:spacing w:before="72"/>
        <w:ind w:left="0" w:right="1134"/>
        <w:rPr>
          <w:rStyle w:val="default"/>
          <w:rFonts w:cs="FrankRuehl" w:hint="cs"/>
          <w:rtl/>
        </w:rPr>
      </w:pPr>
      <w:bookmarkStart w:id="15" w:name="Seif6"/>
      <w:bookmarkEnd w:id="15"/>
      <w:r>
        <w:rPr>
          <w:lang w:val="he-IL"/>
        </w:rPr>
        <w:pict w14:anchorId="633A5CD1">
          <v:rect id="_x0000_s1203" style="position:absolute;left:0;text-align:left;margin-left:464.5pt;margin-top:8.05pt;width:75.05pt;height:17.2pt;z-index:251652096" o:allowincell="f" filled="f" stroked="f" strokecolor="lime" strokeweight=".25pt">
            <v:textbox style="mso-next-textbox:#_x0000_s1203" inset="0,0,0,0">
              <w:txbxContent>
                <w:p w14:paraId="18A3ABD9" w14:textId="77777777" w:rsidR="00C55FF6" w:rsidRDefault="007F0616" w:rsidP="00583639">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sidR="006A75B5">
        <w:rPr>
          <w:rStyle w:val="big-number"/>
          <w:rFonts w:cs="Miriam" w:hint="cs"/>
          <w:rtl/>
        </w:rPr>
        <w:t>6</w:t>
      </w:r>
      <w:r>
        <w:rPr>
          <w:rStyle w:val="big-number"/>
          <w:rFonts w:cs="Miriam"/>
          <w:rtl/>
        </w:rPr>
        <w:t>.</w:t>
      </w:r>
      <w:r>
        <w:rPr>
          <w:rStyle w:val="big-number"/>
          <w:rFonts w:cs="Miriam"/>
          <w:rtl/>
        </w:rPr>
        <w:tab/>
      </w:r>
      <w:r w:rsidR="007F0616">
        <w:rPr>
          <w:rStyle w:val="default"/>
          <w:rFonts w:cs="FrankRuehl" w:hint="cs"/>
          <w:rtl/>
        </w:rPr>
        <w:t>(א)</w:t>
      </w:r>
      <w:r w:rsidR="007F0616">
        <w:rPr>
          <w:rStyle w:val="default"/>
          <w:rFonts w:cs="FrankRuehl" w:hint="cs"/>
          <w:rtl/>
        </w:rPr>
        <w:tab/>
        <w:t>דוח שיוגש בין מועד התחילה לבין יום תחילתה של תקנה 2(ב), ייערך לפי העקרונות החשבונאיים וכללי הדיווח המקובלים ערב מועד התחילה, ויהיה מבוקר כדין.</w:t>
      </w:r>
    </w:p>
    <w:p w14:paraId="75E90C24" w14:textId="77777777" w:rsidR="007F0616" w:rsidRDefault="007F0616" w:rsidP="007F061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ביאורים לדוח שיוגש החל ממועד התחילה ועד תחילתה של תקנה 2(ב), יכללו כל פרט, מידע או הבהרה, אשר בהעדרם לא ישקפו הדוחות הכספיים והביאורים לדוחות הכספיים באופן נאות, בהתאם לעקרונות החשבונאיים וכללי הדיווח המקובלים ערב יום התחילה, את מצב הקרן לתאריך הדוחות הכספיים ואת תוצאות פעילותה בשנת הכספים.</w:t>
      </w:r>
    </w:p>
    <w:p w14:paraId="0883BF09" w14:textId="77777777" w:rsidR="007550E1" w:rsidRDefault="007550E1" w:rsidP="00431CAA">
      <w:pPr>
        <w:pStyle w:val="P00"/>
        <w:spacing w:before="72"/>
        <w:ind w:left="0" w:right="1134"/>
        <w:rPr>
          <w:rStyle w:val="default"/>
          <w:rFonts w:cs="FrankRuehl" w:hint="cs"/>
          <w:rtl/>
        </w:rPr>
      </w:pPr>
    </w:p>
    <w:p w14:paraId="41447CC8" w14:textId="77777777" w:rsidR="00D25D5C" w:rsidRDefault="00D25D5C" w:rsidP="00431CAA">
      <w:pPr>
        <w:pStyle w:val="P00"/>
        <w:spacing w:before="72"/>
        <w:ind w:left="0" w:right="1134"/>
        <w:rPr>
          <w:rStyle w:val="default"/>
          <w:rFonts w:cs="FrankRuehl" w:hint="cs"/>
          <w:rtl/>
        </w:rPr>
      </w:pPr>
    </w:p>
    <w:p w14:paraId="7B73ED8D" w14:textId="77777777" w:rsidR="00715FE6" w:rsidRDefault="00371ACE" w:rsidP="00371ACE">
      <w:pPr>
        <w:pStyle w:val="sig-0"/>
        <w:tabs>
          <w:tab w:val="clear" w:pos="4820"/>
          <w:tab w:val="center" w:pos="5103"/>
        </w:tabs>
        <w:ind w:left="0" w:right="1134"/>
        <w:rPr>
          <w:rFonts w:cs="FrankRuehl" w:hint="cs"/>
          <w:sz w:val="26"/>
          <w:rtl/>
        </w:rPr>
      </w:pPr>
      <w:r>
        <w:rPr>
          <w:rFonts w:cs="FrankRuehl" w:hint="cs"/>
          <w:sz w:val="26"/>
          <w:rtl/>
        </w:rPr>
        <w:t>כ"ט</w:t>
      </w:r>
      <w:r w:rsidR="000C7AA4">
        <w:rPr>
          <w:rFonts w:cs="FrankRuehl" w:hint="cs"/>
          <w:sz w:val="26"/>
          <w:rtl/>
        </w:rPr>
        <w:t xml:space="preserve"> בחשוון התש"ע</w:t>
      </w:r>
      <w:r w:rsidR="00715FE6">
        <w:rPr>
          <w:rFonts w:cs="FrankRuehl" w:hint="cs"/>
          <w:sz w:val="26"/>
          <w:rtl/>
        </w:rPr>
        <w:t xml:space="preserve"> (</w:t>
      </w:r>
      <w:r>
        <w:rPr>
          <w:rFonts w:cs="FrankRuehl" w:hint="cs"/>
          <w:sz w:val="26"/>
          <w:rtl/>
        </w:rPr>
        <w:t>16 בנובמבר</w:t>
      </w:r>
      <w:r w:rsidR="00715FE6">
        <w:rPr>
          <w:rFonts w:cs="FrankRuehl" w:hint="cs"/>
          <w:sz w:val="26"/>
          <w:rtl/>
        </w:rPr>
        <w:t xml:space="preserve"> 2009)</w:t>
      </w:r>
      <w:r w:rsidR="00715FE6">
        <w:rPr>
          <w:rFonts w:cs="FrankRuehl" w:hint="cs"/>
          <w:sz w:val="26"/>
          <w:rtl/>
        </w:rPr>
        <w:tab/>
      </w:r>
      <w:r>
        <w:rPr>
          <w:rFonts w:cs="FrankRuehl" w:hint="cs"/>
          <w:sz w:val="26"/>
          <w:rtl/>
        </w:rPr>
        <w:t>יובל שטייניץ</w:t>
      </w:r>
    </w:p>
    <w:p w14:paraId="296D45D1" w14:textId="77777777" w:rsidR="00715FE6" w:rsidRDefault="00715FE6" w:rsidP="00371ACE">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371ACE">
        <w:rPr>
          <w:rFonts w:cs="FrankRuehl" w:hint="cs"/>
          <w:sz w:val="22"/>
          <w:rtl/>
        </w:rPr>
        <w:t>שר האוצר</w:t>
      </w:r>
    </w:p>
    <w:p w14:paraId="601C25AF" w14:textId="77777777" w:rsidR="00974306" w:rsidRDefault="00974306" w:rsidP="00927A15">
      <w:pPr>
        <w:pStyle w:val="P00"/>
        <w:spacing w:before="72"/>
        <w:ind w:left="0" w:right="1134"/>
        <w:rPr>
          <w:rStyle w:val="default"/>
          <w:rFonts w:cs="FrankRuehl" w:hint="cs"/>
          <w:rtl/>
        </w:rPr>
      </w:pPr>
    </w:p>
    <w:p w14:paraId="32DEA4B5" w14:textId="77777777" w:rsidR="00927A15" w:rsidRDefault="00927A15" w:rsidP="00927A15">
      <w:pPr>
        <w:pStyle w:val="P00"/>
        <w:spacing w:before="72"/>
        <w:ind w:left="0" w:right="1134"/>
        <w:rPr>
          <w:rStyle w:val="default"/>
          <w:rFonts w:cs="FrankRuehl" w:hint="cs"/>
          <w:rtl/>
        </w:rPr>
      </w:pPr>
    </w:p>
    <w:p w14:paraId="22619071" w14:textId="77777777" w:rsidR="00E80DF4" w:rsidRDefault="00E80DF4" w:rsidP="00927A15">
      <w:pPr>
        <w:pStyle w:val="P00"/>
        <w:spacing w:before="72"/>
        <w:ind w:left="0" w:right="1134"/>
        <w:rPr>
          <w:rStyle w:val="default"/>
          <w:rFonts w:cs="FrankRuehl"/>
          <w:rtl/>
        </w:rPr>
      </w:pPr>
    </w:p>
    <w:p w14:paraId="13EF0CFB" w14:textId="77777777" w:rsidR="00E80DF4" w:rsidRDefault="00E80DF4" w:rsidP="00E80DF4">
      <w:pPr>
        <w:pStyle w:val="P00"/>
        <w:spacing w:before="72"/>
        <w:ind w:left="0" w:right="1134"/>
        <w:jc w:val="center"/>
        <w:rPr>
          <w:rStyle w:val="default"/>
          <w:rFonts w:cs="David"/>
          <w:color w:val="0000FF"/>
          <w:szCs w:val="24"/>
          <w:u w:val="single"/>
          <w:rtl/>
        </w:rPr>
      </w:pPr>
      <w:hyperlink r:id="rId20" w:history="1">
        <w:r>
          <w:rPr>
            <w:rStyle w:val="Hyperlink"/>
            <w:rFonts w:cs="David"/>
            <w:noProof w:val="0"/>
            <w:sz w:val="22"/>
            <w:szCs w:val="24"/>
            <w:rtl/>
          </w:rPr>
          <w:t>הודעה למנויים על עריכה ושינויים במסמכי פסיקה, חקיקה ועוד באתר נבו - הקש כאן</w:t>
        </w:r>
      </w:hyperlink>
    </w:p>
    <w:p w14:paraId="54D1A910" w14:textId="77777777" w:rsidR="00A55D15" w:rsidRDefault="00A55D15" w:rsidP="00E80DF4">
      <w:pPr>
        <w:pStyle w:val="P00"/>
        <w:spacing w:before="72"/>
        <w:ind w:left="0" w:right="1134"/>
        <w:jc w:val="center"/>
        <w:rPr>
          <w:rStyle w:val="default"/>
          <w:rFonts w:cs="David"/>
          <w:color w:val="0000FF"/>
          <w:szCs w:val="24"/>
          <w:u w:val="single"/>
          <w:rtl/>
        </w:rPr>
      </w:pPr>
    </w:p>
    <w:sectPr w:rsidR="00A55D15" w:rsidSect="00A227D9">
      <w:headerReference w:type="even" r:id="rId21"/>
      <w:headerReference w:type="default" r:id="rId22"/>
      <w:footerReference w:type="even" r:id="rId23"/>
      <w:footerReference w:type="default" r:id="rId24"/>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F27A2" w14:textId="77777777" w:rsidR="00AD2483" w:rsidRDefault="00AD2483">
      <w:r>
        <w:separator/>
      </w:r>
    </w:p>
  </w:endnote>
  <w:endnote w:type="continuationSeparator" w:id="0">
    <w:p w14:paraId="6DDB198F" w14:textId="77777777" w:rsidR="00AD2483" w:rsidRDefault="00AD2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870C2" w14:textId="77777777" w:rsidR="00C55FF6" w:rsidRDefault="00C55F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FCAC5C0" w14:textId="77777777" w:rsidR="00C55FF6" w:rsidRDefault="00C55F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1113994" w14:textId="77777777" w:rsidR="00C55FF6" w:rsidRDefault="00C55F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0DF4">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DD150" w14:textId="77777777" w:rsidR="00C55FF6" w:rsidRDefault="00C55FF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12941">
      <w:rPr>
        <w:rFonts w:hAnsi="FrankRuehl" w:cs="FrankRuehl"/>
        <w:noProof/>
        <w:sz w:val="24"/>
        <w:szCs w:val="24"/>
        <w:rtl/>
      </w:rPr>
      <w:t>3</w:t>
    </w:r>
    <w:r>
      <w:rPr>
        <w:rFonts w:hAnsi="FrankRuehl" w:cs="FrankRuehl"/>
        <w:sz w:val="24"/>
        <w:szCs w:val="24"/>
        <w:rtl/>
      </w:rPr>
      <w:fldChar w:fldCharType="end"/>
    </w:r>
  </w:p>
  <w:p w14:paraId="55B3BEF5" w14:textId="77777777" w:rsidR="00C55FF6" w:rsidRDefault="00C55F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B18F1F" w14:textId="77777777" w:rsidR="00C55FF6" w:rsidRDefault="00C55F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80DF4">
      <w:rPr>
        <w:rFonts w:cs="TopType Jerushalmi"/>
        <w:noProof/>
        <w:color w:val="000000"/>
        <w:sz w:val="14"/>
        <w:szCs w:val="14"/>
      </w:rPr>
      <w:t>Y:\000000000000-law\yael\09-12-14\tav\500_239.doc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B669" w14:textId="77777777" w:rsidR="00AD2483" w:rsidRDefault="00AD2483" w:rsidP="007C57AA">
      <w:pPr>
        <w:spacing w:before="60" w:line="240" w:lineRule="auto"/>
        <w:ind w:right="1134"/>
      </w:pPr>
      <w:r>
        <w:separator/>
      </w:r>
    </w:p>
  </w:footnote>
  <w:footnote w:type="continuationSeparator" w:id="0">
    <w:p w14:paraId="4D91970C" w14:textId="77777777" w:rsidR="00AD2483" w:rsidRDefault="00AD2483">
      <w:pPr>
        <w:spacing w:before="60"/>
        <w:ind w:right="1134"/>
      </w:pPr>
      <w:r>
        <w:separator/>
      </w:r>
    </w:p>
  </w:footnote>
  <w:footnote w:id="1">
    <w:p w14:paraId="4ED488CE" w14:textId="77777777" w:rsidR="000E283F" w:rsidRDefault="00C55FF6" w:rsidP="000E28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0E283F">
          <w:rPr>
            <w:rStyle w:val="Hyperlink"/>
            <w:rFonts w:cs="FrankRuehl" w:hint="cs"/>
            <w:rtl/>
          </w:rPr>
          <w:t>ק"ת תש"ע מס' 6834</w:t>
        </w:r>
      </w:hyperlink>
      <w:r>
        <w:rPr>
          <w:rFonts w:cs="FrankRuehl" w:hint="cs"/>
          <w:rtl/>
        </w:rPr>
        <w:t xml:space="preserve"> מיום 10.12.2009 עמ' </w:t>
      </w:r>
      <w:r w:rsidR="00974306">
        <w:rPr>
          <w:rFonts w:cs="FrankRuehl" w:hint="cs"/>
          <w:rtl/>
        </w:rPr>
        <w:t>230</w:t>
      </w:r>
      <w:r>
        <w:rPr>
          <w:rFonts w:cs="FrankRuehl" w:hint="cs"/>
          <w:rtl/>
        </w:rPr>
        <w:t>.</w:t>
      </w:r>
    </w:p>
    <w:p w14:paraId="4A911FED" w14:textId="77777777" w:rsidR="003B69A2" w:rsidRDefault="002719A9" w:rsidP="003B69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3B69A2">
          <w:rPr>
            <w:rStyle w:val="Hyperlink"/>
            <w:rFonts w:cs="FrankRuehl" w:hint="cs"/>
            <w:rtl/>
          </w:rPr>
          <w:t>ק"ת תשע"ב מס' 7087</w:t>
        </w:r>
      </w:hyperlink>
      <w:r>
        <w:rPr>
          <w:rFonts w:cs="FrankRuehl" w:hint="cs"/>
          <w:rtl/>
        </w:rPr>
        <w:t xml:space="preserve"> מיום 5.2.2012 עמ' 738 </w:t>
      </w:r>
      <w:r>
        <w:rPr>
          <w:rFonts w:cs="FrankRuehl"/>
          <w:rtl/>
        </w:rPr>
        <w:t>–</w:t>
      </w:r>
      <w:r>
        <w:rPr>
          <w:rFonts w:cs="FrankRuehl" w:hint="cs"/>
          <w:rtl/>
        </w:rPr>
        <w:t xml:space="preserve"> תק' תשע"ב-2012.</w:t>
      </w:r>
    </w:p>
    <w:p w14:paraId="3C829FD0" w14:textId="77777777" w:rsidR="00612941" w:rsidRDefault="00612941" w:rsidP="006129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7B248A" w:rsidRPr="00612941">
          <w:rPr>
            <w:rStyle w:val="Hyperlink"/>
            <w:rFonts w:cs="FrankRuehl" w:hint="cs"/>
            <w:rtl/>
          </w:rPr>
          <w:t>ק"ת תשע"ד מס' 7401</w:t>
        </w:r>
      </w:hyperlink>
      <w:r w:rsidR="007B248A">
        <w:rPr>
          <w:rFonts w:cs="FrankRuehl" w:hint="cs"/>
          <w:rtl/>
        </w:rPr>
        <w:t xml:space="preserve"> מיום 29.7.2014 עמ' 1549 </w:t>
      </w:r>
      <w:r w:rsidR="007B248A">
        <w:rPr>
          <w:rFonts w:cs="FrankRuehl"/>
          <w:rtl/>
        </w:rPr>
        <w:t>–</w:t>
      </w:r>
      <w:r w:rsidR="007B248A">
        <w:rPr>
          <w:rFonts w:cs="FrankRuehl" w:hint="cs"/>
          <w:rtl/>
        </w:rPr>
        <w:t xml:space="preserve"> תק' תשע"ד-2014.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BA14" w14:textId="77777777" w:rsidR="00C55FF6" w:rsidRDefault="00C55FF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07885DB2" w14:textId="77777777" w:rsidR="00C55FF6" w:rsidRDefault="00C55F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7F33A2" w14:textId="77777777" w:rsidR="00C55FF6" w:rsidRDefault="00C55FF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56D5" w14:textId="77777777" w:rsidR="00C55FF6" w:rsidRDefault="00C55FF6" w:rsidP="0097430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השקעות משותפות בנאמנות (</w:t>
    </w:r>
    <w:r w:rsidR="00974306">
      <w:rPr>
        <w:rFonts w:hAnsi="FrankRuehl" w:cs="FrankRuehl" w:hint="cs"/>
        <w:color w:val="000000"/>
        <w:sz w:val="28"/>
        <w:szCs w:val="28"/>
        <w:rtl/>
      </w:rPr>
      <w:t>דוחות כספיים של קרן</w:t>
    </w:r>
    <w:r>
      <w:rPr>
        <w:rFonts w:hAnsi="FrankRuehl" w:cs="FrankRuehl" w:hint="cs"/>
        <w:color w:val="000000"/>
        <w:sz w:val="28"/>
        <w:szCs w:val="28"/>
        <w:rtl/>
      </w:rPr>
      <w:t>), תש"ע-2009</w:t>
    </w:r>
  </w:p>
  <w:p w14:paraId="003505B2" w14:textId="77777777" w:rsidR="00C55FF6" w:rsidRDefault="00C55FF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D2828C0" w14:textId="77777777" w:rsidR="00C55FF6" w:rsidRDefault="00C55FF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8593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146A6"/>
    <w:rsid w:val="000201C8"/>
    <w:rsid w:val="000377F5"/>
    <w:rsid w:val="00046B7F"/>
    <w:rsid w:val="000619D9"/>
    <w:rsid w:val="00062C31"/>
    <w:rsid w:val="00064468"/>
    <w:rsid w:val="00064C99"/>
    <w:rsid w:val="00077801"/>
    <w:rsid w:val="00083670"/>
    <w:rsid w:val="00084C95"/>
    <w:rsid w:val="00091B8B"/>
    <w:rsid w:val="000924D1"/>
    <w:rsid w:val="000948CA"/>
    <w:rsid w:val="00094DD9"/>
    <w:rsid w:val="000B65C0"/>
    <w:rsid w:val="000C145C"/>
    <w:rsid w:val="000C2548"/>
    <w:rsid w:val="000C7AA4"/>
    <w:rsid w:val="000D1348"/>
    <w:rsid w:val="000D7097"/>
    <w:rsid w:val="000D7FBE"/>
    <w:rsid w:val="000E25AA"/>
    <w:rsid w:val="000E283F"/>
    <w:rsid w:val="000E3FCB"/>
    <w:rsid w:val="000E4FDD"/>
    <w:rsid w:val="000E54C3"/>
    <w:rsid w:val="000E6E54"/>
    <w:rsid w:val="000E7C2E"/>
    <w:rsid w:val="001001D1"/>
    <w:rsid w:val="00102B63"/>
    <w:rsid w:val="0010753D"/>
    <w:rsid w:val="00112119"/>
    <w:rsid w:val="00122C2E"/>
    <w:rsid w:val="0012665B"/>
    <w:rsid w:val="001275F0"/>
    <w:rsid w:val="00131FDC"/>
    <w:rsid w:val="00133E83"/>
    <w:rsid w:val="001370C7"/>
    <w:rsid w:val="00142298"/>
    <w:rsid w:val="001615C2"/>
    <w:rsid w:val="00186445"/>
    <w:rsid w:val="001B05AB"/>
    <w:rsid w:val="001C4AB6"/>
    <w:rsid w:val="001D6CC8"/>
    <w:rsid w:val="001E0FA8"/>
    <w:rsid w:val="00201476"/>
    <w:rsid w:val="002216B6"/>
    <w:rsid w:val="00224535"/>
    <w:rsid w:val="0023495D"/>
    <w:rsid w:val="002538D4"/>
    <w:rsid w:val="002719A9"/>
    <w:rsid w:val="00273A1A"/>
    <w:rsid w:val="00273C7A"/>
    <w:rsid w:val="00275506"/>
    <w:rsid w:val="002A38D8"/>
    <w:rsid w:val="002C7187"/>
    <w:rsid w:val="002E3E60"/>
    <w:rsid w:val="002E473B"/>
    <w:rsid w:val="002F76E8"/>
    <w:rsid w:val="0030618C"/>
    <w:rsid w:val="003304A8"/>
    <w:rsid w:val="0033109A"/>
    <w:rsid w:val="00333313"/>
    <w:rsid w:val="0033559B"/>
    <w:rsid w:val="00342C78"/>
    <w:rsid w:val="00343C9A"/>
    <w:rsid w:val="003528CA"/>
    <w:rsid w:val="0036193A"/>
    <w:rsid w:val="00371ACE"/>
    <w:rsid w:val="00373ACB"/>
    <w:rsid w:val="0037705A"/>
    <w:rsid w:val="003A23D8"/>
    <w:rsid w:val="003A46B0"/>
    <w:rsid w:val="003B4C6D"/>
    <w:rsid w:val="003B69A2"/>
    <w:rsid w:val="003C08EF"/>
    <w:rsid w:val="003C6DF3"/>
    <w:rsid w:val="003D5BB0"/>
    <w:rsid w:val="003D600F"/>
    <w:rsid w:val="003E10E3"/>
    <w:rsid w:val="003E17A4"/>
    <w:rsid w:val="003E74D6"/>
    <w:rsid w:val="003E7AA0"/>
    <w:rsid w:val="003F43BD"/>
    <w:rsid w:val="003F5C71"/>
    <w:rsid w:val="0040021A"/>
    <w:rsid w:val="00407722"/>
    <w:rsid w:val="004112F3"/>
    <w:rsid w:val="004120DC"/>
    <w:rsid w:val="00413F14"/>
    <w:rsid w:val="0041737A"/>
    <w:rsid w:val="004204BE"/>
    <w:rsid w:val="00421409"/>
    <w:rsid w:val="00431CAA"/>
    <w:rsid w:val="00432406"/>
    <w:rsid w:val="004340B4"/>
    <w:rsid w:val="004355B4"/>
    <w:rsid w:val="0044105C"/>
    <w:rsid w:val="0044263A"/>
    <w:rsid w:val="00445514"/>
    <w:rsid w:val="0045078F"/>
    <w:rsid w:val="00454064"/>
    <w:rsid w:val="00454F98"/>
    <w:rsid w:val="004555FD"/>
    <w:rsid w:val="00460066"/>
    <w:rsid w:val="00460500"/>
    <w:rsid w:val="0047103A"/>
    <w:rsid w:val="00475BF0"/>
    <w:rsid w:val="00484974"/>
    <w:rsid w:val="00490D4B"/>
    <w:rsid w:val="0049129C"/>
    <w:rsid w:val="00496121"/>
    <w:rsid w:val="004A2A23"/>
    <w:rsid w:val="004A64CC"/>
    <w:rsid w:val="004A7635"/>
    <w:rsid w:val="004B615C"/>
    <w:rsid w:val="004C1D5F"/>
    <w:rsid w:val="004C3C1F"/>
    <w:rsid w:val="004C4E16"/>
    <w:rsid w:val="004C6EB2"/>
    <w:rsid w:val="004D539F"/>
    <w:rsid w:val="004D6C06"/>
    <w:rsid w:val="004F31AA"/>
    <w:rsid w:val="004F32A4"/>
    <w:rsid w:val="004F4329"/>
    <w:rsid w:val="004F512C"/>
    <w:rsid w:val="00521DE5"/>
    <w:rsid w:val="0053081B"/>
    <w:rsid w:val="005416A0"/>
    <w:rsid w:val="005453FC"/>
    <w:rsid w:val="00553571"/>
    <w:rsid w:val="005607E7"/>
    <w:rsid w:val="00562D3A"/>
    <w:rsid w:val="00574BC7"/>
    <w:rsid w:val="00576752"/>
    <w:rsid w:val="00581F51"/>
    <w:rsid w:val="00583639"/>
    <w:rsid w:val="00593F5E"/>
    <w:rsid w:val="005A4835"/>
    <w:rsid w:val="005B30BE"/>
    <w:rsid w:val="005C13E4"/>
    <w:rsid w:val="005C17DB"/>
    <w:rsid w:val="005C6342"/>
    <w:rsid w:val="005D72E7"/>
    <w:rsid w:val="005E00B5"/>
    <w:rsid w:val="005E3B35"/>
    <w:rsid w:val="005E67B1"/>
    <w:rsid w:val="005E7167"/>
    <w:rsid w:val="006054F3"/>
    <w:rsid w:val="00612941"/>
    <w:rsid w:val="00614CD9"/>
    <w:rsid w:val="00617252"/>
    <w:rsid w:val="0062009E"/>
    <w:rsid w:val="00620D54"/>
    <w:rsid w:val="00630F20"/>
    <w:rsid w:val="00634371"/>
    <w:rsid w:val="00635CB5"/>
    <w:rsid w:val="00640B97"/>
    <w:rsid w:val="00642120"/>
    <w:rsid w:val="00650A46"/>
    <w:rsid w:val="0065191D"/>
    <w:rsid w:val="006618EF"/>
    <w:rsid w:val="00672071"/>
    <w:rsid w:val="006741BB"/>
    <w:rsid w:val="00677514"/>
    <w:rsid w:val="00680706"/>
    <w:rsid w:val="00684080"/>
    <w:rsid w:val="006849D8"/>
    <w:rsid w:val="00687666"/>
    <w:rsid w:val="006A0AF5"/>
    <w:rsid w:val="006A4259"/>
    <w:rsid w:val="006A6733"/>
    <w:rsid w:val="006A75B5"/>
    <w:rsid w:val="006A7DDF"/>
    <w:rsid w:val="006B37C4"/>
    <w:rsid w:val="006B4FC9"/>
    <w:rsid w:val="006B5390"/>
    <w:rsid w:val="006C17D8"/>
    <w:rsid w:val="006C3F12"/>
    <w:rsid w:val="006C7167"/>
    <w:rsid w:val="006C7C6F"/>
    <w:rsid w:val="006E1EDA"/>
    <w:rsid w:val="006E2FDE"/>
    <w:rsid w:val="006E7627"/>
    <w:rsid w:val="006F787A"/>
    <w:rsid w:val="006F7A08"/>
    <w:rsid w:val="00700FF2"/>
    <w:rsid w:val="007035D6"/>
    <w:rsid w:val="00715FE6"/>
    <w:rsid w:val="00716074"/>
    <w:rsid w:val="00716DEE"/>
    <w:rsid w:val="00720039"/>
    <w:rsid w:val="00722104"/>
    <w:rsid w:val="00722F74"/>
    <w:rsid w:val="00726659"/>
    <w:rsid w:val="007270FE"/>
    <w:rsid w:val="0073144C"/>
    <w:rsid w:val="00743F56"/>
    <w:rsid w:val="00751097"/>
    <w:rsid w:val="00752BF0"/>
    <w:rsid w:val="007550E1"/>
    <w:rsid w:val="00757461"/>
    <w:rsid w:val="0076088F"/>
    <w:rsid w:val="0076254E"/>
    <w:rsid w:val="00765B73"/>
    <w:rsid w:val="0076748E"/>
    <w:rsid w:val="00772CD8"/>
    <w:rsid w:val="0078071F"/>
    <w:rsid w:val="00782DC3"/>
    <w:rsid w:val="00785BE6"/>
    <w:rsid w:val="00790D9E"/>
    <w:rsid w:val="007A1FF2"/>
    <w:rsid w:val="007A3993"/>
    <w:rsid w:val="007A412F"/>
    <w:rsid w:val="007A74CA"/>
    <w:rsid w:val="007B248A"/>
    <w:rsid w:val="007B6045"/>
    <w:rsid w:val="007C0B21"/>
    <w:rsid w:val="007C1804"/>
    <w:rsid w:val="007C57AA"/>
    <w:rsid w:val="007D32F5"/>
    <w:rsid w:val="007D73DF"/>
    <w:rsid w:val="007F0616"/>
    <w:rsid w:val="008159FF"/>
    <w:rsid w:val="008162C9"/>
    <w:rsid w:val="00841A08"/>
    <w:rsid w:val="008502EE"/>
    <w:rsid w:val="00852A6C"/>
    <w:rsid w:val="0085655A"/>
    <w:rsid w:val="0086107A"/>
    <w:rsid w:val="0087771D"/>
    <w:rsid w:val="00894C01"/>
    <w:rsid w:val="0089792E"/>
    <w:rsid w:val="008A2722"/>
    <w:rsid w:val="008A28E9"/>
    <w:rsid w:val="008A638E"/>
    <w:rsid w:val="008C0451"/>
    <w:rsid w:val="008C2526"/>
    <w:rsid w:val="008C5B96"/>
    <w:rsid w:val="008C7D26"/>
    <w:rsid w:val="008D03EF"/>
    <w:rsid w:val="008E0EC9"/>
    <w:rsid w:val="008E367E"/>
    <w:rsid w:val="008E36CB"/>
    <w:rsid w:val="008E73A8"/>
    <w:rsid w:val="00902390"/>
    <w:rsid w:val="00904EEA"/>
    <w:rsid w:val="00906581"/>
    <w:rsid w:val="00911822"/>
    <w:rsid w:val="00923E55"/>
    <w:rsid w:val="0092503F"/>
    <w:rsid w:val="00927A15"/>
    <w:rsid w:val="009309D7"/>
    <w:rsid w:val="009335B5"/>
    <w:rsid w:val="00934563"/>
    <w:rsid w:val="00937C57"/>
    <w:rsid w:val="00940601"/>
    <w:rsid w:val="00947DE7"/>
    <w:rsid w:val="00954A48"/>
    <w:rsid w:val="00955412"/>
    <w:rsid w:val="00955564"/>
    <w:rsid w:val="00955AC8"/>
    <w:rsid w:val="009572D1"/>
    <w:rsid w:val="0096403F"/>
    <w:rsid w:val="00974306"/>
    <w:rsid w:val="0099490C"/>
    <w:rsid w:val="009C2916"/>
    <w:rsid w:val="009C519A"/>
    <w:rsid w:val="009C5B73"/>
    <w:rsid w:val="009D50CE"/>
    <w:rsid w:val="009E2AAC"/>
    <w:rsid w:val="009E7FC2"/>
    <w:rsid w:val="009F01BD"/>
    <w:rsid w:val="009F35FF"/>
    <w:rsid w:val="009F61AB"/>
    <w:rsid w:val="00A0666F"/>
    <w:rsid w:val="00A10AE2"/>
    <w:rsid w:val="00A141C3"/>
    <w:rsid w:val="00A14F70"/>
    <w:rsid w:val="00A22051"/>
    <w:rsid w:val="00A227D9"/>
    <w:rsid w:val="00A308E0"/>
    <w:rsid w:val="00A42C95"/>
    <w:rsid w:val="00A53F3B"/>
    <w:rsid w:val="00A55D15"/>
    <w:rsid w:val="00A630ED"/>
    <w:rsid w:val="00A658E8"/>
    <w:rsid w:val="00A6616F"/>
    <w:rsid w:val="00A66F20"/>
    <w:rsid w:val="00A701D9"/>
    <w:rsid w:val="00A71DAC"/>
    <w:rsid w:val="00A71F31"/>
    <w:rsid w:val="00A730D6"/>
    <w:rsid w:val="00A75B9F"/>
    <w:rsid w:val="00A77084"/>
    <w:rsid w:val="00A87C1B"/>
    <w:rsid w:val="00A9239A"/>
    <w:rsid w:val="00AB116A"/>
    <w:rsid w:val="00AB7FCA"/>
    <w:rsid w:val="00AC5875"/>
    <w:rsid w:val="00AC6EF5"/>
    <w:rsid w:val="00AC7B1B"/>
    <w:rsid w:val="00AD2483"/>
    <w:rsid w:val="00AE4A4F"/>
    <w:rsid w:val="00AF36BF"/>
    <w:rsid w:val="00AF7048"/>
    <w:rsid w:val="00B005C1"/>
    <w:rsid w:val="00B0106C"/>
    <w:rsid w:val="00B12F53"/>
    <w:rsid w:val="00B173CC"/>
    <w:rsid w:val="00B17AF7"/>
    <w:rsid w:val="00B218F8"/>
    <w:rsid w:val="00B273CF"/>
    <w:rsid w:val="00B459E4"/>
    <w:rsid w:val="00B620DE"/>
    <w:rsid w:val="00B62BCF"/>
    <w:rsid w:val="00B73316"/>
    <w:rsid w:val="00B8400A"/>
    <w:rsid w:val="00B84C6D"/>
    <w:rsid w:val="00B870A0"/>
    <w:rsid w:val="00B87DA4"/>
    <w:rsid w:val="00BB6FFF"/>
    <w:rsid w:val="00BC2E38"/>
    <w:rsid w:val="00BC76FB"/>
    <w:rsid w:val="00BD1625"/>
    <w:rsid w:val="00BD51F7"/>
    <w:rsid w:val="00BD57BF"/>
    <w:rsid w:val="00BE03B7"/>
    <w:rsid w:val="00BE37D5"/>
    <w:rsid w:val="00BE7477"/>
    <w:rsid w:val="00BF580C"/>
    <w:rsid w:val="00BF6122"/>
    <w:rsid w:val="00BF78AB"/>
    <w:rsid w:val="00BF7CD7"/>
    <w:rsid w:val="00C0712A"/>
    <w:rsid w:val="00C07231"/>
    <w:rsid w:val="00C14B1A"/>
    <w:rsid w:val="00C17A30"/>
    <w:rsid w:val="00C34AA6"/>
    <w:rsid w:val="00C41D00"/>
    <w:rsid w:val="00C53230"/>
    <w:rsid w:val="00C55FF6"/>
    <w:rsid w:val="00C6067A"/>
    <w:rsid w:val="00C85F20"/>
    <w:rsid w:val="00C90BBE"/>
    <w:rsid w:val="00C9259B"/>
    <w:rsid w:val="00C96BD2"/>
    <w:rsid w:val="00CA174A"/>
    <w:rsid w:val="00CB0CE1"/>
    <w:rsid w:val="00CC2D58"/>
    <w:rsid w:val="00CC2E3C"/>
    <w:rsid w:val="00CC7FEC"/>
    <w:rsid w:val="00CD6719"/>
    <w:rsid w:val="00CD6F99"/>
    <w:rsid w:val="00CE1F5F"/>
    <w:rsid w:val="00CF4B69"/>
    <w:rsid w:val="00D10BBD"/>
    <w:rsid w:val="00D160F4"/>
    <w:rsid w:val="00D21193"/>
    <w:rsid w:val="00D22FCB"/>
    <w:rsid w:val="00D2420C"/>
    <w:rsid w:val="00D258FB"/>
    <w:rsid w:val="00D25D5C"/>
    <w:rsid w:val="00D26AA4"/>
    <w:rsid w:val="00D3243E"/>
    <w:rsid w:val="00D32591"/>
    <w:rsid w:val="00D33D4D"/>
    <w:rsid w:val="00D4012B"/>
    <w:rsid w:val="00D4088D"/>
    <w:rsid w:val="00D50C5F"/>
    <w:rsid w:val="00D5121D"/>
    <w:rsid w:val="00D55EBB"/>
    <w:rsid w:val="00D5641C"/>
    <w:rsid w:val="00D56430"/>
    <w:rsid w:val="00D6337B"/>
    <w:rsid w:val="00D65098"/>
    <w:rsid w:val="00D714B8"/>
    <w:rsid w:val="00D909F6"/>
    <w:rsid w:val="00D91151"/>
    <w:rsid w:val="00DA1B2B"/>
    <w:rsid w:val="00DB7031"/>
    <w:rsid w:val="00DC4F86"/>
    <w:rsid w:val="00DD4EE1"/>
    <w:rsid w:val="00DD6D56"/>
    <w:rsid w:val="00DF0302"/>
    <w:rsid w:val="00DF1462"/>
    <w:rsid w:val="00DF2216"/>
    <w:rsid w:val="00DF712A"/>
    <w:rsid w:val="00E326F5"/>
    <w:rsid w:val="00E4409A"/>
    <w:rsid w:val="00E44F20"/>
    <w:rsid w:val="00E52872"/>
    <w:rsid w:val="00E5473A"/>
    <w:rsid w:val="00E61DBD"/>
    <w:rsid w:val="00E64D00"/>
    <w:rsid w:val="00E71BEA"/>
    <w:rsid w:val="00E726F2"/>
    <w:rsid w:val="00E7431C"/>
    <w:rsid w:val="00E80DF4"/>
    <w:rsid w:val="00E81B00"/>
    <w:rsid w:val="00E9389D"/>
    <w:rsid w:val="00E967BF"/>
    <w:rsid w:val="00EB2FD0"/>
    <w:rsid w:val="00EB4F2E"/>
    <w:rsid w:val="00EC16B8"/>
    <w:rsid w:val="00EC18C0"/>
    <w:rsid w:val="00ED2D71"/>
    <w:rsid w:val="00ED50FD"/>
    <w:rsid w:val="00EE3056"/>
    <w:rsid w:val="00EE528E"/>
    <w:rsid w:val="00EE70B6"/>
    <w:rsid w:val="00EF1C64"/>
    <w:rsid w:val="00F01A87"/>
    <w:rsid w:val="00F1368B"/>
    <w:rsid w:val="00F22ACA"/>
    <w:rsid w:val="00F23AB6"/>
    <w:rsid w:val="00F3309B"/>
    <w:rsid w:val="00F3616C"/>
    <w:rsid w:val="00F45347"/>
    <w:rsid w:val="00F6069E"/>
    <w:rsid w:val="00F6207C"/>
    <w:rsid w:val="00F6318D"/>
    <w:rsid w:val="00F67F6D"/>
    <w:rsid w:val="00F72FE7"/>
    <w:rsid w:val="00F732C8"/>
    <w:rsid w:val="00F80BB9"/>
    <w:rsid w:val="00F810E4"/>
    <w:rsid w:val="00F8576B"/>
    <w:rsid w:val="00F85A27"/>
    <w:rsid w:val="00F87401"/>
    <w:rsid w:val="00F87D85"/>
    <w:rsid w:val="00F952EE"/>
    <w:rsid w:val="00F97644"/>
    <w:rsid w:val="00F978B2"/>
    <w:rsid w:val="00FA1FFE"/>
    <w:rsid w:val="00FA7979"/>
    <w:rsid w:val="00FB27A7"/>
    <w:rsid w:val="00FC4D18"/>
    <w:rsid w:val="00FD3CF5"/>
    <w:rsid w:val="00FD516D"/>
    <w:rsid w:val="00FE1699"/>
    <w:rsid w:val="00FE7F3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04F2FA6"/>
  <w15:chartTrackingRefBased/>
  <w15:docId w15:val="{A37725D0-247C-43A5-9282-361A88A5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87.pdf" TargetMode="External"/><Relationship Id="rId13" Type="http://schemas.openxmlformats.org/officeDocument/2006/relationships/hyperlink" Target="http://www.nevo.co.il/Law_word/law06/tak-7401.pdf" TargetMode="External"/><Relationship Id="rId18" Type="http://schemas.openxmlformats.org/officeDocument/2006/relationships/hyperlink" Target="http://www.nevo.co.il/Law_word/law06/tak-7087.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_word/law06/tak-7087.pdf" TargetMode="External"/><Relationship Id="rId12" Type="http://schemas.openxmlformats.org/officeDocument/2006/relationships/hyperlink" Target="http://www.nevo.co.il/Law_word/law06/tak-7087.pdf" TargetMode="External"/><Relationship Id="rId17" Type="http://schemas.openxmlformats.org/officeDocument/2006/relationships/hyperlink" Target="http://www.nevo.co.il/Law_word/law06/tak-740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7087.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087.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401.pdf" TargetMode="External"/><Relationship Id="rId23" Type="http://schemas.openxmlformats.org/officeDocument/2006/relationships/footer" Target="footer1.xml"/><Relationship Id="rId10" Type="http://schemas.openxmlformats.org/officeDocument/2006/relationships/hyperlink" Target="http://www.nevo.co.il/Law_word/law06/tak-7401.pdf" TargetMode="External"/><Relationship Id="rId19" Type="http://schemas.openxmlformats.org/officeDocument/2006/relationships/hyperlink" Target="http://www.nevo.co.il/Law_word/law06/tak-7401.pdf" TargetMode="External"/><Relationship Id="rId4" Type="http://schemas.openxmlformats.org/officeDocument/2006/relationships/webSettings" Target="webSettings.xml"/><Relationship Id="rId9" Type="http://schemas.openxmlformats.org/officeDocument/2006/relationships/hyperlink" Target="http://www.nevo.co.il/Law_word/law06/tak-7087.pdf" TargetMode="External"/><Relationship Id="rId14" Type="http://schemas.openxmlformats.org/officeDocument/2006/relationships/hyperlink" Target="http://www.nevo.co.il/Law_word/law06/tak-7087.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401.pdf" TargetMode="External"/><Relationship Id="rId2" Type="http://schemas.openxmlformats.org/officeDocument/2006/relationships/hyperlink" Target="http://www.nevo.co.il/Law_word/law06/TAK-7087.pdf" TargetMode="External"/><Relationship Id="rId1" Type="http://schemas.openxmlformats.org/officeDocument/2006/relationships/hyperlink" Target="http://www.nevo.co.il/Law_word/law06/tak-68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11398</CharactersWithSpaces>
  <SharedDoc>false</SharedDoc>
  <HLinks>
    <vt:vector size="138" baseType="variant">
      <vt:variant>
        <vt:i4>393283</vt:i4>
      </vt:variant>
      <vt:variant>
        <vt:i4>75</vt:i4>
      </vt:variant>
      <vt:variant>
        <vt:i4>0</vt:i4>
      </vt:variant>
      <vt:variant>
        <vt:i4>5</vt:i4>
      </vt:variant>
      <vt:variant>
        <vt:lpwstr>http://www.nevo.co.il/advertisements/nevo-100.doc</vt:lpwstr>
      </vt:variant>
      <vt:variant>
        <vt:lpwstr/>
      </vt:variant>
      <vt:variant>
        <vt:i4>8257549</vt:i4>
      </vt:variant>
      <vt:variant>
        <vt:i4>72</vt:i4>
      </vt:variant>
      <vt:variant>
        <vt:i4>0</vt:i4>
      </vt:variant>
      <vt:variant>
        <vt:i4>5</vt:i4>
      </vt:variant>
      <vt:variant>
        <vt:lpwstr>http://www.nevo.co.il/Law_word/law06/tak-7401.pdf</vt:lpwstr>
      </vt:variant>
      <vt:variant>
        <vt:lpwstr/>
      </vt:variant>
      <vt:variant>
        <vt:i4>7733263</vt:i4>
      </vt:variant>
      <vt:variant>
        <vt:i4>69</vt:i4>
      </vt:variant>
      <vt:variant>
        <vt:i4>0</vt:i4>
      </vt:variant>
      <vt:variant>
        <vt:i4>5</vt:i4>
      </vt:variant>
      <vt:variant>
        <vt:lpwstr>http://www.nevo.co.il/Law_word/law06/tak-7087.pdf</vt:lpwstr>
      </vt:variant>
      <vt:variant>
        <vt:lpwstr/>
      </vt:variant>
      <vt:variant>
        <vt:i4>8257549</vt:i4>
      </vt:variant>
      <vt:variant>
        <vt:i4>66</vt:i4>
      </vt:variant>
      <vt:variant>
        <vt:i4>0</vt:i4>
      </vt:variant>
      <vt:variant>
        <vt:i4>5</vt:i4>
      </vt:variant>
      <vt:variant>
        <vt:lpwstr>http://www.nevo.co.il/Law_word/law06/tak-7401.pdf</vt:lpwstr>
      </vt:variant>
      <vt:variant>
        <vt:lpwstr/>
      </vt:variant>
      <vt:variant>
        <vt:i4>7733263</vt:i4>
      </vt:variant>
      <vt:variant>
        <vt:i4>63</vt:i4>
      </vt:variant>
      <vt:variant>
        <vt:i4>0</vt:i4>
      </vt:variant>
      <vt:variant>
        <vt:i4>5</vt:i4>
      </vt:variant>
      <vt:variant>
        <vt:lpwstr>http://www.nevo.co.il/Law_word/law06/tak-7087.pdf</vt:lpwstr>
      </vt:variant>
      <vt:variant>
        <vt:lpwstr/>
      </vt:variant>
      <vt:variant>
        <vt:i4>8257549</vt:i4>
      </vt:variant>
      <vt:variant>
        <vt:i4>60</vt:i4>
      </vt:variant>
      <vt:variant>
        <vt:i4>0</vt:i4>
      </vt:variant>
      <vt:variant>
        <vt:i4>5</vt:i4>
      </vt:variant>
      <vt:variant>
        <vt:lpwstr>http://www.nevo.co.il/Law_word/law06/tak-7401.pdf</vt:lpwstr>
      </vt:variant>
      <vt:variant>
        <vt:lpwstr/>
      </vt:variant>
      <vt:variant>
        <vt:i4>7733263</vt:i4>
      </vt:variant>
      <vt:variant>
        <vt:i4>57</vt:i4>
      </vt:variant>
      <vt:variant>
        <vt:i4>0</vt:i4>
      </vt:variant>
      <vt:variant>
        <vt:i4>5</vt:i4>
      </vt:variant>
      <vt:variant>
        <vt:lpwstr>http://www.nevo.co.il/Law_word/law06/tak-7087.pdf</vt:lpwstr>
      </vt:variant>
      <vt:variant>
        <vt:lpwstr/>
      </vt:variant>
      <vt:variant>
        <vt:i4>8257549</vt:i4>
      </vt:variant>
      <vt:variant>
        <vt:i4>54</vt:i4>
      </vt:variant>
      <vt:variant>
        <vt:i4>0</vt:i4>
      </vt:variant>
      <vt:variant>
        <vt:i4>5</vt:i4>
      </vt:variant>
      <vt:variant>
        <vt:lpwstr>http://www.nevo.co.il/Law_word/law06/tak-7401.pdf</vt:lpwstr>
      </vt:variant>
      <vt:variant>
        <vt:lpwstr/>
      </vt:variant>
      <vt:variant>
        <vt:i4>7733263</vt:i4>
      </vt:variant>
      <vt:variant>
        <vt:i4>51</vt:i4>
      </vt:variant>
      <vt:variant>
        <vt:i4>0</vt:i4>
      </vt:variant>
      <vt:variant>
        <vt:i4>5</vt:i4>
      </vt:variant>
      <vt:variant>
        <vt:lpwstr>http://www.nevo.co.il/Law_word/law06/tak-7087.pdf</vt:lpwstr>
      </vt:variant>
      <vt:variant>
        <vt:lpwstr/>
      </vt:variant>
      <vt:variant>
        <vt:i4>7733263</vt:i4>
      </vt:variant>
      <vt:variant>
        <vt:i4>48</vt:i4>
      </vt:variant>
      <vt:variant>
        <vt:i4>0</vt:i4>
      </vt:variant>
      <vt:variant>
        <vt:i4>5</vt:i4>
      </vt:variant>
      <vt:variant>
        <vt:lpwstr>http://www.nevo.co.il/Law_word/law06/tak-7087.pdf</vt:lpwstr>
      </vt:variant>
      <vt:variant>
        <vt:lpwstr/>
      </vt:variant>
      <vt:variant>
        <vt:i4>8257549</vt:i4>
      </vt:variant>
      <vt:variant>
        <vt:i4>45</vt:i4>
      </vt:variant>
      <vt:variant>
        <vt:i4>0</vt:i4>
      </vt:variant>
      <vt:variant>
        <vt:i4>5</vt:i4>
      </vt:variant>
      <vt:variant>
        <vt:lpwstr>http://www.nevo.co.il/Law_word/law06/tak-7401.pdf</vt:lpwstr>
      </vt:variant>
      <vt:variant>
        <vt:lpwstr/>
      </vt:variant>
      <vt:variant>
        <vt:i4>7733263</vt:i4>
      </vt:variant>
      <vt:variant>
        <vt:i4>42</vt:i4>
      </vt:variant>
      <vt:variant>
        <vt:i4>0</vt:i4>
      </vt:variant>
      <vt:variant>
        <vt:i4>5</vt:i4>
      </vt:variant>
      <vt:variant>
        <vt:lpwstr>http://www.nevo.co.il/Law_word/law06/tak-7087.pdf</vt:lpwstr>
      </vt:variant>
      <vt:variant>
        <vt:lpwstr/>
      </vt:variant>
      <vt:variant>
        <vt:i4>7733263</vt:i4>
      </vt:variant>
      <vt:variant>
        <vt:i4>39</vt:i4>
      </vt:variant>
      <vt:variant>
        <vt:i4>0</vt:i4>
      </vt:variant>
      <vt:variant>
        <vt:i4>5</vt:i4>
      </vt:variant>
      <vt:variant>
        <vt:lpwstr>http://www.nevo.co.il/Law_word/law06/tak-7087.pdf</vt:lpwstr>
      </vt:variant>
      <vt:variant>
        <vt:lpwstr/>
      </vt:variant>
      <vt:variant>
        <vt:i4>7733263</vt:i4>
      </vt:variant>
      <vt:variant>
        <vt:i4>36</vt:i4>
      </vt:variant>
      <vt:variant>
        <vt:i4>0</vt:i4>
      </vt:variant>
      <vt:variant>
        <vt:i4>5</vt:i4>
      </vt:variant>
      <vt:variant>
        <vt:lpwstr>http://www.nevo.co.il/Law_word/law06/tak-7087.pdf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8257549</vt:i4>
      </vt:variant>
      <vt:variant>
        <vt:i4>6</vt:i4>
      </vt:variant>
      <vt:variant>
        <vt:i4>0</vt:i4>
      </vt:variant>
      <vt:variant>
        <vt:i4>5</vt:i4>
      </vt:variant>
      <vt:variant>
        <vt:lpwstr>http://www.nevo.co.il/law_word/law06/tak-7401.pdf</vt:lpwstr>
      </vt:variant>
      <vt:variant>
        <vt:lpwstr/>
      </vt:variant>
      <vt:variant>
        <vt:i4>7733263</vt:i4>
      </vt:variant>
      <vt:variant>
        <vt:i4>3</vt:i4>
      </vt:variant>
      <vt:variant>
        <vt:i4>0</vt:i4>
      </vt:variant>
      <vt:variant>
        <vt:i4>5</vt:i4>
      </vt:variant>
      <vt:variant>
        <vt:lpwstr>http://www.nevo.co.il/Law_word/law06/TAK-7087.pdf</vt:lpwstr>
      </vt:variant>
      <vt:variant>
        <vt:lpwstr/>
      </vt:variant>
      <vt:variant>
        <vt:i4>8126468</vt:i4>
      </vt:variant>
      <vt:variant>
        <vt:i4>0</vt:i4>
      </vt:variant>
      <vt:variant>
        <vt:i4>0</vt:i4>
      </vt:variant>
      <vt:variant>
        <vt:i4>5</vt:i4>
      </vt:variant>
      <vt:variant>
        <vt:lpwstr>http://www.nevo.co.il/Law_word/law06/tak-6834.pdf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השקעות משותפות בנאמנות (דוחות כספיים של קרן), תש"ע-2009</vt:lpwstr>
  </property>
  <property fmtid="{D5CDD505-2E9C-101B-9397-08002B2CF9AE}" pid="4" name="LAWNUMBER">
    <vt:lpwstr>0239</vt:lpwstr>
  </property>
  <property fmtid="{D5CDD505-2E9C-101B-9397-08002B2CF9AE}" pid="5" name="TYPE">
    <vt:lpwstr>01</vt:lpwstr>
  </property>
  <property fmtid="{D5CDD505-2E9C-101B-9397-08002B2CF9AE}" pid="6" name="CHNAME">
    <vt:lpwstr>השקעות משותפות בנאמנות</vt:lpwstr>
  </property>
  <property fmtid="{D5CDD505-2E9C-101B-9397-08002B2CF9AE}" pid="7" name="LINKK3">
    <vt:lpwstr>http://www.nevo.co.il/law_word/law06/tak-7401.pdf;‎רשומות - תקנות כלליות#ק"ת תשע"ד מס' 7401 ‏‏#מיום 29.7.2014 עמ' 1549 – תק' תשע"ד-2014‏</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http://www.nevo.co.il/Law_word/law06/TAK-7087.pdf;‎רשומות - תקנות כלליות#תוקנו ק"ת תשע"ב מס' ‏‏7087 #מיום 5.2.2012 עמ' 738 – תק' תשע"ב-2012‏</vt:lpwstr>
  </property>
  <property fmtid="{D5CDD505-2E9C-101B-9397-08002B2CF9AE}" pid="23" name="MEKOR_NAME1">
    <vt:lpwstr>חוק השקעות משותפות בנאמנות</vt:lpwstr>
  </property>
  <property fmtid="{D5CDD505-2E9C-101B-9397-08002B2CF9AE}" pid="24" name="MEKOR_SAIF1">
    <vt:lpwstr>72XאX;131XאX</vt:lpwstr>
  </property>
  <property fmtid="{D5CDD505-2E9C-101B-9397-08002B2CF9AE}" pid="25" name="LINKK1">
    <vt:lpwstr>http://www.nevo.co.il/Law_word/law06/tak-6834.pdf;‎רשומות - תקנות כלליות#פורסמו ק"ת תש"ע מס' ‏‏6834 #מיום 10.12.2009 עמ' 230‏</vt:lpwstr>
  </property>
  <property fmtid="{D5CDD505-2E9C-101B-9397-08002B2CF9AE}" pid="26" name="NOSE11">
    <vt:lpwstr>משפט פרטי וכלכלה</vt:lpwstr>
  </property>
  <property fmtid="{D5CDD505-2E9C-101B-9397-08002B2CF9AE}" pid="27" name="NOSE21">
    <vt:lpwstr>תאגידים וניירות ערך</vt:lpwstr>
  </property>
  <property fmtid="{D5CDD505-2E9C-101B-9397-08002B2CF9AE}" pid="28" name="NOSE31">
    <vt:lpwstr>השק' משותפות בנאמנות</vt:lpwstr>
  </property>
  <property fmtid="{D5CDD505-2E9C-101B-9397-08002B2CF9AE}" pid="29" name="NOSE41">
    <vt:lpwstr/>
  </property>
  <property fmtid="{D5CDD505-2E9C-101B-9397-08002B2CF9AE}" pid="30" name="NOSE12">
    <vt:lpwstr>משפט פרטי וכלכלה</vt:lpwstr>
  </property>
  <property fmtid="{D5CDD505-2E9C-101B-9397-08002B2CF9AE}" pid="31" name="NOSE22">
    <vt:lpwstr>כספים</vt:lpwstr>
  </property>
  <property fmtid="{D5CDD505-2E9C-101B-9397-08002B2CF9AE}" pid="32" name="NOSE32">
    <vt:lpwstr>השקעות </vt:lpwstr>
  </property>
  <property fmtid="{D5CDD505-2E9C-101B-9397-08002B2CF9AE}" pid="33" name="NOSE42">
    <vt:lpwstr>השק' משותפות בנאמנות</vt:lpwstr>
  </property>
  <property fmtid="{D5CDD505-2E9C-101B-9397-08002B2CF9AE}" pid="34" name="NOSE13">
    <vt:lpwstr>משפט פרטי וכלכלה</vt:lpwstr>
  </property>
  <property fmtid="{D5CDD505-2E9C-101B-9397-08002B2CF9AE}" pid="35" name="NOSE23">
    <vt:lpwstr>חיובים</vt:lpwstr>
  </property>
  <property fmtid="{D5CDD505-2E9C-101B-9397-08002B2CF9AE}" pid="36" name="NOSE33">
    <vt:lpwstr>נאמנות</vt:lpwstr>
  </property>
  <property fmtid="{D5CDD505-2E9C-101B-9397-08002B2CF9AE}" pid="37" name="NOSE43">
    <vt:lpwstr>השק' משותפות בנאמנות</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