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33D8" w:rsidRDefault="00FD33D8" w:rsidP="006A4532">
      <w:pPr>
        <w:pStyle w:val="big-header"/>
        <w:ind w:left="0" w:right="1134"/>
        <w:rPr>
          <w:rFonts w:cs="FrankRuehl" w:hint="cs"/>
          <w:sz w:val="32"/>
          <w:rtl/>
        </w:rPr>
      </w:pPr>
      <w:r>
        <w:rPr>
          <w:rFonts w:cs="FrankRuehl"/>
          <w:sz w:val="32"/>
          <w:rtl/>
        </w:rPr>
        <w:t>תקנות השקעות משותפות בנאמנות (הגבלות אישיות על דירקטור, חבר ועדת השקעות ועובד של מנהל קרן), תשנ"ט</w:t>
      </w:r>
      <w:r w:rsidR="006A4532">
        <w:rPr>
          <w:rFonts w:cs="FrankRuehl" w:hint="cs"/>
          <w:sz w:val="32"/>
          <w:rtl/>
        </w:rPr>
        <w:t>-</w:t>
      </w:r>
      <w:r>
        <w:rPr>
          <w:rFonts w:cs="FrankRuehl"/>
          <w:sz w:val="32"/>
          <w:rtl/>
        </w:rPr>
        <w:t>1999</w:t>
      </w:r>
    </w:p>
    <w:p w:rsidR="00633F0F" w:rsidRPr="00633F0F" w:rsidRDefault="00633F0F" w:rsidP="00633F0F">
      <w:pPr>
        <w:spacing w:line="320" w:lineRule="auto"/>
        <w:jc w:val="left"/>
        <w:rPr>
          <w:rFonts w:cs="FrankRuehl"/>
          <w:szCs w:val="26"/>
          <w:rtl/>
        </w:rPr>
      </w:pPr>
    </w:p>
    <w:p w:rsidR="00633F0F" w:rsidRDefault="00633F0F" w:rsidP="00633F0F">
      <w:pPr>
        <w:spacing w:line="320" w:lineRule="auto"/>
        <w:jc w:val="left"/>
        <w:rPr>
          <w:rFonts w:cs="Miriam"/>
          <w:szCs w:val="22"/>
          <w:rtl/>
        </w:rPr>
      </w:pPr>
      <w:r w:rsidRPr="00633F0F">
        <w:rPr>
          <w:rFonts w:cs="Miriam"/>
          <w:szCs w:val="22"/>
          <w:rtl/>
        </w:rPr>
        <w:t>משפט פרטי וכלכלה</w:t>
      </w:r>
      <w:r w:rsidRPr="00633F0F">
        <w:rPr>
          <w:rFonts w:cs="FrankRuehl"/>
          <w:szCs w:val="26"/>
          <w:rtl/>
        </w:rPr>
        <w:t xml:space="preserve"> – תאגידים וניירות ערך – השק' משותפות בנאמנות</w:t>
      </w:r>
    </w:p>
    <w:p w:rsidR="00633F0F" w:rsidRDefault="00633F0F" w:rsidP="00633F0F">
      <w:pPr>
        <w:spacing w:line="320" w:lineRule="auto"/>
        <w:jc w:val="left"/>
        <w:rPr>
          <w:rFonts w:cs="Miriam"/>
          <w:szCs w:val="22"/>
          <w:rtl/>
        </w:rPr>
      </w:pPr>
      <w:r w:rsidRPr="00633F0F">
        <w:rPr>
          <w:rFonts w:cs="Miriam"/>
          <w:szCs w:val="22"/>
          <w:rtl/>
        </w:rPr>
        <w:t>משפט פרטי וכלכלה</w:t>
      </w:r>
      <w:r w:rsidRPr="00633F0F">
        <w:rPr>
          <w:rFonts w:cs="FrankRuehl"/>
          <w:szCs w:val="26"/>
          <w:rtl/>
        </w:rPr>
        <w:t xml:space="preserve"> – כספים – השקעות  – השק' משותפות בנאמנות</w:t>
      </w:r>
    </w:p>
    <w:p w:rsidR="00633F0F" w:rsidRPr="00633F0F" w:rsidRDefault="00633F0F" w:rsidP="00633F0F">
      <w:pPr>
        <w:spacing w:line="320" w:lineRule="auto"/>
        <w:jc w:val="left"/>
        <w:rPr>
          <w:rFonts w:cs="Miriam" w:hint="cs"/>
          <w:szCs w:val="22"/>
          <w:rtl/>
        </w:rPr>
      </w:pPr>
      <w:r w:rsidRPr="00633F0F">
        <w:rPr>
          <w:rFonts w:cs="Miriam"/>
          <w:szCs w:val="22"/>
          <w:rtl/>
        </w:rPr>
        <w:t>משפט פרטי וכלכלה</w:t>
      </w:r>
      <w:r w:rsidRPr="00633F0F">
        <w:rPr>
          <w:rFonts w:cs="FrankRuehl"/>
          <w:szCs w:val="26"/>
          <w:rtl/>
        </w:rPr>
        <w:t xml:space="preserve"> – חיובים – נאמנות – השק' משותפות בנאמנות</w:t>
      </w:r>
    </w:p>
    <w:p w:rsidR="00FD33D8" w:rsidRDefault="00FD33D8">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FD33D8">
        <w:tblPrEx>
          <w:tblCellMar>
            <w:top w:w="0" w:type="dxa"/>
            <w:bottom w:w="0" w:type="dxa"/>
          </w:tblCellMar>
        </w:tblPrEx>
        <w:tc>
          <w:tcPr>
            <w:tcW w:w="850" w:type="dxa"/>
          </w:tcPr>
          <w:p w:rsidR="00FD33D8" w:rsidRDefault="00FD33D8">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6A4532">
              <w:rPr>
                <w:noProof/>
                <w:sz w:val="24"/>
                <w:rtl/>
              </w:rPr>
              <w:t>2</w:t>
            </w:r>
            <w:r>
              <w:rPr>
                <w:sz w:val="24"/>
                <w:rtl/>
              </w:rPr>
              <w:fldChar w:fldCharType="end"/>
            </w:r>
          </w:p>
        </w:tc>
        <w:tc>
          <w:tcPr>
            <w:tcW w:w="567" w:type="dxa"/>
          </w:tcPr>
          <w:p w:rsidR="00FD33D8" w:rsidRDefault="00FD33D8">
            <w:pPr>
              <w:spacing w:line="240" w:lineRule="auto"/>
              <w:rPr>
                <w:sz w:val="24"/>
              </w:rPr>
            </w:pPr>
            <w:hyperlink w:anchor="Seif0" w:tooltip="קניה ומכירה של  נייר ערך בדרך של נאמנות עיוורת" w:history="1">
              <w:r>
                <w:rPr>
                  <w:rStyle w:val="Hyperlink"/>
                </w:rPr>
                <w:t>Go</w:t>
              </w:r>
            </w:hyperlink>
          </w:p>
        </w:tc>
        <w:tc>
          <w:tcPr>
            <w:tcW w:w="5669" w:type="dxa"/>
          </w:tcPr>
          <w:p w:rsidR="00FD33D8" w:rsidRDefault="00FD33D8">
            <w:pPr>
              <w:spacing w:line="240" w:lineRule="auto"/>
              <w:rPr>
                <w:sz w:val="24"/>
                <w:rtl/>
              </w:rPr>
            </w:pPr>
            <w:r>
              <w:rPr>
                <w:sz w:val="24"/>
                <w:rtl/>
              </w:rPr>
              <w:t>קניה ומכירה של  נייר ערך בדרך של נאמנות עיוורת</w:t>
            </w:r>
          </w:p>
        </w:tc>
        <w:tc>
          <w:tcPr>
            <w:tcW w:w="1247" w:type="dxa"/>
          </w:tcPr>
          <w:p w:rsidR="00FD33D8" w:rsidRDefault="00FD33D8">
            <w:pPr>
              <w:spacing w:line="240" w:lineRule="auto"/>
              <w:rPr>
                <w:sz w:val="24"/>
              </w:rPr>
            </w:pPr>
            <w:r>
              <w:rPr>
                <w:sz w:val="24"/>
                <w:rtl/>
              </w:rPr>
              <w:t xml:space="preserve">סעיף 1 </w:t>
            </w:r>
          </w:p>
        </w:tc>
      </w:tr>
      <w:tr w:rsidR="00FD33D8">
        <w:tblPrEx>
          <w:tblCellMar>
            <w:top w:w="0" w:type="dxa"/>
            <w:bottom w:w="0" w:type="dxa"/>
          </w:tblCellMar>
        </w:tblPrEx>
        <w:tc>
          <w:tcPr>
            <w:tcW w:w="850" w:type="dxa"/>
          </w:tcPr>
          <w:p w:rsidR="00FD33D8" w:rsidRDefault="00FD33D8">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6A4532">
              <w:rPr>
                <w:noProof/>
                <w:sz w:val="24"/>
                <w:rtl/>
              </w:rPr>
              <w:t>2</w:t>
            </w:r>
            <w:r>
              <w:rPr>
                <w:sz w:val="24"/>
                <w:rtl/>
              </w:rPr>
              <w:fldChar w:fldCharType="end"/>
            </w:r>
          </w:p>
        </w:tc>
        <w:tc>
          <w:tcPr>
            <w:tcW w:w="567" w:type="dxa"/>
          </w:tcPr>
          <w:p w:rsidR="00FD33D8" w:rsidRDefault="00FD33D8">
            <w:pPr>
              <w:spacing w:line="240" w:lineRule="auto"/>
              <w:rPr>
                <w:sz w:val="24"/>
              </w:rPr>
            </w:pPr>
            <w:hyperlink w:anchor="Seif1" w:tooltip="ניהול בדרך של נאמנות עיוורת" w:history="1">
              <w:r>
                <w:rPr>
                  <w:rStyle w:val="Hyperlink"/>
                </w:rPr>
                <w:t>Go</w:t>
              </w:r>
            </w:hyperlink>
          </w:p>
        </w:tc>
        <w:tc>
          <w:tcPr>
            <w:tcW w:w="5669" w:type="dxa"/>
          </w:tcPr>
          <w:p w:rsidR="00FD33D8" w:rsidRDefault="00FD33D8">
            <w:pPr>
              <w:spacing w:line="240" w:lineRule="auto"/>
              <w:rPr>
                <w:sz w:val="24"/>
                <w:rtl/>
              </w:rPr>
            </w:pPr>
            <w:r>
              <w:rPr>
                <w:sz w:val="24"/>
                <w:rtl/>
              </w:rPr>
              <w:t>ניהול בדרך של נאמנות עיוורת</w:t>
            </w:r>
          </w:p>
        </w:tc>
        <w:tc>
          <w:tcPr>
            <w:tcW w:w="1247" w:type="dxa"/>
          </w:tcPr>
          <w:p w:rsidR="00FD33D8" w:rsidRDefault="00FD33D8">
            <w:pPr>
              <w:spacing w:line="240" w:lineRule="auto"/>
              <w:rPr>
                <w:sz w:val="24"/>
              </w:rPr>
            </w:pPr>
            <w:r>
              <w:rPr>
                <w:sz w:val="24"/>
                <w:rtl/>
              </w:rPr>
              <w:t xml:space="preserve">סעיף 2 </w:t>
            </w:r>
          </w:p>
        </w:tc>
      </w:tr>
      <w:tr w:rsidR="00FD33D8">
        <w:tblPrEx>
          <w:tblCellMar>
            <w:top w:w="0" w:type="dxa"/>
            <w:bottom w:w="0" w:type="dxa"/>
          </w:tblCellMar>
        </w:tblPrEx>
        <w:tc>
          <w:tcPr>
            <w:tcW w:w="850" w:type="dxa"/>
          </w:tcPr>
          <w:p w:rsidR="00FD33D8" w:rsidRDefault="00FD33D8">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6A4532">
              <w:rPr>
                <w:noProof/>
                <w:sz w:val="24"/>
                <w:rtl/>
              </w:rPr>
              <w:t>2</w:t>
            </w:r>
            <w:r>
              <w:rPr>
                <w:sz w:val="24"/>
                <w:rtl/>
              </w:rPr>
              <w:fldChar w:fldCharType="end"/>
            </w:r>
          </w:p>
        </w:tc>
        <w:tc>
          <w:tcPr>
            <w:tcW w:w="567" w:type="dxa"/>
          </w:tcPr>
          <w:p w:rsidR="00FD33D8" w:rsidRDefault="00FD33D8">
            <w:pPr>
              <w:spacing w:line="240" w:lineRule="auto"/>
              <w:rPr>
                <w:sz w:val="24"/>
              </w:rPr>
            </w:pPr>
            <w:hyperlink w:anchor="Seif2" w:tooltip="תנאים לקניה ולמכירה של  ניירות ערך שלא בנאמנות עיוורת" w:history="1">
              <w:r>
                <w:rPr>
                  <w:rStyle w:val="Hyperlink"/>
                </w:rPr>
                <w:t>Go</w:t>
              </w:r>
            </w:hyperlink>
          </w:p>
        </w:tc>
        <w:tc>
          <w:tcPr>
            <w:tcW w:w="5669" w:type="dxa"/>
          </w:tcPr>
          <w:p w:rsidR="00FD33D8" w:rsidRDefault="00FD33D8">
            <w:pPr>
              <w:spacing w:line="240" w:lineRule="auto"/>
              <w:rPr>
                <w:sz w:val="24"/>
                <w:rtl/>
              </w:rPr>
            </w:pPr>
            <w:r>
              <w:rPr>
                <w:sz w:val="24"/>
                <w:rtl/>
              </w:rPr>
              <w:t>תנאים לקניה ולמכירה של  ניירות ערך שלא בנאמנות עיוורת</w:t>
            </w:r>
          </w:p>
        </w:tc>
        <w:tc>
          <w:tcPr>
            <w:tcW w:w="1247" w:type="dxa"/>
          </w:tcPr>
          <w:p w:rsidR="00FD33D8" w:rsidRDefault="00FD33D8">
            <w:pPr>
              <w:spacing w:line="240" w:lineRule="auto"/>
              <w:rPr>
                <w:sz w:val="24"/>
              </w:rPr>
            </w:pPr>
            <w:r>
              <w:rPr>
                <w:sz w:val="24"/>
                <w:rtl/>
              </w:rPr>
              <w:t xml:space="preserve">סעיף 3 </w:t>
            </w:r>
          </w:p>
        </w:tc>
      </w:tr>
      <w:tr w:rsidR="00FD33D8">
        <w:tblPrEx>
          <w:tblCellMar>
            <w:top w:w="0" w:type="dxa"/>
            <w:bottom w:w="0" w:type="dxa"/>
          </w:tblCellMar>
        </w:tblPrEx>
        <w:tc>
          <w:tcPr>
            <w:tcW w:w="850" w:type="dxa"/>
          </w:tcPr>
          <w:p w:rsidR="00FD33D8" w:rsidRDefault="00FD33D8">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6A4532">
              <w:rPr>
                <w:noProof/>
                <w:sz w:val="24"/>
                <w:rtl/>
              </w:rPr>
              <w:t>3</w:t>
            </w:r>
            <w:r>
              <w:rPr>
                <w:sz w:val="24"/>
                <w:rtl/>
              </w:rPr>
              <w:fldChar w:fldCharType="end"/>
            </w:r>
          </w:p>
        </w:tc>
        <w:tc>
          <w:tcPr>
            <w:tcW w:w="567" w:type="dxa"/>
          </w:tcPr>
          <w:p w:rsidR="00FD33D8" w:rsidRDefault="00FD33D8">
            <w:pPr>
              <w:spacing w:line="240" w:lineRule="auto"/>
              <w:rPr>
                <w:sz w:val="24"/>
              </w:rPr>
            </w:pPr>
            <w:hyperlink w:anchor="Seif3" w:tooltip="ביטול" w:history="1">
              <w:r>
                <w:rPr>
                  <w:rStyle w:val="Hyperlink"/>
                </w:rPr>
                <w:t>Go</w:t>
              </w:r>
            </w:hyperlink>
          </w:p>
        </w:tc>
        <w:tc>
          <w:tcPr>
            <w:tcW w:w="5669" w:type="dxa"/>
          </w:tcPr>
          <w:p w:rsidR="00FD33D8" w:rsidRDefault="00FD33D8">
            <w:pPr>
              <w:spacing w:line="240" w:lineRule="auto"/>
              <w:rPr>
                <w:sz w:val="24"/>
                <w:rtl/>
              </w:rPr>
            </w:pPr>
            <w:r>
              <w:rPr>
                <w:sz w:val="24"/>
                <w:rtl/>
              </w:rPr>
              <w:t>ביטול</w:t>
            </w:r>
          </w:p>
        </w:tc>
        <w:tc>
          <w:tcPr>
            <w:tcW w:w="1247" w:type="dxa"/>
          </w:tcPr>
          <w:p w:rsidR="00FD33D8" w:rsidRDefault="00FD33D8">
            <w:pPr>
              <w:spacing w:line="240" w:lineRule="auto"/>
              <w:rPr>
                <w:sz w:val="24"/>
              </w:rPr>
            </w:pPr>
            <w:r>
              <w:rPr>
                <w:sz w:val="24"/>
                <w:rtl/>
              </w:rPr>
              <w:t xml:space="preserve">סעיף 4 </w:t>
            </w:r>
          </w:p>
        </w:tc>
      </w:tr>
      <w:tr w:rsidR="00FD33D8">
        <w:tblPrEx>
          <w:tblCellMar>
            <w:top w:w="0" w:type="dxa"/>
            <w:bottom w:w="0" w:type="dxa"/>
          </w:tblCellMar>
        </w:tblPrEx>
        <w:tc>
          <w:tcPr>
            <w:tcW w:w="850" w:type="dxa"/>
          </w:tcPr>
          <w:p w:rsidR="00FD33D8" w:rsidRDefault="00FD33D8">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6A4532">
              <w:rPr>
                <w:noProof/>
                <w:sz w:val="24"/>
                <w:rtl/>
              </w:rPr>
              <w:t>3</w:t>
            </w:r>
            <w:r>
              <w:rPr>
                <w:sz w:val="24"/>
                <w:rtl/>
              </w:rPr>
              <w:fldChar w:fldCharType="end"/>
            </w:r>
          </w:p>
        </w:tc>
        <w:tc>
          <w:tcPr>
            <w:tcW w:w="567" w:type="dxa"/>
          </w:tcPr>
          <w:p w:rsidR="00FD33D8" w:rsidRDefault="00FD33D8">
            <w:pPr>
              <w:spacing w:line="240" w:lineRule="auto"/>
              <w:rPr>
                <w:sz w:val="24"/>
              </w:rPr>
            </w:pPr>
            <w:hyperlink w:anchor="Seif4" w:tooltip="תחילה" w:history="1">
              <w:r>
                <w:rPr>
                  <w:rStyle w:val="Hyperlink"/>
                </w:rPr>
                <w:t>Go</w:t>
              </w:r>
            </w:hyperlink>
          </w:p>
        </w:tc>
        <w:tc>
          <w:tcPr>
            <w:tcW w:w="5669" w:type="dxa"/>
          </w:tcPr>
          <w:p w:rsidR="00FD33D8" w:rsidRDefault="00FD33D8">
            <w:pPr>
              <w:spacing w:line="240" w:lineRule="auto"/>
              <w:rPr>
                <w:sz w:val="24"/>
                <w:rtl/>
              </w:rPr>
            </w:pPr>
            <w:r>
              <w:rPr>
                <w:sz w:val="24"/>
                <w:rtl/>
              </w:rPr>
              <w:t>תחילה</w:t>
            </w:r>
          </w:p>
        </w:tc>
        <w:tc>
          <w:tcPr>
            <w:tcW w:w="1247" w:type="dxa"/>
          </w:tcPr>
          <w:p w:rsidR="00FD33D8" w:rsidRDefault="00FD33D8">
            <w:pPr>
              <w:spacing w:line="240" w:lineRule="auto"/>
              <w:rPr>
                <w:sz w:val="24"/>
              </w:rPr>
            </w:pPr>
            <w:r>
              <w:rPr>
                <w:sz w:val="24"/>
                <w:rtl/>
              </w:rPr>
              <w:t xml:space="preserve">סעיף 5 </w:t>
            </w:r>
          </w:p>
        </w:tc>
      </w:tr>
    </w:tbl>
    <w:p w:rsidR="00FD33D8" w:rsidRDefault="00FD33D8">
      <w:pPr>
        <w:pStyle w:val="big-header"/>
        <w:ind w:left="0" w:right="1134"/>
        <w:rPr>
          <w:rFonts w:cs="FrankRuehl"/>
          <w:sz w:val="32"/>
          <w:rtl/>
        </w:rPr>
      </w:pPr>
    </w:p>
    <w:p w:rsidR="00FD33D8" w:rsidRPr="00633F0F" w:rsidRDefault="00FD33D8" w:rsidP="00633F0F">
      <w:pPr>
        <w:pStyle w:val="big-header"/>
        <w:ind w:left="0" w:right="1134"/>
        <w:rPr>
          <w:rStyle w:val="default"/>
          <w:rFonts w:hint="cs"/>
          <w:sz w:val="20"/>
          <w:szCs w:val="32"/>
          <w:rtl/>
        </w:rPr>
      </w:pPr>
      <w:r>
        <w:rPr>
          <w:rFonts w:cs="FrankRuehl"/>
          <w:sz w:val="32"/>
          <w:rtl/>
        </w:rPr>
        <w:br w:type="page"/>
      </w:r>
      <w:r>
        <w:rPr>
          <w:rFonts w:cs="FrankRuehl"/>
          <w:sz w:val="32"/>
          <w:rtl/>
        </w:rPr>
        <w:lastRenderedPageBreak/>
        <w:t>תק</w:t>
      </w:r>
      <w:r>
        <w:rPr>
          <w:rFonts w:cs="FrankRuehl" w:hint="cs"/>
          <w:sz w:val="32"/>
          <w:rtl/>
        </w:rPr>
        <w:t>נות השקעות משותפות בנאמנות (הגבלות אישיות על דירקטור, חבר ועדת השקעות ועובד של מנהל קרן), תשנ"ט</w:t>
      </w:r>
      <w:r w:rsidR="006A4532">
        <w:rPr>
          <w:rFonts w:cs="FrankRuehl" w:hint="cs"/>
          <w:sz w:val="32"/>
          <w:rtl/>
        </w:rPr>
        <w:t>-</w:t>
      </w:r>
      <w:r>
        <w:rPr>
          <w:rFonts w:cs="FrankRuehl"/>
          <w:sz w:val="32"/>
          <w:rtl/>
        </w:rPr>
        <w:t>1999</w:t>
      </w:r>
      <w:r w:rsidR="006A4532">
        <w:rPr>
          <w:rStyle w:val="a6"/>
          <w:rFonts w:cs="FrankRuehl"/>
          <w:sz w:val="32"/>
          <w:rtl/>
        </w:rPr>
        <w:footnoteReference w:customMarkFollows="1" w:id="1"/>
        <w:t>*</w:t>
      </w:r>
    </w:p>
    <w:p w:rsidR="00FD33D8" w:rsidRDefault="00FD33D8" w:rsidP="006A4532">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21(ב) ו-(ג) ו-131(א) לחוק השקעות</w:t>
      </w:r>
      <w:r>
        <w:rPr>
          <w:rStyle w:val="default"/>
          <w:rFonts w:cs="FrankRuehl"/>
          <w:rtl/>
        </w:rPr>
        <w:t xml:space="preserve"> מ</w:t>
      </w:r>
      <w:r>
        <w:rPr>
          <w:rStyle w:val="default"/>
          <w:rFonts w:cs="FrankRuehl" w:hint="cs"/>
          <w:rtl/>
        </w:rPr>
        <w:t>שותפות בנאמנות, תשנ"ד</w:t>
      </w:r>
      <w:r w:rsidR="006A4532">
        <w:rPr>
          <w:rStyle w:val="default"/>
          <w:rFonts w:cs="FrankRuehl" w:hint="cs"/>
          <w:rtl/>
        </w:rPr>
        <w:t>-</w:t>
      </w:r>
      <w:r>
        <w:rPr>
          <w:rStyle w:val="default"/>
          <w:rFonts w:cs="FrankRuehl"/>
          <w:rtl/>
        </w:rPr>
        <w:t>1994 (</w:t>
      </w:r>
      <w:r>
        <w:rPr>
          <w:rStyle w:val="default"/>
          <w:rFonts w:cs="FrankRuehl" w:hint="cs"/>
          <w:rtl/>
        </w:rPr>
        <w:t xml:space="preserve">להלן </w:t>
      </w:r>
      <w:r w:rsidR="006A4532">
        <w:rPr>
          <w:rStyle w:val="default"/>
          <w:rFonts w:cs="FrankRuehl" w:hint="cs"/>
          <w:rtl/>
        </w:rPr>
        <w:t>-</w:t>
      </w:r>
      <w:r>
        <w:rPr>
          <w:rStyle w:val="default"/>
          <w:rFonts w:cs="FrankRuehl"/>
          <w:rtl/>
        </w:rPr>
        <w:t xml:space="preserve"> </w:t>
      </w:r>
      <w:r>
        <w:rPr>
          <w:rStyle w:val="default"/>
          <w:rFonts w:cs="FrankRuehl" w:hint="cs"/>
          <w:rtl/>
        </w:rPr>
        <w:t>החוק), לפי הצעת הרשות וב</w:t>
      </w:r>
      <w:r>
        <w:rPr>
          <w:rStyle w:val="default"/>
          <w:rFonts w:cs="FrankRuehl"/>
          <w:rtl/>
        </w:rPr>
        <w:t>אי</w:t>
      </w:r>
      <w:r>
        <w:rPr>
          <w:rStyle w:val="default"/>
          <w:rFonts w:cs="FrankRuehl" w:hint="cs"/>
          <w:rtl/>
        </w:rPr>
        <w:t>שור ועדת הכספים של הכנסת, אני מתקין תקנות אלה:</w:t>
      </w:r>
    </w:p>
    <w:p w:rsidR="00FD33D8" w:rsidRDefault="00FD33D8">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29.45pt;z-index:251655680" o:allowincell="f" filled="f" stroked="f" strokecolor="lime" strokeweight=".25pt">
            <v:textbox inset="0,0,0,0">
              <w:txbxContent>
                <w:p w:rsidR="00FD33D8" w:rsidRDefault="00FD33D8" w:rsidP="006A4532">
                  <w:pPr>
                    <w:spacing w:line="160" w:lineRule="exact"/>
                    <w:jc w:val="left"/>
                    <w:rPr>
                      <w:rFonts w:cs="Miriam"/>
                      <w:noProof/>
                      <w:sz w:val="18"/>
                      <w:szCs w:val="18"/>
                      <w:rtl/>
                    </w:rPr>
                  </w:pPr>
                  <w:r>
                    <w:rPr>
                      <w:rFonts w:cs="Miriam"/>
                      <w:sz w:val="18"/>
                      <w:szCs w:val="18"/>
                      <w:rtl/>
                    </w:rPr>
                    <w:t>קנ</w:t>
                  </w:r>
                  <w:r>
                    <w:rPr>
                      <w:rFonts w:cs="Miriam" w:hint="cs"/>
                      <w:sz w:val="18"/>
                      <w:szCs w:val="18"/>
                      <w:rtl/>
                    </w:rPr>
                    <w:t>יה ומכירה של נ</w:t>
                  </w:r>
                  <w:r>
                    <w:rPr>
                      <w:rFonts w:cs="Miriam"/>
                      <w:sz w:val="18"/>
                      <w:szCs w:val="18"/>
                      <w:rtl/>
                    </w:rPr>
                    <w:t>י</w:t>
                  </w:r>
                  <w:r>
                    <w:rPr>
                      <w:rFonts w:cs="Miriam" w:hint="cs"/>
                      <w:sz w:val="18"/>
                      <w:szCs w:val="18"/>
                      <w:rtl/>
                    </w:rPr>
                    <w:t>יר ערך בדרך של נאמנות עיוורת</w:t>
                  </w:r>
                </w:p>
              </w:txbxContent>
            </v:textbox>
            <w10:anchorlock/>
          </v:rect>
        </w:pict>
      </w:r>
      <w:r>
        <w:rPr>
          <w:rStyle w:val="big-number"/>
          <w:rFonts w:cs="Miriam"/>
          <w:rtl/>
        </w:rPr>
        <w:t>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ירקטור של מנהל קרן או חבר ועדת השקעות שאינו משתתף בקבלת החלטות שענינן ניהול תיק ההשקעות של הקרן, רשאים נוסף על האמור בסעיף 21(א) לחוק, לקנות ולמכור ניירות ערך הרשומים למסחר בבורסה בדרך של נאמנות עיו</w:t>
      </w:r>
      <w:r>
        <w:rPr>
          <w:rStyle w:val="default"/>
          <w:rFonts w:cs="FrankRuehl"/>
          <w:rtl/>
        </w:rPr>
        <w:t>ור</w:t>
      </w:r>
      <w:r>
        <w:rPr>
          <w:rStyle w:val="default"/>
          <w:rFonts w:cs="FrankRuehl" w:hint="cs"/>
          <w:rtl/>
        </w:rPr>
        <w:t xml:space="preserve">ת, כמפורט בתקנה 2. </w:t>
      </w:r>
    </w:p>
    <w:p w:rsidR="00FD33D8" w:rsidRDefault="00FD33D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ובד של מנהל קרן, וכן חבר ועדת השקעות או מועסק על ידי מנהל קרן המשתתפים בקבלת החלטות שענינן ניהול תיק ההשקעות של הקרן, רשאים לקנות ולמכור ניירו</w:t>
      </w:r>
      <w:r>
        <w:rPr>
          <w:rStyle w:val="default"/>
          <w:rFonts w:cs="FrankRuehl"/>
          <w:rtl/>
        </w:rPr>
        <w:t>ת</w:t>
      </w:r>
      <w:r>
        <w:rPr>
          <w:rStyle w:val="default"/>
          <w:rFonts w:cs="FrankRuehl" w:hint="cs"/>
          <w:rtl/>
        </w:rPr>
        <w:t xml:space="preserve"> ערך הרשומים למסחר בבורסה בדרך של נאמנות עיוורת, כמפורט בתקנה 2. </w:t>
      </w:r>
    </w:p>
    <w:p w:rsidR="00FD33D8" w:rsidRDefault="00FD33D8" w:rsidP="006A4532">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9.35pt;z-index:251656704" o:allowincell="f" filled="f" stroked="f" strokecolor="lime" strokeweight=".25pt">
            <v:textbox inset="0,0,0,0">
              <w:txbxContent>
                <w:p w:rsidR="00FD33D8" w:rsidRDefault="00FD33D8">
                  <w:pPr>
                    <w:spacing w:line="160" w:lineRule="exact"/>
                    <w:jc w:val="left"/>
                    <w:rPr>
                      <w:rFonts w:cs="Miriam"/>
                      <w:noProof/>
                      <w:sz w:val="18"/>
                      <w:szCs w:val="18"/>
                      <w:rtl/>
                    </w:rPr>
                  </w:pPr>
                  <w:r>
                    <w:rPr>
                      <w:rFonts w:cs="Miriam"/>
                      <w:sz w:val="18"/>
                      <w:szCs w:val="18"/>
                      <w:rtl/>
                    </w:rPr>
                    <w:t>ני</w:t>
                  </w:r>
                  <w:r>
                    <w:rPr>
                      <w:rFonts w:cs="Miriam" w:hint="cs"/>
                      <w:sz w:val="18"/>
                      <w:szCs w:val="18"/>
                      <w:rtl/>
                    </w:rPr>
                    <w:t>הול בדרך של נאמנות עיוורת</w:t>
                  </w:r>
                </w:p>
              </w:txbxContent>
            </v:textbox>
            <w10:anchorlock/>
          </v:rect>
        </w:pict>
      </w:r>
      <w:r>
        <w:rPr>
          <w:rStyle w:val="big-number"/>
          <w:rFonts w:cs="Miriam"/>
          <w:rtl/>
        </w:rPr>
        <w:t>2.</w:t>
      </w:r>
      <w:r>
        <w:rPr>
          <w:rStyle w:val="big-number"/>
          <w:rFonts w:cs="Miriam"/>
          <w:rtl/>
        </w:rPr>
        <w:tab/>
      </w:r>
      <w:r>
        <w:rPr>
          <w:rStyle w:val="default"/>
          <w:rFonts w:cs="FrankRuehl"/>
          <w:rtl/>
        </w:rPr>
        <w:t>קנ</w:t>
      </w:r>
      <w:r>
        <w:rPr>
          <w:rStyle w:val="default"/>
          <w:rFonts w:cs="FrankRuehl" w:hint="cs"/>
          <w:rtl/>
        </w:rPr>
        <w:t xml:space="preserve">יה ומכירה של </w:t>
      </w:r>
      <w:r>
        <w:rPr>
          <w:rStyle w:val="default"/>
          <w:rFonts w:cs="FrankRuehl"/>
          <w:rtl/>
        </w:rPr>
        <w:t>ני</w:t>
      </w:r>
      <w:r>
        <w:rPr>
          <w:rStyle w:val="default"/>
          <w:rFonts w:cs="FrankRuehl" w:hint="cs"/>
          <w:rtl/>
        </w:rPr>
        <w:t xml:space="preserve">ירות ערך (להלן </w:t>
      </w:r>
      <w:r w:rsidR="006A4532">
        <w:rPr>
          <w:rStyle w:val="default"/>
          <w:rFonts w:cs="FrankRuehl" w:hint="cs"/>
          <w:rtl/>
        </w:rPr>
        <w:t>-</w:t>
      </w:r>
      <w:r>
        <w:rPr>
          <w:rStyle w:val="default"/>
          <w:rFonts w:cs="FrankRuehl"/>
          <w:rtl/>
        </w:rPr>
        <w:t xml:space="preserve"> </w:t>
      </w:r>
      <w:r>
        <w:rPr>
          <w:rStyle w:val="default"/>
          <w:rFonts w:cs="FrankRuehl" w:hint="cs"/>
          <w:rtl/>
        </w:rPr>
        <w:t>ניהול תיק ניירות ערך), בדרך של נאמנות עיוורת, ייעשו בידי נאמן, לפי כללים אלה:</w:t>
      </w:r>
    </w:p>
    <w:p w:rsidR="00FD33D8" w:rsidRDefault="00FD33D8">
      <w:pPr>
        <w:pStyle w:val="P11"/>
        <w:spacing w:before="72"/>
        <w:ind w:left="624" w:right="1134"/>
        <w:rPr>
          <w:rStyle w:val="default"/>
          <w:rFonts w:cs="FrankRuehl" w:hint="cs"/>
          <w:rtl/>
        </w:rPr>
      </w:pPr>
      <w:r>
        <w:rPr>
          <w:rStyle w:val="default"/>
          <w:rFonts w:cs="FrankRuehl"/>
          <w:rtl/>
        </w:rPr>
        <w:t>(1)</w:t>
      </w:r>
      <w:r>
        <w:rPr>
          <w:rStyle w:val="default"/>
          <w:rFonts w:cs="FrankRuehl"/>
          <w:rtl/>
        </w:rPr>
        <w:tab/>
        <w:t>ת</w:t>
      </w:r>
      <w:r>
        <w:rPr>
          <w:rStyle w:val="default"/>
          <w:rFonts w:cs="FrankRuehl" w:hint="cs"/>
          <w:rtl/>
        </w:rPr>
        <w:t xml:space="preserve">יק ניירות הערך ינוהל בידי הנאמן על פי שיקול דעתו הבלעדי, ואין הוא רשאי לקבל הוראות, בין במישרין ובין בעקיפין, בענין ניהולו, למעט לענין </w:t>
      </w:r>
      <w:r w:rsidR="006A4532">
        <w:rPr>
          <w:rStyle w:val="default"/>
          <w:rFonts w:cs="FrankRuehl"/>
          <w:rtl/>
        </w:rPr>
        <w:t>–</w:t>
      </w:r>
    </w:p>
    <w:p w:rsidR="00FD33D8" w:rsidRDefault="00FD33D8">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רכב תיק ניירות הערך לפי סוגי ניירות הערך שייכללו בו ובשיע</w:t>
      </w:r>
      <w:r>
        <w:rPr>
          <w:rStyle w:val="default"/>
          <w:rFonts w:cs="FrankRuehl"/>
          <w:rtl/>
        </w:rPr>
        <w:t>ו</w:t>
      </w:r>
      <w:r>
        <w:rPr>
          <w:rStyle w:val="default"/>
          <w:rFonts w:cs="FrankRuehl" w:hint="cs"/>
          <w:rtl/>
        </w:rPr>
        <w:t>רים שייכללו בו;</w:t>
      </w:r>
    </w:p>
    <w:p w:rsidR="00FD33D8" w:rsidRDefault="00FD33D8">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כירת ניירות ערך שבתיק ניירות הערך, כולם או כדי סכום מסוים, או ניירות ערך מסוגים מסוימים;</w:t>
      </w:r>
    </w:p>
    <w:p w:rsidR="00FD33D8" w:rsidRDefault="00FD33D8">
      <w:pPr>
        <w:pStyle w:val="P22"/>
        <w:spacing w:before="72"/>
        <w:ind w:left="1021" w:right="1134"/>
        <w:rPr>
          <w:rStyle w:val="default"/>
          <w:rFonts w:cs="FrankRuehl" w:hint="cs"/>
          <w:rtl/>
        </w:rPr>
      </w:pPr>
      <w:r>
        <w:rPr>
          <w:rStyle w:val="default"/>
          <w:rFonts w:cs="FrankRuehl" w:hint="cs"/>
          <w:rtl/>
        </w:rPr>
        <w:t>ו</w:t>
      </w:r>
      <w:r>
        <w:rPr>
          <w:rStyle w:val="default"/>
          <w:rFonts w:cs="FrankRuehl"/>
          <w:rtl/>
        </w:rPr>
        <w:t>ב</w:t>
      </w:r>
      <w:r>
        <w:rPr>
          <w:rStyle w:val="default"/>
          <w:rFonts w:cs="FrankRuehl" w:hint="cs"/>
          <w:rtl/>
        </w:rPr>
        <w:t>לבד</w:t>
      </w:r>
      <w:r>
        <w:rPr>
          <w:rStyle w:val="default"/>
          <w:rFonts w:cs="FrankRuehl"/>
          <w:rtl/>
        </w:rPr>
        <w:t xml:space="preserve"> ש</w:t>
      </w:r>
      <w:r>
        <w:rPr>
          <w:rStyle w:val="default"/>
          <w:rFonts w:cs="FrankRuehl" w:hint="cs"/>
          <w:rtl/>
        </w:rPr>
        <w:t>לא תינתן הוראה, במישרין או בעקיפי</w:t>
      </w:r>
      <w:r w:rsidR="006A4532">
        <w:rPr>
          <w:rStyle w:val="default"/>
          <w:rFonts w:cs="FrankRuehl" w:hint="cs"/>
          <w:rtl/>
        </w:rPr>
        <w:t>ן, המתייחסת לניירות ערך מסוימים;</w:t>
      </w:r>
    </w:p>
    <w:p w:rsidR="00FD33D8" w:rsidRDefault="00FD33D8">
      <w:pPr>
        <w:pStyle w:val="P11"/>
        <w:spacing w:before="72"/>
        <w:ind w:left="624"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 xml:space="preserve">נאמן יהיה תאגיד חבר בורסה לניירות ערך בישראל, חברה בשליטתו או חברה </w:t>
      </w:r>
      <w:r>
        <w:rPr>
          <w:rStyle w:val="default"/>
          <w:rFonts w:cs="FrankRuehl"/>
          <w:rtl/>
        </w:rPr>
        <w:t>ב</w:t>
      </w:r>
      <w:r>
        <w:rPr>
          <w:rStyle w:val="default"/>
          <w:rFonts w:cs="FrankRuehl" w:hint="cs"/>
          <w:rtl/>
        </w:rPr>
        <w:t>שליטת בעל שליטה בו, ובעל רשיון מנהל תיקים, שמתקיימים בו שני אלה:</w:t>
      </w:r>
    </w:p>
    <w:p w:rsidR="00FD33D8" w:rsidRDefault="00FD33D8" w:rsidP="006A4532">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וא אינו חברה השולטת במנהל הקרן או חברה בשליטת</w:t>
      </w:r>
      <w:r>
        <w:rPr>
          <w:rStyle w:val="default"/>
          <w:rFonts w:cs="FrankRuehl"/>
          <w:rtl/>
        </w:rPr>
        <w:t xml:space="preserve"> ח</w:t>
      </w:r>
      <w:r>
        <w:rPr>
          <w:rStyle w:val="default"/>
          <w:rFonts w:cs="FrankRuehl" w:hint="cs"/>
          <w:rtl/>
        </w:rPr>
        <w:t xml:space="preserve">ברה כאמור ואינו חברה שמנהל הקרן הוא חברה קשורה שלה; לענין זה, "חברה קשורה" </w:t>
      </w:r>
      <w:r w:rsidR="006A4532">
        <w:rPr>
          <w:rStyle w:val="default"/>
          <w:rFonts w:cs="FrankRuehl" w:hint="cs"/>
          <w:rtl/>
        </w:rPr>
        <w:t>-</w:t>
      </w:r>
      <w:r>
        <w:rPr>
          <w:rStyle w:val="default"/>
          <w:rFonts w:cs="FrankRuehl"/>
          <w:rtl/>
        </w:rPr>
        <w:t xml:space="preserve"> </w:t>
      </w:r>
      <w:r>
        <w:rPr>
          <w:rStyle w:val="default"/>
          <w:rFonts w:cs="FrankRuehl" w:hint="cs"/>
          <w:rtl/>
        </w:rPr>
        <w:t>כמשמעותה בחוק ניירות ערך;</w:t>
      </w:r>
    </w:p>
    <w:p w:rsidR="00FD33D8" w:rsidRDefault="00FD33D8">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על תיק ניירות הערך אינו בעל ענין בו.</w:t>
      </w:r>
    </w:p>
    <w:p w:rsidR="00FD33D8" w:rsidRDefault="00FD33D8">
      <w:pPr>
        <w:pStyle w:val="P11"/>
        <w:spacing w:before="72"/>
        <w:ind w:left="624" w:right="1134"/>
        <w:rPr>
          <w:rStyle w:val="default"/>
          <w:rFonts w:cs="FrankRuehl"/>
          <w:rtl/>
        </w:rPr>
      </w:pPr>
      <w:r>
        <w:rPr>
          <w:rStyle w:val="default"/>
          <w:rFonts w:cs="FrankRuehl"/>
          <w:rtl/>
        </w:rPr>
        <w:t>(3)</w:t>
      </w:r>
      <w:r>
        <w:rPr>
          <w:rStyle w:val="default"/>
          <w:rFonts w:cs="FrankRuehl"/>
          <w:rtl/>
        </w:rPr>
        <w:tab/>
        <w:t>ה</w:t>
      </w:r>
      <w:r>
        <w:rPr>
          <w:rStyle w:val="default"/>
          <w:rFonts w:cs="FrankRuehl" w:hint="cs"/>
          <w:rtl/>
        </w:rPr>
        <w:t>נאמן ימציא את המסמכים הנוגעים לחשבון הנאמנות העיוורת ליושב ראש הרשות, לפי דרישתו, לצורכי ביקורת.</w:t>
      </w:r>
    </w:p>
    <w:p w:rsidR="00FD33D8" w:rsidRDefault="00FD33D8">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39.15pt;z-index:251657728" o:allowincell="f" filled="f" stroked="f" strokecolor="lime" strokeweight=".25pt">
            <v:textbox inset="0,0,0,0">
              <w:txbxContent>
                <w:p w:rsidR="00FD33D8" w:rsidRDefault="00FD33D8" w:rsidP="006A4532">
                  <w:pPr>
                    <w:spacing w:line="160" w:lineRule="exact"/>
                    <w:jc w:val="left"/>
                    <w:rPr>
                      <w:rFonts w:cs="Miriam"/>
                      <w:noProof/>
                      <w:sz w:val="18"/>
                      <w:szCs w:val="18"/>
                      <w:rtl/>
                    </w:rPr>
                  </w:pPr>
                  <w:r>
                    <w:rPr>
                      <w:rFonts w:cs="Miriam"/>
                      <w:sz w:val="18"/>
                      <w:szCs w:val="18"/>
                      <w:rtl/>
                    </w:rPr>
                    <w:t>תנ</w:t>
                  </w:r>
                  <w:r>
                    <w:rPr>
                      <w:rFonts w:cs="Miriam" w:hint="cs"/>
                      <w:sz w:val="18"/>
                      <w:szCs w:val="18"/>
                      <w:rtl/>
                    </w:rPr>
                    <w:t xml:space="preserve">אים לקניה ולמכירה של </w:t>
                  </w:r>
                  <w:r>
                    <w:rPr>
                      <w:rFonts w:cs="Miriam"/>
                      <w:sz w:val="18"/>
                      <w:szCs w:val="18"/>
                      <w:rtl/>
                    </w:rPr>
                    <w:t>נ</w:t>
                  </w:r>
                  <w:r>
                    <w:rPr>
                      <w:rFonts w:cs="Miriam" w:hint="cs"/>
                      <w:sz w:val="18"/>
                      <w:szCs w:val="18"/>
                      <w:rtl/>
                    </w:rPr>
                    <w:t>יירות ערך שלא בנאמנות עיוורת</w:t>
                  </w:r>
                </w:p>
              </w:txbxContent>
            </v:textbox>
            <w10:anchorlock/>
          </v:rect>
        </w:pict>
      </w:r>
      <w:r>
        <w:rPr>
          <w:rStyle w:val="big-number"/>
          <w:rFonts w:cs="Miriam"/>
          <w:rtl/>
        </w:rPr>
        <w:t>3.</w:t>
      </w:r>
      <w:r>
        <w:rPr>
          <w:rStyle w:val="big-number"/>
          <w:rFonts w:cs="Miriam"/>
          <w:rtl/>
        </w:rPr>
        <w:tab/>
      </w:r>
      <w:r>
        <w:rPr>
          <w:rStyle w:val="default"/>
          <w:rFonts w:cs="FrankRuehl"/>
          <w:rtl/>
        </w:rPr>
        <w:t>חב</w:t>
      </w:r>
      <w:r>
        <w:rPr>
          <w:rStyle w:val="default"/>
          <w:rFonts w:cs="FrankRuehl" w:hint="cs"/>
          <w:rtl/>
        </w:rPr>
        <w:t>ר</w:t>
      </w:r>
      <w:r>
        <w:rPr>
          <w:rStyle w:val="default"/>
          <w:rFonts w:cs="FrankRuehl"/>
          <w:rtl/>
        </w:rPr>
        <w:t xml:space="preserve"> ו</w:t>
      </w:r>
      <w:r>
        <w:rPr>
          <w:rStyle w:val="default"/>
          <w:rFonts w:cs="FrankRuehl" w:hint="cs"/>
          <w:rtl/>
        </w:rPr>
        <w:t>עדת השקעות של מנהל קרן ומי שמועסק על ידי מנהל קרן, המשתתפים בקבלת החלטות הנוגעות ל</w:t>
      </w:r>
      <w:r>
        <w:rPr>
          <w:rStyle w:val="default"/>
          <w:rFonts w:cs="FrankRuehl"/>
          <w:rtl/>
        </w:rPr>
        <w:t>נ</w:t>
      </w:r>
      <w:r>
        <w:rPr>
          <w:rStyle w:val="default"/>
          <w:rFonts w:cs="FrankRuehl" w:hint="cs"/>
          <w:rtl/>
        </w:rPr>
        <w:t>ייר ערך מסוים, ועובד של מנהל קרן, לא יקנו מחוץ לתפקידם אצל מנהל הקרן שלא בדרך של נאמנות עיוורת ניירות ערך, אלא מסוגים ובתנאים אלה:</w:t>
      </w:r>
    </w:p>
    <w:p w:rsidR="00FD33D8" w:rsidRDefault="00FD33D8">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נ</w:t>
      </w:r>
      <w:r>
        <w:rPr>
          <w:rStyle w:val="default"/>
          <w:rFonts w:cs="FrankRuehl" w:hint="cs"/>
          <w:rtl/>
        </w:rPr>
        <w:t xml:space="preserve">ייר ערך שאינו נסחר בבורסה או בשוק </w:t>
      </w:r>
      <w:r>
        <w:rPr>
          <w:rStyle w:val="default"/>
          <w:rFonts w:cs="FrankRuehl"/>
          <w:rtl/>
        </w:rPr>
        <w:t>מו</w:t>
      </w:r>
      <w:r>
        <w:rPr>
          <w:rStyle w:val="default"/>
          <w:rFonts w:cs="FrankRuehl" w:hint="cs"/>
          <w:rtl/>
        </w:rPr>
        <w:t>סדר;</w:t>
      </w:r>
    </w:p>
    <w:p w:rsidR="00FD33D8" w:rsidRDefault="00FD33D8" w:rsidP="006A4532">
      <w:pPr>
        <w:pStyle w:val="P11"/>
        <w:spacing w:before="72"/>
        <w:ind w:left="624" w:right="1134"/>
        <w:rPr>
          <w:rStyle w:val="default"/>
          <w:rFonts w:cs="FrankRuehl"/>
          <w:rtl/>
        </w:rPr>
      </w:pPr>
      <w:r>
        <w:rPr>
          <w:rStyle w:val="default"/>
          <w:rFonts w:cs="FrankRuehl"/>
          <w:rtl/>
        </w:rPr>
        <w:t>(2)</w:t>
      </w:r>
      <w:r>
        <w:rPr>
          <w:rStyle w:val="default"/>
          <w:rFonts w:cs="FrankRuehl"/>
          <w:rtl/>
        </w:rPr>
        <w:tab/>
        <w:t>נ</w:t>
      </w:r>
      <w:r>
        <w:rPr>
          <w:rStyle w:val="default"/>
          <w:rFonts w:cs="FrankRuehl" w:hint="cs"/>
          <w:rtl/>
        </w:rPr>
        <w:t>ייר ערך חוץ שהוציאה חברה שאינה חברה הרשומה בישראל, ששווייה ליום שבו נקנה</w:t>
      </w:r>
      <w:r>
        <w:rPr>
          <w:rStyle w:val="default"/>
          <w:rFonts w:cs="FrankRuehl"/>
          <w:rtl/>
        </w:rPr>
        <w:t xml:space="preserve"> </w:t>
      </w:r>
      <w:r>
        <w:rPr>
          <w:rStyle w:val="default"/>
          <w:rFonts w:cs="FrankRuehl" w:hint="cs"/>
          <w:rtl/>
        </w:rPr>
        <w:t xml:space="preserve">נייר ערך החוץ גבוה מסכום בשקלים השווה למאתיים מיליון דולר של ארה"ב של אמריקה; לענין זה, "שווי חברה" </w:t>
      </w:r>
      <w:r w:rsidR="006A4532">
        <w:rPr>
          <w:rStyle w:val="default"/>
          <w:rFonts w:cs="FrankRuehl" w:hint="cs"/>
          <w:rtl/>
        </w:rPr>
        <w:t>-</w:t>
      </w:r>
      <w:r>
        <w:rPr>
          <w:rStyle w:val="default"/>
          <w:rFonts w:cs="FrankRuehl"/>
          <w:rtl/>
        </w:rPr>
        <w:t xml:space="preserve"> </w:t>
      </w:r>
      <w:r>
        <w:rPr>
          <w:rStyle w:val="default"/>
          <w:rFonts w:cs="FrankRuehl" w:hint="cs"/>
          <w:rtl/>
        </w:rPr>
        <w:t>הכמות הרשומה למסחר של מניות שהוציאה החברה, כשהיא מוכפלת בשווייה של מנ</w:t>
      </w:r>
      <w:r>
        <w:rPr>
          <w:rStyle w:val="default"/>
          <w:rFonts w:cs="FrankRuehl"/>
          <w:rtl/>
        </w:rPr>
        <w:t>יה</w:t>
      </w:r>
      <w:r>
        <w:rPr>
          <w:rStyle w:val="default"/>
          <w:rFonts w:cs="FrankRuehl" w:hint="cs"/>
          <w:rtl/>
        </w:rPr>
        <w:t xml:space="preserve"> כאמור לתום יום המסחר;</w:t>
      </w:r>
    </w:p>
    <w:p w:rsidR="00FD33D8" w:rsidRDefault="00FD33D8">
      <w:pPr>
        <w:pStyle w:val="P11"/>
        <w:spacing w:before="72"/>
        <w:ind w:left="624"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יירות ערך שהוציאה המדינה או שהוציאה מדינה שאינה מדינת ישראל;</w:t>
      </w:r>
    </w:p>
    <w:p w:rsidR="00FD33D8" w:rsidRDefault="00FD33D8" w:rsidP="006A4532">
      <w:pPr>
        <w:pStyle w:val="P11"/>
        <w:spacing w:before="72"/>
        <w:ind w:left="624" w:right="1134"/>
        <w:rPr>
          <w:rStyle w:val="default"/>
          <w:rFonts w:cs="FrankRuehl"/>
          <w:rtl/>
        </w:rPr>
      </w:pPr>
      <w:r>
        <w:rPr>
          <w:rStyle w:val="default"/>
          <w:rFonts w:cs="FrankRuehl" w:hint="cs"/>
          <w:rtl/>
        </w:rPr>
        <w:t>(4)</w:t>
      </w:r>
      <w:r>
        <w:rPr>
          <w:rStyle w:val="default"/>
          <w:rFonts w:cs="FrankRuehl"/>
          <w:rtl/>
        </w:rPr>
        <w:tab/>
        <w:t>נ</w:t>
      </w:r>
      <w:r>
        <w:rPr>
          <w:rStyle w:val="default"/>
          <w:rFonts w:cs="FrankRuehl" w:hint="cs"/>
          <w:rtl/>
        </w:rPr>
        <w:t xml:space="preserve">ייר ערך הרשום למסחר בבורסה בישראל שהוציא תאגיד שהוא מעבידו או תאגיד השולט במעבידו, ובלבד שקנה את נייר הערך בהצעה מיוחדת של אותו תאגיד לעובדיו, ואם היה נייר ערך </w:t>
      </w:r>
      <w:r>
        <w:rPr>
          <w:rStyle w:val="default"/>
          <w:rFonts w:cs="FrankRuehl"/>
          <w:rtl/>
        </w:rPr>
        <w:t>הנ</w:t>
      </w:r>
      <w:r>
        <w:rPr>
          <w:rStyle w:val="default"/>
          <w:rFonts w:cs="FrankRuehl" w:hint="cs"/>
          <w:rtl/>
        </w:rPr>
        <w:t xml:space="preserve">יתן להמרה </w:t>
      </w:r>
      <w:r w:rsidR="006A4532">
        <w:rPr>
          <w:rStyle w:val="default"/>
          <w:rFonts w:cs="FrankRuehl" w:hint="cs"/>
          <w:rtl/>
        </w:rPr>
        <w:t>-</w:t>
      </w:r>
      <w:r>
        <w:rPr>
          <w:rStyle w:val="default"/>
          <w:rFonts w:cs="FrankRuehl"/>
          <w:rtl/>
        </w:rPr>
        <w:t xml:space="preserve"> </w:t>
      </w:r>
      <w:r>
        <w:rPr>
          <w:rStyle w:val="default"/>
          <w:rFonts w:cs="FrankRuehl" w:hint="cs"/>
          <w:rtl/>
        </w:rPr>
        <w:t>לא יראו בהמרתו על פי תנאי הוצאתו משום קניה; קנה נייר ערך כאמור, יעבירו</w:t>
      </w:r>
      <w:r>
        <w:rPr>
          <w:rStyle w:val="default"/>
          <w:rFonts w:cs="FrankRuehl"/>
          <w:rtl/>
        </w:rPr>
        <w:t xml:space="preserve"> </w:t>
      </w:r>
      <w:r>
        <w:rPr>
          <w:rStyle w:val="default"/>
          <w:rFonts w:cs="FrankRuehl" w:hint="cs"/>
          <w:rtl/>
        </w:rPr>
        <w:t>לניהול בדרך של נאמנות עיוורת לא יאוחר משבוע מיום קנייתו;</w:t>
      </w:r>
    </w:p>
    <w:p w:rsidR="00FD33D8" w:rsidRDefault="00FD33D8">
      <w:pPr>
        <w:pStyle w:val="P11"/>
        <w:spacing w:before="72"/>
        <w:ind w:left="624" w:right="1134"/>
        <w:rPr>
          <w:rStyle w:val="default"/>
          <w:rFonts w:cs="FrankRuehl"/>
          <w:rtl/>
        </w:rPr>
      </w:pPr>
      <w:r>
        <w:rPr>
          <w:rStyle w:val="default"/>
          <w:rFonts w:cs="FrankRuehl"/>
          <w:rtl/>
        </w:rPr>
        <w:lastRenderedPageBreak/>
        <w:t>(5)</w:t>
      </w:r>
      <w:r>
        <w:rPr>
          <w:rStyle w:val="default"/>
          <w:rFonts w:cs="FrankRuehl"/>
          <w:rtl/>
        </w:rPr>
        <w:tab/>
        <w:t>מ</w:t>
      </w:r>
      <w:r>
        <w:rPr>
          <w:rStyle w:val="default"/>
          <w:rFonts w:cs="FrankRuehl" w:hint="cs"/>
          <w:rtl/>
        </w:rPr>
        <w:t>ניות של תאגיד שהוא בעל שליטה בו הרשומות בבורסה, ובלבד שקנייתן אינה במהלך המסחר בבור</w:t>
      </w:r>
      <w:r>
        <w:rPr>
          <w:rStyle w:val="default"/>
          <w:rFonts w:cs="FrankRuehl"/>
          <w:rtl/>
        </w:rPr>
        <w:t>סה</w:t>
      </w:r>
      <w:r>
        <w:rPr>
          <w:rStyle w:val="default"/>
          <w:rFonts w:cs="FrankRuehl" w:hint="cs"/>
          <w:rtl/>
        </w:rPr>
        <w:t>.</w:t>
      </w:r>
    </w:p>
    <w:p w:rsidR="00FD33D8" w:rsidRDefault="00FD33D8" w:rsidP="006A4532">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15.85pt;z-index:251658752" o:allowincell="f" filled="f" stroked="f" strokecolor="lime" strokeweight=".25pt">
            <v:textbox inset="0,0,0,0">
              <w:txbxContent>
                <w:p w:rsidR="00FD33D8" w:rsidRDefault="00FD33D8">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4.</w:t>
      </w:r>
      <w:r>
        <w:rPr>
          <w:rStyle w:val="big-number"/>
          <w:rFonts w:cs="Miriam"/>
          <w:rtl/>
        </w:rPr>
        <w:tab/>
      </w:r>
      <w:r>
        <w:rPr>
          <w:rStyle w:val="default"/>
          <w:rFonts w:cs="FrankRuehl"/>
          <w:rtl/>
        </w:rPr>
        <w:t>תק</w:t>
      </w:r>
      <w:r>
        <w:rPr>
          <w:rStyle w:val="default"/>
          <w:rFonts w:cs="FrankRuehl" w:hint="cs"/>
          <w:rtl/>
        </w:rPr>
        <w:t>נות השקעות משותפות בנאמנות (הגבלות אישיות על דירקטור, חבר ועדת השקעות ועובד של מנהל קרן), תשנ"ה</w:t>
      </w:r>
      <w:r w:rsidR="006A4532">
        <w:rPr>
          <w:rStyle w:val="default"/>
          <w:rFonts w:cs="FrankRuehl" w:hint="cs"/>
          <w:rtl/>
        </w:rPr>
        <w:t>-</w:t>
      </w:r>
      <w:r>
        <w:rPr>
          <w:rStyle w:val="default"/>
          <w:rFonts w:cs="FrankRuehl"/>
          <w:rtl/>
        </w:rPr>
        <w:t xml:space="preserve">1995 </w:t>
      </w:r>
      <w:r w:rsidR="006A4532">
        <w:rPr>
          <w:rStyle w:val="default"/>
          <w:rFonts w:cs="FrankRuehl" w:hint="cs"/>
          <w:rtl/>
        </w:rPr>
        <w:t>-</w:t>
      </w:r>
      <w:r>
        <w:rPr>
          <w:rStyle w:val="default"/>
          <w:rFonts w:cs="FrankRuehl"/>
          <w:rtl/>
        </w:rPr>
        <w:t xml:space="preserve"> </w:t>
      </w:r>
      <w:r>
        <w:rPr>
          <w:rStyle w:val="default"/>
          <w:rFonts w:cs="FrankRuehl" w:hint="cs"/>
          <w:rtl/>
        </w:rPr>
        <w:t>בטלות.</w:t>
      </w:r>
    </w:p>
    <w:p w:rsidR="00FD33D8" w:rsidRDefault="00FD33D8">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14.6pt;z-index:251659776" o:allowincell="f" filled="f" stroked="f" strokecolor="lime" strokeweight=".25pt">
            <v:textbox inset="0,0,0,0">
              <w:txbxContent>
                <w:p w:rsidR="00FD33D8" w:rsidRDefault="00FD33D8">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5.</w:t>
      </w:r>
      <w:r>
        <w:rPr>
          <w:rStyle w:val="big-number"/>
          <w:rFonts w:cs="Miriam"/>
          <w:rtl/>
        </w:rPr>
        <w:tab/>
      </w:r>
      <w:r>
        <w:rPr>
          <w:rStyle w:val="default"/>
          <w:rFonts w:cs="FrankRuehl"/>
          <w:rtl/>
        </w:rPr>
        <w:t>תח</w:t>
      </w:r>
      <w:r>
        <w:rPr>
          <w:rStyle w:val="default"/>
          <w:rFonts w:cs="FrankRuehl" w:hint="cs"/>
          <w:rtl/>
        </w:rPr>
        <w:t>ילתן של תקנות אלה בתום שלושים ימים מיום פרסומן.</w:t>
      </w:r>
    </w:p>
    <w:p w:rsidR="00FD33D8" w:rsidRDefault="00FD33D8">
      <w:pPr>
        <w:pStyle w:val="P00"/>
        <w:spacing w:before="72"/>
        <w:ind w:left="0" w:right="1134"/>
        <w:rPr>
          <w:rStyle w:val="default"/>
          <w:rFonts w:cs="FrankRuehl" w:hint="cs"/>
          <w:rtl/>
        </w:rPr>
      </w:pPr>
    </w:p>
    <w:p w:rsidR="006A4532" w:rsidRDefault="006A4532">
      <w:pPr>
        <w:pStyle w:val="P00"/>
        <w:spacing w:before="72"/>
        <w:ind w:left="0" w:right="1134"/>
        <w:rPr>
          <w:rStyle w:val="default"/>
          <w:rFonts w:cs="FrankRuehl" w:hint="cs"/>
          <w:rtl/>
        </w:rPr>
      </w:pPr>
    </w:p>
    <w:p w:rsidR="00FD33D8" w:rsidRDefault="00FD33D8">
      <w:pPr>
        <w:pStyle w:val="P00"/>
        <w:tabs>
          <w:tab w:val="clear" w:pos="624"/>
          <w:tab w:val="clear" w:pos="1021"/>
          <w:tab w:val="clear" w:pos="1474"/>
          <w:tab w:val="clear" w:pos="1928"/>
          <w:tab w:val="clear" w:pos="2381"/>
          <w:tab w:val="clear" w:pos="2835"/>
          <w:tab w:val="clear" w:pos="6259"/>
          <w:tab w:val="center" w:pos="4820"/>
        </w:tabs>
        <w:spacing w:before="72"/>
        <w:ind w:left="0" w:right="1134"/>
        <w:rPr>
          <w:rStyle w:val="default"/>
          <w:rFonts w:cs="FrankRuehl"/>
          <w:rtl/>
        </w:rPr>
      </w:pPr>
      <w:r>
        <w:rPr>
          <w:rStyle w:val="default"/>
          <w:rFonts w:cs="FrankRuehl"/>
          <w:rtl/>
        </w:rPr>
        <w:t xml:space="preserve">א' </w:t>
      </w:r>
      <w:r>
        <w:rPr>
          <w:rStyle w:val="default"/>
          <w:rFonts w:cs="FrankRuehl" w:hint="cs"/>
          <w:rtl/>
        </w:rPr>
        <w:t>בתמוז תשנ"ט (15 ביוני 1999)</w:t>
      </w:r>
      <w:r>
        <w:rPr>
          <w:rStyle w:val="default"/>
          <w:rFonts w:cs="FrankRuehl"/>
          <w:rtl/>
        </w:rPr>
        <w:tab/>
        <w:t>מ</w:t>
      </w:r>
      <w:r>
        <w:rPr>
          <w:rStyle w:val="default"/>
          <w:rFonts w:cs="FrankRuehl" w:hint="cs"/>
          <w:rtl/>
        </w:rPr>
        <w:t>איר שטרית</w:t>
      </w:r>
    </w:p>
    <w:p w:rsidR="00FD33D8" w:rsidRPr="006A4532" w:rsidRDefault="00FD33D8">
      <w:pPr>
        <w:pStyle w:val="sig-1"/>
        <w:widowControl/>
        <w:ind w:left="0" w:right="1134"/>
        <w:rPr>
          <w:rStyle w:val="default"/>
          <w:rFonts w:cs="FrankRuehl"/>
          <w:sz w:val="22"/>
          <w:szCs w:val="22"/>
          <w:rtl/>
        </w:rPr>
      </w:pPr>
      <w:r w:rsidRPr="006A4532">
        <w:rPr>
          <w:rFonts w:cs="FrankRuehl"/>
          <w:sz w:val="22"/>
          <w:rtl/>
        </w:rPr>
        <w:tab/>
      </w:r>
      <w:r w:rsidRPr="006A4532">
        <w:rPr>
          <w:rFonts w:cs="FrankRuehl"/>
          <w:sz w:val="22"/>
          <w:rtl/>
        </w:rPr>
        <w:tab/>
      </w:r>
      <w:r w:rsidRPr="006A4532">
        <w:rPr>
          <w:rFonts w:cs="FrankRuehl"/>
          <w:sz w:val="22"/>
          <w:rtl/>
        </w:rPr>
        <w:tab/>
      </w:r>
      <w:r w:rsidRPr="006A4532">
        <w:rPr>
          <w:rStyle w:val="default"/>
          <w:rFonts w:cs="FrankRuehl"/>
          <w:sz w:val="22"/>
          <w:szCs w:val="22"/>
          <w:rtl/>
        </w:rPr>
        <w:t>שר</w:t>
      </w:r>
      <w:r w:rsidRPr="006A4532">
        <w:rPr>
          <w:rStyle w:val="default"/>
          <w:rFonts w:cs="FrankRuehl" w:hint="cs"/>
          <w:sz w:val="22"/>
          <w:szCs w:val="22"/>
          <w:rtl/>
        </w:rPr>
        <w:t xml:space="preserve"> האוצר</w:t>
      </w:r>
    </w:p>
    <w:p w:rsidR="00FD33D8" w:rsidRDefault="00FD33D8" w:rsidP="006A4532">
      <w:pPr>
        <w:pStyle w:val="P00"/>
        <w:spacing w:before="72"/>
        <w:ind w:left="0" w:right="1134"/>
        <w:rPr>
          <w:rStyle w:val="default"/>
          <w:rFonts w:cs="FrankRuehl"/>
          <w:rtl/>
        </w:rPr>
      </w:pPr>
    </w:p>
    <w:p w:rsidR="00FD33D8" w:rsidRDefault="00FD33D8" w:rsidP="006A4532">
      <w:pPr>
        <w:pStyle w:val="P00"/>
        <w:spacing w:before="72"/>
        <w:ind w:left="0" w:right="1134"/>
        <w:rPr>
          <w:rStyle w:val="default"/>
          <w:rFonts w:cs="FrankRuehl"/>
          <w:rtl/>
        </w:rPr>
      </w:pPr>
    </w:p>
    <w:p w:rsidR="00FD33D8" w:rsidRDefault="00FD33D8" w:rsidP="006A4532">
      <w:pPr>
        <w:pStyle w:val="P00"/>
        <w:spacing w:before="72"/>
        <w:ind w:left="0" w:right="1134"/>
        <w:rPr>
          <w:rStyle w:val="default"/>
          <w:rFonts w:cs="FrankRuehl"/>
          <w:rtl/>
        </w:rPr>
      </w:pPr>
    </w:p>
    <w:p w:rsidR="00FD33D8" w:rsidRPr="006A4532" w:rsidRDefault="00FD33D8" w:rsidP="006A4532">
      <w:pPr>
        <w:pStyle w:val="P00"/>
        <w:spacing w:before="72"/>
        <w:ind w:left="0" w:right="1134"/>
        <w:rPr>
          <w:rStyle w:val="default"/>
          <w:rFonts w:cs="FrankRuehl"/>
          <w:rtl/>
        </w:rPr>
      </w:pPr>
    </w:p>
    <w:sectPr w:rsidR="00FD33D8" w:rsidRPr="006A4532">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70688" w:rsidRDefault="00E70688">
      <w:pPr>
        <w:spacing w:line="240" w:lineRule="auto"/>
      </w:pPr>
      <w:r>
        <w:separator/>
      </w:r>
    </w:p>
  </w:endnote>
  <w:endnote w:type="continuationSeparator" w:id="0">
    <w:p w:rsidR="00E70688" w:rsidRDefault="00E706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33D8" w:rsidRDefault="00FD33D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D33D8" w:rsidRDefault="00FD33D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D33D8" w:rsidRDefault="00FD33D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A4532">
      <w:rPr>
        <w:rFonts w:cs="TopType Jerushalmi"/>
        <w:noProof/>
        <w:color w:val="000000"/>
        <w:sz w:val="14"/>
        <w:szCs w:val="14"/>
      </w:rPr>
      <w:t>C:\Yael\hakika\Revadim\124_021.doc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33D8" w:rsidRDefault="00FD33D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0502E">
      <w:rPr>
        <w:rFonts w:hAnsi="FrankRuehl" w:cs="FrankRuehl"/>
        <w:noProof/>
        <w:sz w:val="24"/>
        <w:szCs w:val="24"/>
        <w:rtl/>
      </w:rPr>
      <w:t>2</w:t>
    </w:r>
    <w:r>
      <w:rPr>
        <w:rFonts w:hAnsi="FrankRuehl" w:cs="FrankRuehl"/>
        <w:sz w:val="24"/>
        <w:szCs w:val="24"/>
        <w:rtl/>
      </w:rPr>
      <w:fldChar w:fldCharType="end"/>
    </w:r>
  </w:p>
  <w:p w:rsidR="00FD33D8" w:rsidRDefault="00FD33D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D33D8" w:rsidRDefault="00FD33D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A4532">
      <w:rPr>
        <w:rFonts w:cs="TopType Jerushalmi"/>
        <w:noProof/>
        <w:color w:val="000000"/>
        <w:sz w:val="14"/>
        <w:szCs w:val="14"/>
      </w:rPr>
      <w:t>C:\Yael\hakika\Revadim\124_021.doc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70688" w:rsidRDefault="00E70688" w:rsidP="006A4532">
      <w:pPr>
        <w:spacing w:before="60" w:line="240" w:lineRule="auto"/>
        <w:ind w:right="1134"/>
      </w:pPr>
      <w:r>
        <w:separator/>
      </w:r>
    </w:p>
  </w:footnote>
  <w:footnote w:type="continuationSeparator" w:id="0">
    <w:p w:rsidR="00E70688" w:rsidRDefault="00E70688">
      <w:pPr>
        <w:spacing w:line="240" w:lineRule="auto"/>
      </w:pPr>
      <w:r>
        <w:continuationSeparator/>
      </w:r>
    </w:p>
  </w:footnote>
  <w:footnote w:id="1">
    <w:p w:rsidR="006A4532" w:rsidRPr="006A4532" w:rsidRDefault="006A4532" w:rsidP="006A453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6A4532">
        <w:rPr>
          <w:rFonts w:cs="FrankRuehl"/>
          <w:rtl/>
        </w:rPr>
        <w:t xml:space="preserve">* </w:t>
      </w:r>
      <w:r>
        <w:rPr>
          <w:rFonts w:cs="FrankRuehl"/>
          <w:rtl/>
        </w:rPr>
        <w:t>פו</w:t>
      </w:r>
      <w:r>
        <w:rPr>
          <w:rFonts w:cs="FrankRuehl" w:hint="cs"/>
          <w:rtl/>
        </w:rPr>
        <w:t xml:space="preserve">רסמו </w:t>
      </w:r>
      <w:hyperlink r:id="rId1" w:history="1">
        <w:r w:rsidRPr="00EA7A3E">
          <w:rPr>
            <w:rStyle w:val="Hyperlink"/>
            <w:rFonts w:cs="FrankRuehl" w:hint="cs"/>
            <w:rtl/>
          </w:rPr>
          <w:t>ק"ת תשנ"ט מס' 5987</w:t>
        </w:r>
      </w:hyperlink>
      <w:r>
        <w:rPr>
          <w:rFonts w:cs="FrankRuehl" w:hint="cs"/>
          <w:rtl/>
        </w:rPr>
        <w:t xml:space="preserve"> מיום 1.7.1999 עמ' 1032.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33D8" w:rsidRDefault="00FD33D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השקעות משותפות בנאמנות (הגבלות אישיות על דירקטור, חבר ועדת השקעות ועובד של מנהל קרן), תשנ"ט–1999</w:t>
    </w:r>
  </w:p>
  <w:p w:rsidR="00FD33D8" w:rsidRDefault="00FD33D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D33D8" w:rsidRDefault="00FD33D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33D8" w:rsidRDefault="00FD33D8" w:rsidP="006A453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השקעות משותפות בנאמנות (הגבלות אישיות על דירקטור, חבר ועדת השקעות ועובד של מנהל קרן), תשנ"ט</w:t>
    </w:r>
    <w:r w:rsidR="006A4532">
      <w:rPr>
        <w:rFonts w:hAnsi="FrankRuehl" w:cs="FrankRuehl" w:hint="cs"/>
        <w:color w:val="000000"/>
        <w:sz w:val="28"/>
        <w:szCs w:val="28"/>
        <w:rtl/>
      </w:rPr>
      <w:t>-</w:t>
    </w:r>
    <w:r>
      <w:rPr>
        <w:rFonts w:hAnsi="FrankRuehl" w:cs="FrankRuehl"/>
        <w:color w:val="000000"/>
        <w:sz w:val="28"/>
        <w:szCs w:val="28"/>
        <w:rtl/>
      </w:rPr>
      <w:t>1999</w:t>
    </w:r>
  </w:p>
  <w:p w:rsidR="00FD33D8" w:rsidRDefault="00FD33D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D33D8" w:rsidRDefault="00FD33D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A7A3E"/>
    <w:rsid w:val="000753E6"/>
    <w:rsid w:val="004C6929"/>
    <w:rsid w:val="00633F0F"/>
    <w:rsid w:val="006A4532"/>
    <w:rsid w:val="006C0ABE"/>
    <w:rsid w:val="0070502E"/>
    <w:rsid w:val="007D227E"/>
    <w:rsid w:val="00E70688"/>
    <w:rsid w:val="00EA7A3E"/>
    <w:rsid w:val="00FD33D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4305ABC-00C4-4105-92B5-EA4C1A35C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semiHidden/>
    <w:rPr>
      <w:color w:val="0000FF"/>
      <w:u w:val="single"/>
    </w:rPr>
  </w:style>
  <w:style w:type="paragraph" w:styleId="a5">
    <w:name w:val="footnote text"/>
    <w:basedOn w:val="a"/>
    <w:semiHidden/>
    <w:rsid w:val="006A4532"/>
    <w:rPr>
      <w:sz w:val="20"/>
      <w:szCs w:val="20"/>
    </w:rPr>
  </w:style>
  <w:style w:type="character" w:styleId="a6">
    <w:name w:val="footnote reference"/>
    <w:basedOn w:val="a0"/>
    <w:semiHidden/>
    <w:rsid w:val="006A45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98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פרק 124</vt:lpstr>
    </vt:vector>
  </TitlesOfParts>
  <Company/>
  <LinksUpToDate>false</LinksUpToDate>
  <CharactersWithSpaces>3784</CharactersWithSpaces>
  <SharedDoc>false</SharedDoc>
  <HLinks>
    <vt:vector size="36" baseType="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7602182</vt:i4>
      </vt:variant>
      <vt:variant>
        <vt:i4>0</vt:i4>
      </vt:variant>
      <vt:variant>
        <vt:i4>0</vt:i4>
      </vt:variant>
      <vt:variant>
        <vt:i4>5</vt:i4>
      </vt:variant>
      <vt:variant>
        <vt:lpwstr>http://www.nevo.co.il/Law_word/law06/TAK-5987.pdf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124</dc:title>
  <dc:subject/>
  <dc:creator>orel</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0124</vt:lpwstr>
  </property>
  <property fmtid="{D5CDD505-2E9C-101B-9397-08002B2CF9AE}" pid="3" name="CHNAME">
    <vt:lpwstr>השקעות משותפות בנאמנות</vt:lpwstr>
  </property>
  <property fmtid="{D5CDD505-2E9C-101B-9397-08002B2CF9AE}" pid="4" name="LAWNAME">
    <vt:lpwstr>תקנות השקעות משותפות בנאמנות (הגבלות אישיות על דירקטור, חבר ועדת השקעות ועובד של מנהל קרן), תשנ"ט-1999</vt:lpwstr>
  </property>
  <property fmtid="{D5CDD505-2E9C-101B-9397-08002B2CF9AE}" pid="5" name="LAWNUMBER">
    <vt:lpwstr>0021</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תאגידים וניירות ערך</vt:lpwstr>
  </property>
  <property fmtid="{D5CDD505-2E9C-101B-9397-08002B2CF9AE}" pid="9" name="NOSE31">
    <vt:lpwstr>השק' משותפות בנאמנות</vt:lpwstr>
  </property>
  <property fmtid="{D5CDD505-2E9C-101B-9397-08002B2CF9AE}" pid="10" name="NOSE41">
    <vt:lpwstr/>
  </property>
  <property fmtid="{D5CDD505-2E9C-101B-9397-08002B2CF9AE}" pid="11" name="NOSE12">
    <vt:lpwstr>משפט פרטי וכלכלה</vt:lpwstr>
  </property>
  <property fmtid="{D5CDD505-2E9C-101B-9397-08002B2CF9AE}" pid="12" name="NOSE22">
    <vt:lpwstr>כספים</vt:lpwstr>
  </property>
  <property fmtid="{D5CDD505-2E9C-101B-9397-08002B2CF9AE}" pid="13" name="NOSE32">
    <vt:lpwstr>השקעות </vt:lpwstr>
  </property>
  <property fmtid="{D5CDD505-2E9C-101B-9397-08002B2CF9AE}" pid="14" name="NOSE42">
    <vt:lpwstr>השק' משותפות בנאמנות</vt:lpwstr>
  </property>
  <property fmtid="{D5CDD505-2E9C-101B-9397-08002B2CF9AE}" pid="15" name="NOSE13">
    <vt:lpwstr>משפט פרטי וכלכלה</vt:lpwstr>
  </property>
  <property fmtid="{D5CDD505-2E9C-101B-9397-08002B2CF9AE}" pid="16" name="NOSE23">
    <vt:lpwstr>חיובים</vt:lpwstr>
  </property>
  <property fmtid="{D5CDD505-2E9C-101B-9397-08002B2CF9AE}" pid="17" name="NOSE33">
    <vt:lpwstr>נאמנות</vt:lpwstr>
  </property>
  <property fmtid="{D5CDD505-2E9C-101B-9397-08002B2CF9AE}" pid="18" name="NOSE43">
    <vt:lpwstr>השק' משותפות בנאמנות</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השקעות משותפות בנאמנות</vt:lpwstr>
  </property>
  <property fmtid="{D5CDD505-2E9C-101B-9397-08002B2CF9AE}" pid="48" name="MEKOR_SAIF1">
    <vt:lpwstr>21XבX;21XגX;131XאX</vt:lpwstr>
  </property>
</Properties>
</file>