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0C0" w:rsidRDefault="00D110C0" w:rsidP="006F605A">
      <w:pPr>
        <w:pStyle w:val="big-header"/>
        <w:ind w:left="0" w:right="1134"/>
        <w:rPr>
          <w:rFonts w:cs="FrankRuehl" w:hint="cs"/>
          <w:sz w:val="32"/>
          <w:rtl/>
        </w:rPr>
      </w:pPr>
      <w:r>
        <w:rPr>
          <w:rFonts w:cs="FrankRuehl"/>
          <w:sz w:val="32"/>
          <w:rtl/>
        </w:rPr>
        <w:t>תקנות השקעות משותפות בנאמנות (</w:t>
      </w:r>
      <w:r w:rsidR="006F605A">
        <w:rPr>
          <w:rFonts w:cs="FrankRuehl" w:hint="cs"/>
          <w:sz w:val="32"/>
          <w:rtl/>
        </w:rPr>
        <w:t>השתתפות מנהל קרן באסיפת מחזיקים), תשע"ו-2015</w:t>
      </w:r>
    </w:p>
    <w:p w:rsidR="003F6A09" w:rsidRDefault="003F6A09" w:rsidP="003F6A09">
      <w:pPr>
        <w:spacing w:line="320" w:lineRule="auto"/>
        <w:jc w:val="left"/>
        <w:rPr>
          <w:rFonts w:cs="FrankRuehl" w:hint="cs"/>
          <w:szCs w:val="26"/>
          <w:rtl/>
        </w:rPr>
      </w:pPr>
    </w:p>
    <w:p w:rsidR="006F605A" w:rsidRPr="003F6A09" w:rsidRDefault="006F605A" w:rsidP="003F6A09">
      <w:pPr>
        <w:spacing w:line="320" w:lineRule="auto"/>
        <w:jc w:val="left"/>
        <w:rPr>
          <w:rFonts w:cs="FrankRuehl" w:hint="cs"/>
          <w:szCs w:val="26"/>
          <w:rtl/>
        </w:rPr>
      </w:pPr>
    </w:p>
    <w:p w:rsidR="003F6A09" w:rsidRDefault="003F6A09" w:rsidP="003F6A09">
      <w:pPr>
        <w:spacing w:line="320" w:lineRule="auto"/>
        <w:jc w:val="left"/>
        <w:rPr>
          <w:rFonts w:cs="Miriam"/>
          <w:szCs w:val="22"/>
          <w:rtl/>
        </w:rPr>
      </w:pPr>
      <w:r w:rsidRPr="003F6A09">
        <w:rPr>
          <w:rFonts w:cs="Miriam"/>
          <w:szCs w:val="22"/>
          <w:rtl/>
        </w:rPr>
        <w:t>משפט פרטי וכלכלה</w:t>
      </w:r>
      <w:r w:rsidRPr="003F6A09">
        <w:rPr>
          <w:rFonts w:cs="FrankRuehl"/>
          <w:szCs w:val="26"/>
          <w:rtl/>
        </w:rPr>
        <w:t xml:space="preserve"> – תאגידים וניירות ערך – השק' משותפות בנאמנות</w:t>
      </w:r>
    </w:p>
    <w:p w:rsidR="003F6A09" w:rsidRDefault="003F6A09" w:rsidP="003F6A09">
      <w:pPr>
        <w:spacing w:line="320" w:lineRule="auto"/>
        <w:jc w:val="left"/>
        <w:rPr>
          <w:rFonts w:cs="Miriam"/>
          <w:szCs w:val="22"/>
          <w:rtl/>
        </w:rPr>
      </w:pPr>
      <w:r w:rsidRPr="003F6A09">
        <w:rPr>
          <w:rFonts w:cs="Miriam"/>
          <w:szCs w:val="22"/>
          <w:rtl/>
        </w:rPr>
        <w:t>משפט פרטי וכלכלה</w:t>
      </w:r>
      <w:r w:rsidRPr="003F6A09">
        <w:rPr>
          <w:rFonts w:cs="FrankRuehl"/>
          <w:szCs w:val="26"/>
          <w:rtl/>
        </w:rPr>
        <w:t xml:space="preserve"> – כספים – השקעות  – השק' משותפות בנאמנות</w:t>
      </w:r>
    </w:p>
    <w:p w:rsidR="003F6A09" w:rsidRPr="003F6A09" w:rsidRDefault="003F6A09" w:rsidP="003F6A09">
      <w:pPr>
        <w:spacing w:line="320" w:lineRule="auto"/>
        <w:jc w:val="left"/>
        <w:rPr>
          <w:rFonts w:cs="Miriam" w:hint="cs"/>
          <w:szCs w:val="22"/>
          <w:rtl/>
        </w:rPr>
      </w:pPr>
      <w:r w:rsidRPr="003F6A09">
        <w:rPr>
          <w:rFonts w:cs="Miriam"/>
          <w:szCs w:val="22"/>
          <w:rtl/>
        </w:rPr>
        <w:t>משפט פרטי וכלכלה</w:t>
      </w:r>
      <w:r w:rsidRPr="003F6A09">
        <w:rPr>
          <w:rFonts w:cs="FrankRuehl"/>
          <w:szCs w:val="26"/>
          <w:rtl/>
        </w:rPr>
        <w:t xml:space="preserve"> – חיובים – נאמנות – השק' משותפות בנאמנות</w:t>
      </w:r>
    </w:p>
    <w:p w:rsidR="00D110C0" w:rsidRDefault="00D110C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1 </w:t>
            </w:r>
          </w:p>
        </w:tc>
        <w:tc>
          <w:tcPr>
            <w:tcW w:w="5669" w:type="dxa"/>
          </w:tcPr>
          <w:p w:rsidR="00975BB7" w:rsidRPr="00975BB7" w:rsidRDefault="00975BB7" w:rsidP="00975BB7">
            <w:pPr>
              <w:spacing w:line="240" w:lineRule="auto"/>
              <w:jc w:val="left"/>
              <w:rPr>
                <w:rFonts w:cs="Frankruhel"/>
                <w:sz w:val="24"/>
                <w:rtl/>
              </w:rPr>
            </w:pPr>
            <w:r>
              <w:rPr>
                <w:sz w:val="24"/>
                <w:rtl/>
              </w:rPr>
              <w:t>חובת השתתפות והצבעה</w:t>
            </w:r>
          </w:p>
        </w:tc>
        <w:tc>
          <w:tcPr>
            <w:tcW w:w="567" w:type="dxa"/>
          </w:tcPr>
          <w:p w:rsidR="00975BB7" w:rsidRPr="00975BB7" w:rsidRDefault="00975BB7" w:rsidP="00975BB7">
            <w:pPr>
              <w:spacing w:line="240" w:lineRule="auto"/>
              <w:jc w:val="left"/>
              <w:rPr>
                <w:rStyle w:val="Hyperlink"/>
                <w:rtl/>
              </w:rPr>
            </w:pPr>
            <w:hyperlink w:anchor="Seif1" w:tooltip="חובת השתתפות והצבעה"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2 </w:t>
            </w:r>
          </w:p>
        </w:tc>
        <w:tc>
          <w:tcPr>
            <w:tcW w:w="5669" w:type="dxa"/>
          </w:tcPr>
          <w:p w:rsidR="00975BB7" w:rsidRPr="00975BB7" w:rsidRDefault="00975BB7" w:rsidP="00975BB7">
            <w:pPr>
              <w:spacing w:line="240" w:lineRule="auto"/>
              <w:jc w:val="left"/>
              <w:rPr>
                <w:rFonts w:cs="Frankruhel"/>
                <w:sz w:val="24"/>
                <w:rtl/>
              </w:rPr>
            </w:pPr>
            <w:r>
              <w:rPr>
                <w:sz w:val="24"/>
                <w:rtl/>
              </w:rPr>
              <w:t>קביעת מדיניות הצבעה</w:t>
            </w:r>
          </w:p>
        </w:tc>
        <w:tc>
          <w:tcPr>
            <w:tcW w:w="567" w:type="dxa"/>
          </w:tcPr>
          <w:p w:rsidR="00975BB7" w:rsidRPr="00975BB7" w:rsidRDefault="00975BB7" w:rsidP="00975BB7">
            <w:pPr>
              <w:spacing w:line="240" w:lineRule="auto"/>
              <w:jc w:val="left"/>
              <w:rPr>
                <w:rStyle w:val="Hyperlink"/>
                <w:rtl/>
              </w:rPr>
            </w:pPr>
            <w:hyperlink w:anchor="Seif2" w:tooltip="קביעת מדיניות הצבעה"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3 </w:t>
            </w:r>
          </w:p>
        </w:tc>
        <w:tc>
          <w:tcPr>
            <w:tcW w:w="5669" w:type="dxa"/>
          </w:tcPr>
          <w:p w:rsidR="00975BB7" w:rsidRPr="00975BB7" w:rsidRDefault="00975BB7" w:rsidP="00975BB7">
            <w:pPr>
              <w:spacing w:line="240" w:lineRule="auto"/>
              <w:jc w:val="left"/>
              <w:rPr>
                <w:rFonts w:cs="Frankruhel"/>
                <w:sz w:val="24"/>
                <w:rtl/>
              </w:rPr>
            </w:pPr>
            <w:r>
              <w:rPr>
                <w:sz w:val="24"/>
                <w:rtl/>
              </w:rPr>
              <w:t>אישור הדירקטוריון לסטייה ממדיניות ההצבעה</w:t>
            </w:r>
          </w:p>
        </w:tc>
        <w:tc>
          <w:tcPr>
            <w:tcW w:w="567" w:type="dxa"/>
          </w:tcPr>
          <w:p w:rsidR="00975BB7" w:rsidRPr="00975BB7" w:rsidRDefault="00975BB7" w:rsidP="00975BB7">
            <w:pPr>
              <w:spacing w:line="240" w:lineRule="auto"/>
              <w:jc w:val="left"/>
              <w:rPr>
                <w:rStyle w:val="Hyperlink"/>
                <w:rtl/>
              </w:rPr>
            </w:pPr>
            <w:hyperlink w:anchor="Seif3" w:tooltip="אישור הדירקטוריון לסטייה ממדיניות ההצבעה"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4 </w:t>
            </w:r>
          </w:p>
        </w:tc>
        <w:tc>
          <w:tcPr>
            <w:tcW w:w="5669" w:type="dxa"/>
          </w:tcPr>
          <w:p w:rsidR="00975BB7" w:rsidRPr="00975BB7" w:rsidRDefault="00975BB7" w:rsidP="00975BB7">
            <w:pPr>
              <w:spacing w:line="240" w:lineRule="auto"/>
              <w:jc w:val="left"/>
              <w:rPr>
                <w:rFonts w:cs="Frankruhel"/>
                <w:sz w:val="24"/>
                <w:rtl/>
              </w:rPr>
            </w:pPr>
            <w:r>
              <w:rPr>
                <w:sz w:val="24"/>
                <w:rtl/>
              </w:rPr>
              <w:t>דיווח לדירקטוריון</w:t>
            </w:r>
          </w:p>
        </w:tc>
        <w:tc>
          <w:tcPr>
            <w:tcW w:w="567" w:type="dxa"/>
          </w:tcPr>
          <w:p w:rsidR="00975BB7" w:rsidRPr="00975BB7" w:rsidRDefault="00975BB7" w:rsidP="00975BB7">
            <w:pPr>
              <w:spacing w:line="240" w:lineRule="auto"/>
              <w:jc w:val="left"/>
              <w:rPr>
                <w:rStyle w:val="Hyperlink"/>
                <w:rtl/>
              </w:rPr>
            </w:pPr>
            <w:hyperlink w:anchor="Seif4" w:tooltip="דיווח לדירקטוריון"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5 </w:t>
            </w:r>
          </w:p>
        </w:tc>
        <w:tc>
          <w:tcPr>
            <w:tcW w:w="5669" w:type="dxa"/>
          </w:tcPr>
          <w:p w:rsidR="00975BB7" w:rsidRPr="00975BB7" w:rsidRDefault="00975BB7" w:rsidP="00975BB7">
            <w:pPr>
              <w:spacing w:line="240" w:lineRule="auto"/>
              <w:jc w:val="left"/>
              <w:rPr>
                <w:rFonts w:cs="Frankruhel"/>
                <w:sz w:val="24"/>
                <w:rtl/>
              </w:rPr>
            </w:pPr>
            <w:r>
              <w:rPr>
                <w:sz w:val="24"/>
                <w:rtl/>
              </w:rPr>
              <w:t>התקשרות מנהל קרן עם גורם מקצועי</w:t>
            </w:r>
          </w:p>
        </w:tc>
        <w:tc>
          <w:tcPr>
            <w:tcW w:w="567" w:type="dxa"/>
          </w:tcPr>
          <w:p w:rsidR="00975BB7" w:rsidRPr="00975BB7" w:rsidRDefault="00975BB7" w:rsidP="00975BB7">
            <w:pPr>
              <w:spacing w:line="240" w:lineRule="auto"/>
              <w:jc w:val="left"/>
              <w:rPr>
                <w:rStyle w:val="Hyperlink"/>
                <w:rtl/>
              </w:rPr>
            </w:pPr>
            <w:hyperlink w:anchor="Seif5" w:tooltip="התקשרות מנהל קרן עם גורם מקצועי"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BB7" w:rsidRPr="00975BB7" w:rsidTr="00975BB7">
        <w:tblPrEx>
          <w:tblCellMar>
            <w:top w:w="0" w:type="dxa"/>
            <w:bottom w:w="0" w:type="dxa"/>
          </w:tblCellMar>
        </w:tblPrEx>
        <w:tc>
          <w:tcPr>
            <w:tcW w:w="1247" w:type="dxa"/>
          </w:tcPr>
          <w:p w:rsidR="00975BB7" w:rsidRPr="00975BB7" w:rsidRDefault="00975BB7" w:rsidP="00975BB7">
            <w:pPr>
              <w:spacing w:line="240" w:lineRule="auto"/>
              <w:jc w:val="left"/>
              <w:rPr>
                <w:rFonts w:cs="Frankruhel"/>
                <w:sz w:val="24"/>
                <w:rtl/>
              </w:rPr>
            </w:pPr>
            <w:r>
              <w:rPr>
                <w:sz w:val="24"/>
                <w:rtl/>
              </w:rPr>
              <w:t xml:space="preserve">סעיף 6 </w:t>
            </w:r>
          </w:p>
        </w:tc>
        <w:tc>
          <w:tcPr>
            <w:tcW w:w="5669" w:type="dxa"/>
          </w:tcPr>
          <w:p w:rsidR="00975BB7" w:rsidRPr="00975BB7" w:rsidRDefault="00975BB7" w:rsidP="00975BB7">
            <w:pPr>
              <w:spacing w:line="240" w:lineRule="auto"/>
              <w:jc w:val="left"/>
              <w:rPr>
                <w:rFonts w:cs="Frankruhel"/>
                <w:sz w:val="24"/>
                <w:rtl/>
              </w:rPr>
            </w:pPr>
            <w:r>
              <w:rPr>
                <w:sz w:val="24"/>
                <w:rtl/>
              </w:rPr>
              <w:t>תחילה</w:t>
            </w:r>
          </w:p>
        </w:tc>
        <w:tc>
          <w:tcPr>
            <w:tcW w:w="567" w:type="dxa"/>
          </w:tcPr>
          <w:p w:rsidR="00975BB7" w:rsidRPr="00975BB7" w:rsidRDefault="00975BB7" w:rsidP="00975BB7">
            <w:pPr>
              <w:spacing w:line="240" w:lineRule="auto"/>
              <w:jc w:val="left"/>
              <w:rPr>
                <w:rStyle w:val="Hyperlink"/>
                <w:rtl/>
              </w:rPr>
            </w:pPr>
            <w:hyperlink w:anchor="Seif6" w:tooltip="תחילה" w:history="1">
              <w:r w:rsidRPr="00975BB7">
                <w:rPr>
                  <w:rStyle w:val="Hyperlink"/>
                </w:rPr>
                <w:t>Go</w:t>
              </w:r>
            </w:hyperlink>
          </w:p>
        </w:tc>
        <w:tc>
          <w:tcPr>
            <w:tcW w:w="850" w:type="dxa"/>
          </w:tcPr>
          <w:p w:rsidR="00975BB7" w:rsidRPr="00975BB7" w:rsidRDefault="00975BB7" w:rsidP="00975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D110C0" w:rsidRDefault="00D110C0">
      <w:pPr>
        <w:pStyle w:val="big-header"/>
        <w:ind w:left="0" w:right="1134"/>
        <w:rPr>
          <w:rFonts w:cs="FrankRuehl"/>
          <w:sz w:val="32"/>
          <w:rtl/>
        </w:rPr>
      </w:pPr>
    </w:p>
    <w:p w:rsidR="00D110C0" w:rsidRDefault="00D110C0" w:rsidP="006F605A">
      <w:pPr>
        <w:pStyle w:val="big-header"/>
        <w:ind w:left="0" w:right="1134"/>
        <w:rPr>
          <w:rStyle w:val="default"/>
          <w:rFonts w:cs="FrankRuehl" w:hint="cs"/>
          <w:rtl/>
        </w:rPr>
      </w:pPr>
      <w:r>
        <w:rPr>
          <w:rFonts w:cs="FrankRuehl"/>
          <w:sz w:val="32"/>
          <w:rtl/>
        </w:rPr>
        <w:br w:type="page"/>
      </w:r>
      <w:r w:rsidR="003F6A09">
        <w:rPr>
          <w:rFonts w:cs="FrankRuehl"/>
          <w:rtl/>
          <w:lang w:val="he-IL"/>
        </w:rPr>
        <w:lastRenderedPageBreak/>
        <w:t xml:space="preserve"> </w:t>
      </w:r>
      <w:r>
        <w:rPr>
          <w:rFonts w:cs="FrankRuehl"/>
          <w:sz w:val="32"/>
          <w:rtl/>
        </w:rPr>
        <w:t>תק</w:t>
      </w:r>
      <w:r>
        <w:rPr>
          <w:rFonts w:cs="FrankRuehl" w:hint="cs"/>
          <w:sz w:val="32"/>
          <w:rtl/>
        </w:rPr>
        <w:t>נות השקעות משותפות בנאמנות (</w:t>
      </w:r>
      <w:r w:rsidR="006F605A">
        <w:rPr>
          <w:rFonts w:cs="FrankRuehl" w:hint="cs"/>
          <w:sz w:val="32"/>
          <w:rtl/>
        </w:rPr>
        <w:t>השתתפות מנהל קרן באסיפת מחזיקים), תשע"ו-2015</w:t>
      </w:r>
      <w:r>
        <w:rPr>
          <w:rStyle w:val="default"/>
          <w:rtl/>
        </w:rPr>
        <w:footnoteReference w:customMarkFollows="1" w:id="1"/>
        <w:t>*</w:t>
      </w:r>
    </w:p>
    <w:p w:rsidR="00D110C0" w:rsidRDefault="006F605A" w:rsidP="00246F90">
      <w:pPr>
        <w:pStyle w:val="P00"/>
        <w:spacing w:before="72"/>
        <w:ind w:left="0" w:right="1134"/>
        <w:rPr>
          <w:rStyle w:val="default"/>
          <w:rFonts w:cs="FrankRuehl" w:hint="cs"/>
          <w:rtl/>
        </w:rPr>
      </w:pPr>
      <w:r>
        <w:rPr>
          <w:rStyle w:val="default"/>
          <w:rFonts w:cs="FrankRuehl" w:hint="cs"/>
          <w:rtl/>
        </w:rPr>
        <w:tab/>
      </w:r>
      <w:r w:rsidR="00D110C0">
        <w:rPr>
          <w:rStyle w:val="default"/>
          <w:rFonts w:cs="FrankRuehl"/>
          <w:rtl/>
        </w:rPr>
        <w:t>בת</w:t>
      </w:r>
      <w:r w:rsidR="00D110C0">
        <w:rPr>
          <w:rStyle w:val="default"/>
          <w:rFonts w:cs="FrankRuehl" w:hint="cs"/>
          <w:rtl/>
        </w:rPr>
        <w:t xml:space="preserve">וקף סמכותי לפי סעיפים </w:t>
      </w:r>
      <w:r w:rsidR="00246F90">
        <w:rPr>
          <w:rStyle w:val="default"/>
          <w:rFonts w:cs="FrankRuehl" w:hint="cs"/>
          <w:rtl/>
        </w:rPr>
        <w:t>77(א)</w:t>
      </w:r>
      <w:r w:rsidR="00D110C0">
        <w:rPr>
          <w:rStyle w:val="default"/>
          <w:rFonts w:cs="FrankRuehl" w:hint="cs"/>
          <w:rtl/>
        </w:rPr>
        <w:t xml:space="preserve"> ו-131(א) לחוק השקעות משותפות בנאמנות, </w:t>
      </w:r>
      <w:r w:rsidR="00246F90">
        <w:rPr>
          <w:rStyle w:val="default"/>
          <w:rFonts w:cs="FrankRuehl" w:hint="cs"/>
          <w:rtl/>
        </w:rPr>
        <w:t>ה</w:t>
      </w:r>
      <w:r w:rsidR="00D110C0">
        <w:rPr>
          <w:rStyle w:val="default"/>
          <w:rFonts w:cs="FrankRuehl" w:hint="cs"/>
          <w:rtl/>
        </w:rPr>
        <w:t>תש</w:t>
      </w:r>
      <w:r w:rsidR="00D110C0">
        <w:rPr>
          <w:rStyle w:val="default"/>
          <w:rFonts w:cs="FrankRuehl"/>
          <w:rtl/>
        </w:rPr>
        <w:t>נ</w:t>
      </w:r>
      <w:r w:rsidR="00D110C0">
        <w:rPr>
          <w:rStyle w:val="default"/>
          <w:rFonts w:cs="FrankRuehl" w:hint="cs"/>
          <w:rtl/>
        </w:rPr>
        <w:t>"ד-</w:t>
      </w:r>
      <w:r w:rsidR="00D110C0">
        <w:rPr>
          <w:rStyle w:val="default"/>
          <w:rFonts w:cs="FrankRuehl"/>
          <w:rtl/>
        </w:rPr>
        <w:t>1994 (ל</w:t>
      </w:r>
      <w:r w:rsidR="00D110C0">
        <w:rPr>
          <w:rStyle w:val="default"/>
          <w:rFonts w:cs="FrankRuehl" w:hint="cs"/>
          <w:rtl/>
        </w:rPr>
        <w:t xml:space="preserve">הלן </w:t>
      </w:r>
      <w:r w:rsidR="00246F90">
        <w:rPr>
          <w:rStyle w:val="default"/>
          <w:rFonts w:cs="FrankRuehl"/>
          <w:rtl/>
        </w:rPr>
        <w:t>–</w:t>
      </w:r>
      <w:r w:rsidR="00D110C0">
        <w:rPr>
          <w:rStyle w:val="default"/>
          <w:rFonts w:cs="FrankRuehl"/>
          <w:rtl/>
        </w:rPr>
        <w:t xml:space="preserve"> </w:t>
      </w:r>
      <w:r w:rsidR="00D110C0">
        <w:rPr>
          <w:rStyle w:val="default"/>
          <w:rFonts w:cs="FrankRuehl" w:hint="cs"/>
          <w:rtl/>
        </w:rPr>
        <w:t xml:space="preserve">החוק), לפי הצעת רשות </w:t>
      </w:r>
      <w:r w:rsidR="00246F90">
        <w:rPr>
          <w:rStyle w:val="default"/>
          <w:rFonts w:cs="FrankRuehl" w:hint="cs"/>
          <w:rtl/>
        </w:rPr>
        <w:t xml:space="preserve">ניירות ערך (להלן </w:t>
      </w:r>
      <w:r w:rsidR="00246F90">
        <w:rPr>
          <w:rStyle w:val="default"/>
          <w:rFonts w:cs="FrankRuehl"/>
          <w:rtl/>
        </w:rPr>
        <w:t>–</w:t>
      </w:r>
      <w:r w:rsidR="00246F90">
        <w:rPr>
          <w:rStyle w:val="default"/>
          <w:rFonts w:cs="FrankRuehl" w:hint="cs"/>
          <w:rtl/>
        </w:rPr>
        <w:t xml:space="preserve"> הרשות) </w:t>
      </w:r>
      <w:r w:rsidR="00D110C0">
        <w:rPr>
          <w:rStyle w:val="default"/>
          <w:rFonts w:cs="FrankRuehl" w:hint="cs"/>
          <w:rtl/>
        </w:rPr>
        <w:t>ובאישור ועדת הכספים של הכנסת, אני מתקין תקנות אלה:</w:t>
      </w:r>
    </w:p>
    <w:p w:rsidR="00D110C0" w:rsidRDefault="00D110C0" w:rsidP="00246F9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8.55pt;z-index:251655168"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חובת השתתפות והצבעה</w:t>
                  </w:r>
                </w:p>
              </w:txbxContent>
            </v:textbox>
            <w10:anchorlock/>
          </v:rect>
        </w:pict>
      </w:r>
      <w:r>
        <w:rPr>
          <w:rStyle w:val="big-number"/>
          <w:rFonts w:cs="Miriam"/>
          <w:rtl/>
        </w:rPr>
        <w:t>1</w:t>
      </w:r>
      <w:r w:rsidRPr="006F605A">
        <w:rPr>
          <w:rStyle w:val="default"/>
          <w:rFonts w:cs="FrankRuehl"/>
          <w:rtl/>
        </w:rPr>
        <w:t>.</w:t>
      </w:r>
      <w:r w:rsidRPr="006F605A">
        <w:rPr>
          <w:rStyle w:val="default"/>
          <w:rFonts w:cs="FrankRuehl"/>
          <w:rtl/>
        </w:rPr>
        <w:tab/>
      </w:r>
      <w:r w:rsidR="00246F90">
        <w:rPr>
          <w:rStyle w:val="default"/>
          <w:rFonts w:cs="FrankRuehl" w:hint="cs"/>
          <w:rtl/>
        </w:rPr>
        <w:t>(א)</w:t>
      </w:r>
      <w:r w:rsidR="00246F90">
        <w:rPr>
          <w:rStyle w:val="default"/>
          <w:rFonts w:cs="FrankRuehl" w:hint="cs"/>
          <w:rtl/>
        </w:rPr>
        <w:tab/>
        <w:t>מנהל קרן ישתתף ויצביע באסיפת מחזיקים כאמור בסעיף 77 לחוק, בעד או נגד הצעת החלטה המובאת לאישור.</w:t>
      </w:r>
    </w:p>
    <w:p w:rsidR="00246F90" w:rsidRDefault="00246F90" w:rsidP="00246F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חובת ההשתתפות וההצבעה לא תחול באסיפות שמתקיים בהן אחד מאלה:</w:t>
      </w:r>
    </w:p>
    <w:p w:rsidR="00246F90" w:rsidRDefault="00246F90" w:rsidP="00246F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באסיפות של בעלי מניות בחברות ציבוריות שבהן לא נדרש לפי דין או לפי הוראה אחרת רוב שאינו רוב רגיל לאישור הצעת ההחלטה, למעט אסיפות לאישור הצעות לשינוי בתקנון החברה שיש בו כדי לפגוע בעניינם של בעלי המניות, אסיפות בנוגע למינויים ופיטורים של דירקטורים, אסיפות בנוגע להתקשרות של החברה שלדירקטור יש בה עניין אישי ואסיפות לאישור מיזוג לפי סעיף 320 לחוק החברות;</w:t>
      </w:r>
    </w:p>
    <w:p w:rsidR="00246F90" w:rsidRDefault="00246F90" w:rsidP="00246F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באסיפות של בעלי מניות בחברות ציבוריות שבו מחזיק בעל השליטה בתאגיד במניות בשיעור שיקנה לו את הרוב הנדרש לקבלת הצעת ההחלטה בעל סדר יומה של האסיפה, בהנחה שכל שאר בעלי המניות יצביעו נגדה; לעניין זה, מנהל הקרן רשאי להסתמך על דיווח התאגיד במסגרת זימון האסיפה.</w:t>
      </w:r>
    </w:p>
    <w:p w:rsidR="00D110C0" w:rsidRDefault="00D110C0" w:rsidP="00246F90">
      <w:pPr>
        <w:pStyle w:val="P00"/>
        <w:spacing w:before="72"/>
        <w:ind w:left="0" w:right="1134"/>
        <w:rPr>
          <w:rStyle w:val="default"/>
          <w:rFonts w:cs="FrankRuehl" w:hint="cs"/>
          <w:rtl/>
        </w:rPr>
      </w:pPr>
      <w:bookmarkStart w:id="1" w:name="Seif2"/>
      <w:bookmarkEnd w:id="1"/>
      <w:r>
        <w:rPr>
          <w:lang w:val="he-IL"/>
        </w:rPr>
        <w:pict>
          <v:rect id="_x0000_s1028" style="position:absolute;left:0;text-align:left;margin-left:464.5pt;margin-top:8.05pt;width:75.05pt;height:22.25pt;z-index:251656192"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קביעת מדיניות הצבעה</w:t>
                  </w:r>
                </w:p>
              </w:txbxContent>
            </v:textbox>
            <w10:anchorlock/>
          </v:rect>
        </w:pict>
      </w:r>
      <w:r>
        <w:rPr>
          <w:rStyle w:val="big-number"/>
          <w:rFonts w:cs="Miriam"/>
          <w:rtl/>
        </w:rPr>
        <w:t>2</w:t>
      </w:r>
      <w:r w:rsidRPr="00246F90">
        <w:rPr>
          <w:rStyle w:val="default"/>
          <w:rFonts w:cs="FrankRuehl"/>
          <w:rtl/>
        </w:rPr>
        <w:t>.</w:t>
      </w:r>
      <w:r w:rsidRPr="00246F90">
        <w:rPr>
          <w:rStyle w:val="default"/>
          <w:rFonts w:cs="FrankRuehl"/>
          <w:rtl/>
        </w:rPr>
        <w:tab/>
      </w:r>
      <w:r w:rsidR="00246F90">
        <w:rPr>
          <w:rStyle w:val="default"/>
          <w:rFonts w:cs="FrankRuehl" w:hint="cs"/>
          <w:rtl/>
        </w:rPr>
        <w:t>(א)</w:t>
      </w:r>
      <w:r w:rsidR="00246F90">
        <w:rPr>
          <w:rStyle w:val="default"/>
          <w:rFonts w:cs="FrankRuehl" w:hint="cs"/>
          <w:rtl/>
        </w:rPr>
        <w:tab/>
        <w:t>דירקטוריון מנהל קרן יקבע מדיניות הצבעה בנוגע להצעות החלטה, לרבות בנוגע לעניינים אלה:</w:t>
      </w:r>
    </w:p>
    <w:p w:rsidR="00246F90" w:rsidRDefault="00246F90" w:rsidP="00246F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הליכי בדיקה לצורך גיבוש עמדה לגבי הצעות ההחלטה;</w:t>
      </w:r>
    </w:p>
    <w:p w:rsidR="00246F90" w:rsidRDefault="00246F90" w:rsidP="00246F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הליך ואופן קבלת החלטות ההצבעה בהצעות שלגביהן קיים ניגוד עניינים העלול להשפיע על אופן ההצבעה;</w:t>
      </w:r>
    </w:p>
    <w:p w:rsidR="00246F90" w:rsidRDefault="00246F90" w:rsidP="00246F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הטיפול בפניות מצד הנהלות התאגידים או בעלי שליטה בהם שמטרתן להשפיע על אופן ההצבעה;</w:t>
      </w:r>
    </w:p>
    <w:p w:rsidR="00246F90" w:rsidRDefault="00246F90" w:rsidP="00246F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סוגי הצעות החלטה שלגביהן יתקשר עם גורם מקצועי לצורך גיבוש המלצות הצבעה, כמפורט בתקנה 5.</w:t>
      </w:r>
    </w:p>
    <w:p w:rsidR="00246F90" w:rsidRDefault="00246F90" w:rsidP="00246F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דירקטוריון מנהל הקרן יביא לידיעת הנאמן את מדיניות ההצבעה שנקבעה לפי תקנת משנה (א).</w:t>
      </w:r>
    </w:p>
    <w:p w:rsidR="00D110C0" w:rsidRDefault="00D110C0" w:rsidP="00246F90">
      <w:pPr>
        <w:pStyle w:val="P00"/>
        <w:spacing w:before="72"/>
        <w:ind w:left="0" w:right="1134"/>
        <w:rPr>
          <w:rStyle w:val="default"/>
          <w:rFonts w:cs="FrankRuehl" w:hint="cs"/>
          <w:rtl/>
        </w:rPr>
      </w:pPr>
      <w:bookmarkStart w:id="2" w:name="Seif3"/>
      <w:bookmarkEnd w:id="2"/>
      <w:r>
        <w:rPr>
          <w:lang w:val="he-IL"/>
        </w:rPr>
        <w:pict>
          <v:rect id="_x0000_s1029" style="position:absolute;left:0;text-align:left;margin-left:464.5pt;margin-top:8.05pt;width:75.05pt;height:27.9pt;z-index:251657216"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אישור הדירקטוריון לסטייה ממדיניות ההצבעה</w:t>
                  </w:r>
                </w:p>
              </w:txbxContent>
            </v:textbox>
            <w10:anchorlock/>
          </v:rect>
        </w:pict>
      </w:r>
      <w:r>
        <w:rPr>
          <w:rStyle w:val="big-number"/>
          <w:rFonts w:cs="Miriam"/>
          <w:rtl/>
        </w:rPr>
        <w:t>3</w:t>
      </w:r>
      <w:r w:rsidRPr="00246F90">
        <w:rPr>
          <w:rStyle w:val="default"/>
          <w:rFonts w:cs="FrankRuehl"/>
          <w:rtl/>
        </w:rPr>
        <w:t>.</w:t>
      </w:r>
      <w:r w:rsidRPr="00246F90">
        <w:rPr>
          <w:rStyle w:val="default"/>
          <w:rFonts w:cs="FrankRuehl"/>
          <w:rtl/>
        </w:rPr>
        <w:tab/>
      </w:r>
      <w:r w:rsidR="00246F90">
        <w:rPr>
          <w:rStyle w:val="default"/>
          <w:rFonts w:cs="FrankRuehl" w:hint="cs"/>
          <w:rtl/>
        </w:rPr>
        <w:t>מנהל קרן לא יצביע בניגוד למדיניות ההצבעה שקבע הדירקטוריון לפי תקנה 2, אלא באישור מראש של הדירקטוריון</w:t>
      </w:r>
      <w:r>
        <w:rPr>
          <w:rStyle w:val="default"/>
          <w:rFonts w:cs="FrankRuehl" w:hint="cs"/>
          <w:rtl/>
        </w:rPr>
        <w:t>.</w:t>
      </w:r>
    </w:p>
    <w:p w:rsidR="00D110C0" w:rsidRDefault="00D110C0" w:rsidP="00246F90">
      <w:pPr>
        <w:pStyle w:val="P00"/>
        <w:spacing w:before="72"/>
        <w:ind w:left="0" w:right="1134"/>
        <w:rPr>
          <w:rStyle w:val="default"/>
          <w:rFonts w:cs="FrankRuehl" w:hint="cs"/>
          <w:rtl/>
        </w:rPr>
      </w:pPr>
      <w:bookmarkStart w:id="3" w:name="Seif4"/>
      <w:bookmarkEnd w:id="3"/>
      <w:r>
        <w:rPr>
          <w:lang w:val="he-IL"/>
        </w:rPr>
        <w:pict>
          <v:rect id="_x0000_s1031" style="position:absolute;left:0;text-align:left;margin-left:464.5pt;margin-top:8.05pt;width:75.05pt;height:16pt;z-index:251658240"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דיווח לדירקטוריון</w:t>
                  </w:r>
                </w:p>
              </w:txbxContent>
            </v:textbox>
            <w10:anchorlock/>
          </v:rect>
        </w:pict>
      </w:r>
      <w:r>
        <w:rPr>
          <w:rStyle w:val="big-number"/>
          <w:rFonts w:cs="Miriam"/>
          <w:rtl/>
        </w:rPr>
        <w:t>4</w:t>
      </w:r>
      <w:r w:rsidRPr="00246F90">
        <w:rPr>
          <w:rStyle w:val="default"/>
          <w:rFonts w:cs="FrankRuehl"/>
          <w:rtl/>
        </w:rPr>
        <w:t>.</w:t>
      </w:r>
      <w:r w:rsidRPr="00246F90">
        <w:rPr>
          <w:rStyle w:val="default"/>
          <w:rFonts w:cs="FrankRuehl"/>
          <w:rtl/>
        </w:rPr>
        <w:tab/>
      </w:r>
      <w:r w:rsidR="00246F90">
        <w:rPr>
          <w:rStyle w:val="default"/>
          <w:rFonts w:cs="FrankRuehl" w:hint="cs"/>
          <w:rtl/>
        </w:rPr>
        <w:t xml:space="preserve">מנהל קרן ידווח לדירקטוריון, פעם אחת בתקופה של שנים עשר חודשים לפחות, על אופן הצבעתו בפועל בכל אחת מאסיפות המחזיקים שבהן נדרש להשתתף, ממועד הדיווח האחרון עד מועד הדוח; לעניין זה, "אופן הצבעתו" </w:t>
      </w:r>
      <w:r w:rsidR="00246F90">
        <w:rPr>
          <w:rStyle w:val="default"/>
          <w:rFonts w:cs="FrankRuehl"/>
          <w:rtl/>
        </w:rPr>
        <w:t>–</w:t>
      </w:r>
      <w:r w:rsidR="00246F90">
        <w:rPr>
          <w:rStyle w:val="default"/>
          <w:rFonts w:cs="FrankRuehl" w:hint="cs"/>
          <w:rtl/>
        </w:rPr>
        <w:t xml:space="preserve"> אם תמך או התנגד, ואם קיבל אישור הדירקטוריון לסטות ממדיניות ההצבעה והסיבות שהובילו לקבלת אישור כאמור; לא השתתף מנהל הקרן באסיפת מחזיקים שבה נדרש להשתתף, יצוין הדבר בדוח והסיבות לאי-ההשתתפות.</w:t>
      </w:r>
    </w:p>
    <w:p w:rsidR="00D110C0" w:rsidRDefault="00D110C0" w:rsidP="00246F90">
      <w:pPr>
        <w:pStyle w:val="P00"/>
        <w:spacing w:before="72"/>
        <w:ind w:left="0" w:right="1134"/>
        <w:rPr>
          <w:rStyle w:val="default"/>
          <w:rFonts w:cs="FrankRuehl" w:hint="cs"/>
          <w:rtl/>
        </w:rPr>
      </w:pPr>
      <w:bookmarkStart w:id="4" w:name="Seif5"/>
      <w:bookmarkEnd w:id="4"/>
      <w:r>
        <w:rPr>
          <w:lang w:val="he-IL"/>
        </w:rPr>
        <w:pict>
          <v:rect id="_x0000_s1032" style="position:absolute;left:0;text-align:left;margin-left:464.5pt;margin-top:8.05pt;width:75.05pt;height:23.85pt;z-index:251659264"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התקשרות מנהל קרן עם גורם מקצועי</w:t>
                  </w:r>
                </w:p>
              </w:txbxContent>
            </v:textbox>
            <w10:anchorlock/>
          </v:rect>
        </w:pict>
      </w:r>
      <w:r>
        <w:rPr>
          <w:rStyle w:val="big-number"/>
          <w:rFonts w:cs="Miriam"/>
          <w:rtl/>
        </w:rPr>
        <w:t>5</w:t>
      </w:r>
      <w:r w:rsidRPr="00246F90">
        <w:rPr>
          <w:rStyle w:val="default"/>
          <w:rFonts w:cs="FrankRuehl"/>
          <w:rtl/>
        </w:rPr>
        <w:t>.</w:t>
      </w:r>
      <w:r w:rsidRPr="00246F90">
        <w:rPr>
          <w:rStyle w:val="default"/>
          <w:rFonts w:cs="FrankRuehl"/>
          <w:rtl/>
        </w:rPr>
        <w:tab/>
      </w:r>
      <w:r w:rsidR="00246F90">
        <w:rPr>
          <w:rStyle w:val="default"/>
          <w:rFonts w:cs="FrankRuehl" w:hint="cs"/>
          <w:rtl/>
        </w:rPr>
        <w:t>(א)</w:t>
      </w:r>
      <w:r w:rsidR="00246F90">
        <w:rPr>
          <w:rStyle w:val="default"/>
          <w:rFonts w:cs="FrankRuehl" w:hint="cs"/>
          <w:rtl/>
        </w:rPr>
        <w:tab/>
        <w:t>מנהל קרן רשאי לקבוע סוגי הצעות החלטה שלגביהן יתקשר עם גורמים מקצועיים לצורך גיבוש המלצות הצבעה ובלבד שדירקטוריון מנהל הקרן אישר את ההתקשרות לאחר שהתקיימו תנאים אלה:</w:t>
      </w:r>
    </w:p>
    <w:p w:rsidR="00246F90" w:rsidRDefault="00246F90" w:rsidP="00246F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הדירקטוריון בחן את כשירותו של הגורם המקצועי וקבע כי הוא כשיר לספק את השירות באופן מקצועי וברמה נאותה וכי הוא פועל לגיבוש המלצות הצבעה תוך השקעת המשאבים הנדרשים לבחינה איכותית של הצעות ההחלטה;</w:t>
      </w:r>
    </w:p>
    <w:p w:rsidR="00246F90" w:rsidRDefault="00246F90" w:rsidP="00246F90">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הדירקטוריון קבע כי הגורם המקצועי פועל לפי מדיניות כתובה המספקת מענה נאות לחשש מפני גיבוש המלצות בנסיבות שבהן נתון הגורם המקצועי בניגוד עניינים או מושפע משיקולים זרים.</w:t>
      </w:r>
    </w:p>
    <w:p w:rsidR="00246F90" w:rsidRDefault="00246F90" w:rsidP="00246F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דירקטוריון מנהל הקרן המתקשר עם גורם מקצועי כאמור בתקנת משנה (א) יקבע מדיניות בדבר ההליך לבחינת המלצות ההצבעה של הגורם המקצועי, כחלק ממדיניות ההצבעה הכוללת.</w:t>
      </w:r>
    </w:p>
    <w:p w:rsidR="00D110C0" w:rsidRDefault="00D110C0" w:rsidP="00246F90">
      <w:pPr>
        <w:pStyle w:val="P00"/>
        <w:spacing w:before="72"/>
        <w:ind w:left="0" w:right="1134"/>
        <w:rPr>
          <w:rStyle w:val="default"/>
          <w:rFonts w:cs="FrankRuehl" w:hint="cs"/>
          <w:rtl/>
        </w:rPr>
      </w:pPr>
      <w:bookmarkStart w:id="5" w:name="Seif6"/>
      <w:bookmarkEnd w:id="5"/>
      <w:r>
        <w:rPr>
          <w:lang w:val="he-IL"/>
        </w:rPr>
        <w:pict>
          <v:rect id="_x0000_s1033" style="position:absolute;left:0;text-align:left;margin-left:464.5pt;margin-top:8.05pt;width:75.05pt;height:11.55pt;z-index:251660288" o:allowincell="f" filled="f" stroked="f" strokecolor="lime" strokeweight=".25pt">
            <v:textbox inset="0,0,0,0">
              <w:txbxContent>
                <w:p w:rsidR="00D110C0" w:rsidRDefault="00246F90">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6</w:t>
      </w:r>
      <w:r w:rsidRPr="00246F90">
        <w:rPr>
          <w:rStyle w:val="default"/>
          <w:rFonts w:cs="FrankRuehl"/>
          <w:rtl/>
        </w:rPr>
        <w:t>.</w:t>
      </w:r>
      <w:r w:rsidRPr="00246F90">
        <w:rPr>
          <w:rStyle w:val="default"/>
          <w:rFonts w:cs="FrankRuehl"/>
          <w:rtl/>
        </w:rPr>
        <w:tab/>
      </w:r>
      <w:r w:rsidR="00246F90">
        <w:rPr>
          <w:rStyle w:val="default"/>
          <w:rFonts w:cs="FrankRuehl" w:hint="cs"/>
          <w:rtl/>
        </w:rPr>
        <w:t>תחילתן של תקנות אלה 90 ימים מיום פרסומן</w:t>
      </w:r>
      <w:r>
        <w:rPr>
          <w:rStyle w:val="default"/>
          <w:rFonts w:cs="FrankRuehl" w:hint="cs"/>
          <w:rtl/>
        </w:rPr>
        <w:t>.</w:t>
      </w:r>
    </w:p>
    <w:p w:rsidR="00D110C0" w:rsidRDefault="00D110C0">
      <w:pPr>
        <w:pStyle w:val="P00"/>
        <w:spacing w:before="72"/>
        <w:ind w:left="0" w:right="1134"/>
        <w:rPr>
          <w:rStyle w:val="default"/>
          <w:rFonts w:cs="FrankRuehl" w:hint="cs"/>
          <w:rtl/>
        </w:rPr>
      </w:pPr>
    </w:p>
    <w:p w:rsidR="00D110C0" w:rsidRDefault="00D110C0">
      <w:pPr>
        <w:pStyle w:val="P00"/>
        <w:spacing w:before="72"/>
        <w:ind w:left="0" w:right="1134"/>
        <w:rPr>
          <w:rStyle w:val="default"/>
          <w:rFonts w:cs="FrankRuehl"/>
          <w:rtl/>
        </w:rPr>
      </w:pPr>
    </w:p>
    <w:p w:rsidR="00D110C0" w:rsidRDefault="00246F90" w:rsidP="00246F90">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ד' באלול התשע"ה (19 באוגוסט 2015</w:t>
      </w:r>
      <w:r w:rsidR="00D110C0">
        <w:rPr>
          <w:rFonts w:cs="FrankRuehl" w:hint="cs"/>
          <w:sz w:val="26"/>
          <w:szCs w:val="26"/>
          <w:rtl/>
        </w:rPr>
        <w:t>)</w:t>
      </w:r>
      <w:r w:rsidR="00D110C0">
        <w:rPr>
          <w:rFonts w:cs="FrankRuehl"/>
          <w:sz w:val="26"/>
          <w:szCs w:val="26"/>
          <w:rtl/>
        </w:rPr>
        <w:tab/>
      </w:r>
      <w:r>
        <w:rPr>
          <w:rFonts w:cs="FrankRuehl" w:hint="cs"/>
          <w:sz w:val="26"/>
          <w:szCs w:val="26"/>
          <w:rtl/>
        </w:rPr>
        <w:t>משה כחלון</w:t>
      </w:r>
    </w:p>
    <w:p w:rsidR="00D110C0" w:rsidRDefault="00D110C0" w:rsidP="006F605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Pr>
          <w:rFonts w:cs="FrankRuehl"/>
          <w:sz w:val="22"/>
          <w:rtl/>
        </w:rPr>
        <w:t xml:space="preserve"> </w:t>
      </w:r>
      <w:r>
        <w:rPr>
          <w:rFonts w:cs="FrankRuehl" w:hint="cs"/>
          <w:sz w:val="22"/>
          <w:rtl/>
        </w:rPr>
        <w:t>האוצר</w:t>
      </w:r>
    </w:p>
    <w:p w:rsidR="006F605A" w:rsidRDefault="006F605A">
      <w:pPr>
        <w:pStyle w:val="P00"/>
        <w:spacing w:before="72"/>
        <w:ind w:left="0" w:right="1134"/>
        <w:rPr>
          <w:rStyle w:val="default"/>
          <w:rFonts w:cs="FrankRuehl" w:hint="cs"/>
          <w:rtl/>
        </w:rPr>
      </w:pPr>
    </w:p>
    <w:p w:rsidR="00D110C0" w:rsidRDefault="00D110C0">
      <w:pPr>
        <w:pStyle w:val="P00"/>
        <w:spacing w:before="72"/>
        <w:ind w:left="0" w:right="1134"/>
        <w:rPr>
          <w:rStyle w:val="default"/>
          <w:rFonts w:cs="FrankRuehl"/>
          <w:rtl/>
        </w:rPr>
      </w:pPr>
    </w:p>
    <w:p w:rsidR="00D110C0" w:rsidRDefault="00D110C0">
      <w:pPr>
        <w:pStyle w:val="P00"/>
        <w:spacing w:before="72"/>
        <w:ind w:left="0" w:right="1134"/>
        <w:rPr>
          <w:rStyle w:val="default"/>
          <w:rFonts w:cs="FrankRuehl"/>
          <w:rtl/>
        </w:rPr>
      </w:pPr>
      <w:bookmarkStart w:id="6" w:name="LawPartEnd"/>
    </w:p>
    <w:bookmarkEnd w:id="6"/>
    <w:p w:rsidR="00975BB7" w:rsidRDefault="00975BB7">
      <w:pPr>
        <w:pStyle w:val="P00"/>
        <w:spacing w:before="72"/>
        <w:ind w:left="0" w:right="1134"/>
        <w:rPr>
          <w:rStyle w:val="default"/>
          <w:rFonts w:cs="FrankRuehl"/>
          <w:rtl/>
        </w:rPr>
      </w:pPr>
    </w:p>
    <w:p w:rsidR="00975BB7" w:rsidRDefault="00975BB7">
      <w:pPr>
        <w:pStyle w:val="P00"/>
        <w:spacing w:before="72"/>
        <w:ind w:left="0" w:right="1134"/>
        <w:rPr>
          <w:rStyle w:val="default"/>
          <w:rFonts w:cs="FrankRuehl"/>
          <w:rtl/>
        </w:rPr>
      </w:pPr>
    </w:p>
    <w:p w:rsidR="00975BB7" w:rsidRDefault="00975BB7" w:rsidP="00975BB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124FE2" w:rsidRPr="00975BB7" w:rsidRDefault="00124FE2" w:rsidP="00975BB7">
      <w:pPr>
        <w:pStyle w:val="P00"/>
        <w:spacing w:before="72"/>
        <w:ind w:left="0" w:right="1134"/>
        <w:jc w:val="center"/>
        <w:rPr>
          <w:rStyle w:val="default"/>
          <w:rFonts w:cs="David"/>
          <w:color w:val="0000FF"/>
          <w:szCs w:val="24"/>
          <w:u w:val="single"/>
          <w:rtl/>
        </w:rPr>
      </w:pPr>
    </w:p>
    <w:sectPr w:rsidR="00124FE2" w:rsidRPr="00975BB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957" w:rsidRDefault="008B4957">
      <w:r>
        <w:separator/>
      </w:r>
    </w:p>
  </w:endnote>
  <w:endnote w:type="continuationSeparator" w:id="0">
    <w:p w:rsidR="008B4957" w:rsidRDefault="008B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10C0" w:rsidRDefault="00D110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10C0" w:rsidRDefault="00D110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BB7">
      <w:rPr>
        <w:rFonts w:cs="TopType Jerushalmi"/>
        <w:noProof/>
        <w:color w:val="000000"/>
        <w:sz w:val="14"/>
        <w:szCs w:val="14"/>
      </w:rPr>
      <w:t>Z:\000-law\yael\2015\2015-11-05\tav\501_286.doc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5BB7">
      <w:rPr>
        <w:rFonts w:hAnsi="FrankRuehl" w:cs="FrankRuehl"/>
        <w:noProof/>
        <w:sz w:val="24"/>
        <w:szCs w:val="24"/>
        <w:rtl/>
      </w:rPr>
      <w:t>3</w:t>
    </w:r>
    <w:r>
      <w:rPr>
        <w:rFonts w:hAnsi="FrankRuehl" w:cs="FrankRuehl"/>
        <w:sz w:val="24"/>
        <w:szCs w:val="24"/>
        <w:rtl/>
      </w:rPr>
      <w:fldChar w:fldCharType="end"/>
    </w:r>
  </w:p>
  <w:p w:rsidR="00D110C0" w:rsidRDefault="00D110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10C0" w:rsidRDefault="00D110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BB7">
      <w:rPr>
        <w:rFonts w:cs="TopType Jerushalmi"/>
        <w:noProof/>
        <w:color w:val="000000"/>
        <w:sz w:val="14"/>
        <w:szCs w:val="14"/>
      </w:rPr>
      <w:t>Z:\000-law\yael\2015\2015-11-05\tav\501_286.doc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957" w:rsidRDefault="008B4957">
      <w:pPr>
        <w:spacing w:before="60" w:line="240" w:lineRule="auto"/>
        <w:ind w:right="1134"/>
      </w:pPr>
      <w:r>
        <w:separator/>
      </w:r>
    </w:p>
  </w:footnote>
  <w:footnote w:type="continuationSeparator" w:id="0">
    <w:p w:rsidR="008B4957" w:rsidRDefault="008B4957">
      <w:r>
        <w:continuationSeparator/>
      </w:r>
    </w:p>
  </w:footnote>
  <w:footnote w:id="1">
    <w:p w:rsidR="0014262A" w:rsidRDefault="00D110C0" w:rsidP="00142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14262A">
          <w:rPr>
            <w:rStyle w:val="Hyperlink"/>
            <w:rFonts w:cs="FrankRuehl" w:hint="cs"/>
            <w:rtl/>
          </w:rPr>
          <w:t>ק"ת תש</w:t>
        </w:r>
        <w:r w:rsidR="006F605A" w:rsidRPr="0014262A">
          <w:rPr>
            <w:rStyle w:val="Hyperlink"/>
            <w:rFonts w:cs="FrankRuehl" w:hint="cs"/>
            <w:rtl/>
          </w:rPr>
          <w:t>ע</w:t>
        </w:r>
        <w:r w:rsidRPr="0014262A">
          <w:rPr>
            <w:rStyle w:val="Hyperlink"/>
            <w:rFonts w:cs="FrankRuehl" w:hint="cs"/>
            <w:rtl/>
          </w:rPr>
          <w:t xml:space="preserve">"ו </w:t>
        </w:r>
        <w:r w:rsidRPr="0014262A">
          <w:rPr>
            <w:rStyle w:val="Hyperlink"/>
            <w:rFonts w:cs="FrankRuehl" w:hint="cs"/>
            <w:rtl/>
          </w:rPr>
          <w:t xml:space="preserve">מס' </w:t>
        </w:r>
        <w:r w:rsidR="006F605A" w:rsidRPr="0014262A">
          <w:rPr>
            <w:rStyle w:val="Hyperlink"/>
            <w:rFonts w:cs="FrankRuehl" w:hint="cs"/>
            <w:rtl/>
          </w:rPr>
          <w:t>7567</w:t>
        </w:r>
      </w:hyperlink>
      <w:r>
        <w:rPr>
          <w:rFonts w:cs="FrankRuehl" w:hint="cs"/>
          <w:rtl/>
        </w:rPr>
        <w:t xml:space="preserve"> מיום </w:t>
      </w:r>
      <w:r w:rsidR="006F605A">
        <w:rPr>
          <w:rFonts w:cs="FrankRuehl" w:hint="cs"/>
          <w:rtl/>
        </w:rPr>
        <w:t>2.11.2015</w:t>
      </w:r>
      <w:r>
        <w:rPr>
          <w:rFonts w:cs="FrankRuehl" w:hint="cs"/>
          <w:rtl/>
        </w:rPr>
        <w:t xml:space="preserve"> עמ' </w:t>
      </w:r>
      <w:r w:rsidR="006F605A">
        <w:rPr>
          <w:rFonts w:cs="FrankRuehl" w:hint="cs"/>
          <w:rtl/>
        </w:rPr>
        <w:t>124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(הון עצמי וביטוח של מנהל קרן ונאמן ותנאי כשירות של דירקטורים וחברי ועדת ההשקעות), תשנ"ו–1995</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0C0" w:rsidRDefault="00D110C0" w:rsidP="006F605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השקעות משותפות בנאמנות (</w:t>
    </w:r>
    <w:r w:rsidR="006F605A">
      <w:rPr>
        <w:rFonts w:hAnsi="FrankRuehl" w:cs="FrankRuehl" w:hint="cs"/>
        <w:color w:val="000000"/>
        <w:sz w:val="28"/>
        <w:szCs w:val="28"/>
        <w:rtl/>
      </w:rPr>
      <w:t>השתתפות מנהל קרן באסיפת מחזיקים), תשע"ו-2015</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10C0" w:rsidRDefault="00D110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A09"/>
    <w:rsid w:val="00124FE2"/>
    <w:rsid w:val="0014262A"/>
    <w:rsid w:val="00246F90"/>
    <w:rsid w:val="00395555"/>
    <w:rsid w:val="003F6A09"/>
    <w:rsid w:val="00470E2C"/>
    <w:rsid w:val="005B1B3B"/>
    <w:rsid w:val="00682459"/>
    <w:rsid w:val="006F605A"/>
    <w:rsid w:val="008B4957"/>
    <w:rsid w:val="00975BB7"/>
    <w:rsid w:val="00D110C0"/>
    <w:rsid w:val="00DF7B41"/>
    <w:rsid w:val="00F322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DD8FD47-8831-4940-9588-92BAB28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3952</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http://www.nevo.co.il/Law_word/law06/tak-7567.pdf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השקעות משותפות בנאמנות</vt:lpwstr>
  </property>
  <property fmtid="{D5CDD505-2E9C-101B-9397-08002B2CF9AE}" pid="4" name="LAWNAME">
    <vt:lpwstr>תקנות השקעות משותפות בנאמנות (השתתפות מנהל קרן באסיפת מחזיקים), תשע"ו-2015</vt:lpwstr>
  </property>
  <property fmtid="{D5CDD505-2E9C-101B-9397-08002B2CF9AE}" pid="5" name="LAWNUMBER">
    <vt:lpwstr>0286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77XאX;131XאX</vt:lpwstr>
  </property>
  <property fmtid="{D5CDD505-2E9C-101B-9397-08002B2CF9AE}" pid="49" name="MEKORSAMCHUT">
    <vt:lpwstr/>
  </property>
  <property fmtid="{D5CDD505-2E9C-101B-9397-08002B2CF9AE}" pid="50" name="LINKK1">
    <vt:lpwstr>http://www.nevo.co.il/Law_word/law06/tak-7567.pdf;‎רשומות - תקנות כלליות#פורסמו ק"ת תשע"ו מס' ‏‏7567 #מיום 2.11.2015 עמ' 124‏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