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71BA" w14:textId="77777777" w:rsidR="004912C7" w:rsidRDefault="004912C7">
      <w:pPr>
        <w:pStyle w:val="big-header"/>
        <w:ind w:left="0" w:right="1134"/>
        <w:rPr>
          <w:rFonts w:cs="FrankRuehl" w:hint="cs"/>
          <w:sz w:val="32"/>
          <w:rtl/>
        </w:rPr>
      </w:pPr>
      <w:r>
        <w:rPr>
          <w:rFonts w:cs="FrankRuehl" w:hint="cs"/>
          <w:sz w:val="32"/>
          <w:rtl/>
        </w:rPr>
        <w:t>תקנות השקעות משותפות בנאמנות (עסקאות באשראי ופדיון יחידות באשראי), תשס"א-2001</w:t>
      </w:r>
    </w:p>
    <w:p w14:paraId="47CBE67A" w14:textId="77777777" w:rsidR="00E0463B" w:rsidRDefault="00E0463B" w:rsidP="00E0463B">
      <w:pPr>
        <w:spacing w:line="320" w:lineRule="auto"/>
        <w:rPr>
          <w:rFonts w:cs="FrankRuehl" w:hint="cs"/>
          <w:szCs w:val="26"/>
          <w:rtl/>
        </w:rPr>
      </w:pPr>
    </w:p>
    <w:p w14:paraId="7455C476" w14:textId="77777777" w:rsidR="00D23F94" w:rsidRPr="00E0463B" w:rsidRDefault="00D23F94" w:rsidP="00E0463B">
      <w:pPr>
        <w:spacing w:line="320" w:lineRule="auto"/>
        <w:rPr>
          <w:rFonts w:cs="FrankRuehl" w:hint="cs"/>
          <w:szCs w:val="26"/>
          <w:rtl/>
        </w:rPr>
      </w:pPr>
    </w:p>
    <w:p w14:paraId="195EE386" w14:textId="77777777" w:rsidR="00E0463B" w:rsidRDefault="00E0463B" w:rsidP="00E0463B">
      <w:pPr>
        <w:spacing w:line="320" w:lineRule="auto"/>
        <w:rPr>
          <w:rFonts w:cs="Miriam"/>
          <w:szCs w:val="22"/>
          <w:rtl/>
        </w:rPr>
      </w:pPr>
      <w:r w:rsidRPr="00E0463B">
        <w:rPr>
          <w:rFonts w:cs="Miriam"/>
          <w:szCs w:val="22"/>
          <w:rtl/>
        </w:rPr>
        <w:t>משפט פרטי וכלכלה</w:t>
      </w:r>
      <w:r w:rsidRPr="00E0463B">
        <w:rPr>
          <w:rFonts w:cs="FrankRuehl"/>
          <w:szCs w:val="26"/>
          <w:rtl/>
        </w:rPr>
        <w:t xml:space="preserve"> – תאגידים וניירות ערך – השק' משותפות בנאמנות</w:t>
      </w:r>
    </w:p>
    <w:p w14:paraId="684B3A82" w14:textId="77777777" w:rsidR="00E0463B" w:rsidRDefault="00E0463B" w:rsidP="00E0463B">
      <w:pPr>
        <w:spacing w:line="320" w:lineRule="auto"/>
        <w:rPr>
          <w:rFonts w:cs="Miriam"/>
          <w:szCs w:val="22"/>
          <w:rtl/>
        </w:rPr>
      </w:pPr>
      <w:r w:rsidRPr="00E0463B">
        <w:rPr>
          <w:rFonts w:cs="Miriam"/>
          <w:szCs w:val="22"/>
          <w:rtl/>
        </w:rPr>
        <w:t>משפט פרטי וכלכלה</w:t>
      </w:r>
      <w:r w:rsidRPr="00E0463B">
        <w:rPr>
          <w:rFonts w:cs="FrankRuehl"/>
          <w:szCs w:val="26"/>
          <w:rtl/>
        </w:rPr>
        <w:t xml:space="preserve"> – כספים – השקעות  – השק' משותפות בנאמנות</w:t>
      </w:r>
    </w:p>
    <w:p w14:paraId="29107B39" w14:textId="77777777" w:rsidR="00E0463B" w:rsidRPr="00E0463B" w:rsidRDefault="00E0463B" w:rsidP="00E0463B">
      <w:pPr>
        <w:spacing w:line="320" w:lineRule="auto"/>
        <w:rPr>
          <w:rFonts w:cs="Miriam"/>
          <w:szCs w:val="22"/>
          <w:rtl/>
        </w:rPr>
      </w:pPr>
      <w:r w:rsidRPr="00E0463B">
        <w:rPr>
          <w:rFonts w:cs="Miriam"/>
          <w:szCs w:val="22"/>
          <w:rtl/>
        </w:rPr>
        <w:t>משפט פרטי וכלכלה</w:t>
      </w:r>
      <w:r w:rsidRPr="00E0463B">
        <w:rPr>
          <w:rFonts w:cs="FrankRuehl"/>
          <w:szCs w:val="26"/>
          <w:rtl/>
        </w:rPr>
        <w:t xml:space="preserve"> – חיובים – נאמנות – השק' משותפות בנאמנות</w:t>
      </w:r>
    </w:p>
    <w:p w14:paraId="7854060E" w14:textId="77777777" w:rsidR="004912C7" w:rsidRDefault="004912C7">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912C7" w14:paraId="756672DB" w14:textId="77777777">
        <w:tblPrEx>
          <w:tblCellMar>
            <w:top w:w="0" w:type="dxa"/>
            <w:bottom w:w="0" w:type="dxa"/>
          </w:tblCellMar>
        </w:tblPrEx>
        <w:trPr>
          <w:jc w:val="right"/>
        </w:trPr>
        <w:tc>
          <w:tcPr>
            <w:tcW w:w="850" w:type="dxa"/>
          </w:tcPr>
          <w:p w14:paraId="4A794ACF"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Seif0</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A37CDA1" w14:textId="77777777" w:rsidR="004912C7" w:rsidRDefault="004912C7">
            <w:pPr>
              <w:rPr>
                <w:rFonts w:cs="Frankruhel" w:hint="cs"/>
              </w:rPr>
            </w:pPr>
            <w:hyperlink w:anchor="Seif0" w:tooltip="הגדרות" w:history="1">
              <w:r>
                <w:rPr>
                  <w:rStyle w:val="Hyperlink"/>
                </w:rPr>
                <w:t>Go</w:t>
              </w:r>
            </w:hyperlink>
          </w:p>
        </w:tc>
        <w:tc>
          <w:tcPr>
            <w:tcW w:w="5669" w:type="dxa"/>
          </w:tcPr>
          <w:p w14:paraId="39D85894" w14:textId="77777777" w:rsidR="004912C7" w:rsidRDefault="004912C7">
            <w:pPr>
              <w:rPr>
                <w:rFonts w:cs="Frankruhel"/>
                <w:rtl/>
              </w:rPr>
            </w:pPr>
            <w:r>
              <w:rPr>
                <w:rFonts w:cs="Frankruhel"/>
                <w:rtl/>
              </w:rPr>
              <w:t>הגדרות</w:t>
            </w:r>
          </w:p>
        </w:tc>
        <w:tc>
          <w:tcPr>
            <w:tcW w:w="1247" w:type="dxa"/>
          </w:tcPr>
          <w:p w14:paraId="3BCAFD5B" w14:textId="77777777" w:rsidR="004912C7" w:rsidRDefault="004912C7">
            <w:pPr>
              <w:rPr>
                <w:rFonts w:cs="Frankruhel" w:hint="cs"/>
              </w:rPr>
            </w:pPr>
            <w:r>
              <w:rPr>
                <w:rFonts w:cs="Frankruhel"/>
                <w:rtl/>
              </w:rPr>
              <w:t xml:space="preserve">סעיף 1 </w:t>
            </w:r>
          </w:p>
        </w:tc>
      </w:tr>
      <w:tr w:rsidR="004912C7" w14:paraId="46FF23D8" w14:textId="77777777">
        <w:tblPrEx>
          <w:tblCellMar>
            <w:top w:w="0" w:type="dxa"/>
            <w:bottom w:w="0" w:type="dxa"/>
          </w:tblCellMar>
        </w:tblPrEx>
        <w:trPr>
          <w:jc w:val="right"/>
        </w:trPr>
        <w:tc>
          <w:tcPr>
            <w:tcW w:w="850" w:type="dxa"/>
          </w:tcPr>
          <w:p w14:paraId="765143DA"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Seif1</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6A4EB9F" w14:textId="77777777" w:rsidR="004912C7" w:rsidRDefault="004912C7">
            <w:pPr>
              <w:rPr>
                <w:rFonts w:cs="Frankruhel" w:hint="cs"/>
              </w:rPr>
            </w:pPr>
            <w:hyperlink w:anchor="Seif1" w:tooltip="קניה ומכירה באשראי" w:history="1">
              <w:r>
                <w:rPr>
                  <w:rStyle w:val="Hyperlink"/>
                </w:rPr>
                <w:t>Go</w:t>
              </w:r>
            </w:hyperlink>
          </w:p>
        </w:tc>
        <w:tc>
          <w:tcPr>
            <w:tcW w:w="5669" w:type="dxa"/>
          </w:tcPr>
          <w:p w14:paraId="1FEFFC1E" w14:textId="77777777" w:rsidR="004912C7" w:rsidRDefault="004912C7">
            <w:pPr>
              <w:rPr>
                <w:rFonts w:cs="Frankruhel"/>
                <w:rtl/>
              </w:rPr>
            </w:pPr>
            <w:r>
              <w:rPr>
                <w:rFonts w:cs="Frankruhel"/>
                <w:rtl/>
              </w:rPr>
              <w:t>קניה ומכירה באשראי</w:t>
            </w:r>
          </w:p>
        </w:tc>
        <w:tc>
          <w:tcPr>
            <w:tcW w:w="1247" w:type="dxa"/>
          </w:tcPr>
          <w:p w14:paraId="54A7DE11" w14:textId="77777777" w:rsidR="004912C7" w:rsidRDefault="004912C7">
            <w:pPr>
              <w:rPr>
                <w:rFonts w:cs="Frankruhel" w:hint="cs"/>
              </w:rPr>
            </w:pPr>
            <w:r>
              <w:rPr>
                <w:rFonts w:cs="Frankruhel"/>
                <w:rtl/>
              </w:rPr>
              <w:t xml:space="preserve">סעיף 2 </w:t>
            </w:r>
          </w:p>
        </w:tc>
      </w:tr>
      <w:tr w:rsidR="004912C7" w14:paraId="020C20F6" w14:textId="77777777">
        <w:tblPrEx>
          <w:tblCellMar>
            <w:top w:w="0" w:type="dxa"/>
            <w:bottom w:w="0" w:type="dxa"/>
          </w:tblCellMar>
        </w:tblPrEx>
        <w:trPr>
          <w:jc w:val="right"/>
        </w:trPr>
        <w:tc>
          <w:tcPr>
            <w:tcW w:w="850" w:type="dxa"/>
          </w:tcPr>
          <w:p w14:paraId="450EDE00"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Seif2</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6667793E" w14:textId="77777777" w:rsidR="004912C7" w:rsidRDefault="004912C7">
            <w:pPr>
              <w:rPr>
                <w:rFonts w:cs="Frankruhel" w:hint="cs"/>
              </w:rPr>
            </w:pPr>
            <w:hyperlink w:anchor="Seif2" w:tooltip="אשראי בעד קרן" w:history="1">
              <w:r>
                <w:rPr>
                  <w:rStyle w:val="Hyperlink"/>
                </w:rPr>
                <w:t>Go</w:t>
              </w:r>
            </w:hyperlink>
          </w:p>
        </w:tc>
        <w:tc>
          <w:tcPr>
            <w:tcW w:w="5669" w:type="dxa"/>
          </w:tcPr>
          <w:p w14:paraId="2AA33829" w14:textId="77777777" w:rsidR="004912C7" w:rsidRDefault="004912C7">
            <w:pPr>
              <w:rPr>
                <w:rFonts w:cs="Frankruhel"/>
                <w:rtl/>
              </w:rPr>
            </w:pPr>
            <w:r>
              <w:rPr>
                <w:rFonts w:cs="Frankruhel"/>
                <w:rtl/>
              </w:rPr>
              <w:t>אשראי בעד קרן</w:t>
            </w:r>
          </w:p>
        </w:tc>
        <w:tc>
          <w:tcPr>
            <w:tcW w:w="1247" w:type="dxa"/>
          </w:tcPr>
          <w:p w14:paraId="52AE414E" w14:textId="77777777" w:rsidR="004912C7" w:rsidRDefault="004912C7">
            <w:pPr>
              <w:rPr>
                <w:rFonts w:cs="Frankruhel" w:hint="cs"/>
              </w:rPr>
            </w:pPr>
            <w:r>
              <w:rPr>
                <w:rFonts w:cs="Frankruhel"/>
                <w:rtl/>
              </w:rPr>
              <w:t xml:space="preserve">סעיף 3 </w:t>
            </w:r>
          </w:p>
        </w:tc>
      </w:tr>
      <w:tr w:rsidR="004912C7" w14:paraId="024090DE" w14:textId="77777777">
        <w:tblPrEx>
          <w:tblCellMar>
            <w:top w:w="0" w:type="dxa"/>
            <w:bottom w:w="0" w:type="dxa"/>
          </w:tblCellMar>
        </w:tblPrEx>
        <w:trPr>
          <w:jc w:val="right"/>
        </w:trPr>
        <w:tc>
          <w:tcPr>
            <w:tcW w:w="850" w:type="dxa"/>
          </w:tcPr>
          <w:p w14:paraId="265925C1"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Seif4</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450A3348" w14:textId="77777777" w:rsidR="004912C7" w:rsidRDefault="004912C7">
            <w:pPr>
              <w:rPr>
                <w:rFonts w:cs="Frankruhel" w:hint="cs"/>
              </w:rPr>
            </w:pPr>
            <w:hyperlink w:anchor="Seif4" w:tooltip="עסקת מכר חוזר" w:history="1">
              <w:r>
                <w:rPr>
                  <w:rStyle w:val="Hyperlink"/>
                </w:rPr>
                <w:t>Go</w:t>
              </w:r>
            </w:hyperlink>
          </w:p>
        </w:tc>
        <w:tc>
          <w:tcPr>
            <w:tcW w:w="5669" w:type="dxa"/>
          </w:tcPr>
          <w:p w14:paraId="335E3DA7" w14:textId="77777777" w:rsidR="004912C7" w:rsidRDefault="004912C7">
            <w:pPr>
              <w:rPr>
                <w:rFonts w:cs="Frankruhel"/>
                <w:rtl/>
              </w:rPr>
            </w:pPr>
            <w:r>
              <w:rPr>
                <w:rFonts w:cs="Frankruhel"/>
                <w:rtl/>
              </w:rPr>
              <w:t>עסקת מכר חוזר</w:t>
            </w:r>
          </w:p>
        </w:tc>
        <w:tc>
          <w:tcPr>
            <w:tcW w:w="1247" w:type="dxa"/>
          </w:tcPr>
          <w:p w14:paraId="41700A1B" w14:textId="77777777" w:rsidR="004912C7" w:rsidRDefault="004912C7">
            <w:pPr>
              <w:rPr>
                <w:rFonts w:cs="Frankruhel" w:hint="cs"/>
              </w:rPr>
            </w:pPr>
            <w:r>
              <w:rPr>
                <w:rFonts w:cs="Frankruhel"/>
                <w:rtl/>
              </w:rPr>
              <w:t xml:space="preserve">סעיף 3א </w:t>
            </w:r>
          </w:p>
        </w:tc>
      </w:tr>
      <w:tr w:rsidR="004912C7" w14:paraId="3039A318" w14:textId="77777777">
        <w:tblPrEx>
          <w:tblCellMar>
            <w:top w:w="0" w:type="dxa"/>
            <w:bottom w:w="0" w:type="dxa"/>
          </w:tblCellMar>
        </w:tblPrEx>
        <w:trPr>
          <w:jc w:val="right"/>
        </w:trPr>
        <w:tc>
          <w:tcPr>
            <w:tcW w:w="850" w:type="dxa"/>
          </w:tcPr>
          <w:p w14:paraId="02024D13"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Seif3</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2D537CC4" w14:textId="77777777" w:rsidR="004912C7" w:rsidRDefault="004912C7">
            <w:pPr>
              <w:rPr>
                <w:rFonts w:cs="Frankruhel" w:hint="cs"/>
              </w:rPr>
            </w:pPr>
            <w:hyperlink w:anchor="Seif3" w:tooltip="מועד הרישום בספרי הקרן" w:history="1">
              <w:r>
                <w:rPr>
                  <w:rStyle w:val="Hyperlink"/>
                </w:rPr>
                <w:t>Go</w:t>
              </w:r>
            </w:hyperlink>
          </w:p>
        </w:tc>
        <w:tc>
          <w:tcPr>
            <w:tcW w:w="5669" w:type="dxa"/>
          </w:tcPr>
          <w:p w14:paraId="76E631C7" w14:textId="77777777" w:rsidR="004912C7" w:rsidRDefault="004912C7">
            <w:pPr>
              <w:rPr>
                <w:rFonts w:cs="Frankruhel"/>
                <w:rtl/>
              </w:rPr>
            </w:pPr>
            <w:r>
              <w:rPr>
                <w:rFonts w:cs="Frankruhel"/>
                <w:rtl/>
              </w:rPr>
              <w:t>מועד הרישום בספרי הקרן</w:t>
            </w:r>
          </w:p>
        </w:tc>
        <w:tc>
          <w:tcPr>
            <w:tcW w:w="1247" w:type="dxa"/>
          </w:tcPr>
          <w:p w14:paraId="78109BE5" w14:textId="77777777" w:rsidR="004912C7" w:rsidRDefault="004912C7">
            <w:pPr>
              <w:rPr>
                <w:rFonts w:cs="Frankruhel" w:hint="cs"/>
              </w:rPr>
            </w:pPr>
            <w:r>
              <w:rPr>
                <w:rFonts w:cs="Frankruhel"/>
                <w:rtl/>
              </w:rPr>
              <w:t xml:space="preserve">סעיף 4 </w:t>
            </w:r>
          </w:p>
        </w:tc>
      </w:tr>
      <w:tr w:rsidR="004912C7" w14:paraId="3327DE83" w14:textId="77777777">
        <w:tblPrEx>
          <w:tblCellMar>
            <w:top w:w="0" w:type="dxa"/>
            <w:bottom w:w="0" w:type="dxa"/>
          </w:tblCellMar>
        </w:tblPrEx>
        <w:trPr>
          <w:jc w:val="right"/>
        </w:trPr>
        <w:tc>
          <w:tcPr>
            <w:tcW w:w="850" w:type="dxa"/>
          </w:tcPr>
          <w:p w14:paraId="2E328FC9" w14:textId="77777777" w:rsidR="004912C7" w:rsidRDefault="004912C7">
            <w:pPr>
              <w:rPr>
                <w:rFonts w:cs="Frankruhel" w:hint="cs"/>
              </w:rPr>
            </w:pPr>
            <w:r>
              <w:rPr>
                <w:rFonts w:cs="Frankruhel"/>
                <w:rtl/>
              </w:rPr>
              <w:fldChar w:fldCharType="begin"/>
            </w:r>
            <w:r>
              <w:rPr>
                <w:rFonts w:cs="Frankruhel"/>
                <w:rtl/>
              </w:rPr>
              <w:instrText xml:space="preserve"> </w:instrText>
            </w:r>
            <w:r>
              <w:rPr>
                <w:rFonts w:cs="Frankruhel"/>
              </w:rPr>
              <w:instrText>PAGEREF Seif5</w:instrText>
            </w:r>
            <w:r>
              <w:rPr>
                <w:rFonts w:cs="Frankruhel"/>
                <w:rtl/>
              </w:rPr>
              <w:instrText xml:space="preserve"> </w:instrText>
            </w:r>
            <w:r>
              <w:rPr>
                <w:rFonts w:cs="Frankruhel"/>
                <w:rtl/>
              </w:rPr>
              <w:fldChar w:fldCharType="separate"/>
            </w:r>
            <w:r>
              <w:rPr>
                <w:rFonts w:cs="Frankruhel"/>
                <w:rtl/>
              </w:rPr>
              <w:t>1</w:t>
            </w:r>
            <w:r>
              <w:rPr>
                <w:rFonts w:cs="Frankruhel"/>
                <w:rtl/>
              </w:rPr>
              <w:fldChar w:fldCharType="end"/>
            </w:r>
          </w:p>
        </w:tc>
        <w:tc>
          <w:tcPr>
            <w:tcW w:w="567" w:type="dxa"/>
          </w:tcPr>
          <w:p w14:paraId="64C2D11B" w14:textId="77777777" w:rsidR="004912C7" w:rsidRDefault="004912C7">
            <w:pPr>
              <w:rPr>
                <w:rFonts w:cs="Frankruhel" w:hint="cs"/>
              </w:rPr>
            </w:pPr>
            <w:hyperlink w:anchor="Seif5" w:tooltip="הגבלה על קניית נכס בעד הקרן" w:history="1">
              <w:r>
                <w:rPr>
                  <w:rStyle w:val="Hyperlink"/>
                </w:rPr>
                <w:t>Go</w:t>
              </w:r>
            </w:hyperlink>
          </w:p>
        </w:tc>
        <w:tc>
          <w:tcPr>
            <w:tcW w:w="5669" w:type="dxa"/>
          </w:tcPr>
          <w:p w14:paraId="20DCF6C4" w14:textId="77777777" w:rsidR="004912C7" w:rsidRDefault="004912C7">
            <w:pPr>
              <w:rPr>
                <w:rFonts w:cs="Frankruhel"/>
                <w:rtl/>
              </w:rPr>
            </w:pPr>
            <w:r>
              <w:rPr>
                <w:rFonts w:cs="Frankruhel"/>
                <w:rtl/>
              </w:rPr>
              <w:t>הגבלה על קניית נכס בעד הקרן</w:t>
            </w:r>
          </w:p>
        </w:tc>
        <w:tc>
          <w:tcPr>
            <w:tcW w:w="1247" w:type="dxa"/>
          </w:tcPr>
          <w:p w14:paraId="57F37DA4" w14:textId="77777777" w:rsidR="004912C7" w:rsidRDefault="004912C7">
            <w:pPr>
              <w:rPr>
                <w:rFonts w:cs="Frankruhel" w:hint="cs"/>
              </w:rPr>
            </w:pPr>
            <w:r>
              <w:rPr>
                <w:rFonts w:cs="Frankruhel"/>
                <w:rtl/>
              </w:rPr>
              <w:t xml:space="preserve">סעיף 5 </w:t>
            </w:r>
          </w:p>
        </w:tc>
      </w:tr>
    </w:tbl>
    <w:p w14:paraId="1B900A94" w14:textId="77777777" w:rsidR="004912C7" w:rsidRDefault="004912C7">
      <w:pPr>
        <w:pStyle w:val="big-header"/>
        <w:ind w:left="0" w:right="1134"/>
        <w:rPr>
          <w:rFonts w:cs="FrankRuehl" w:hint="cs"/>
          <w:sz w:val="32"/>
          <w:rtl/>
        </w:rPr>
      </w:pPr>
    </w:p>
    <w:p w14:paraId="7FF29213" w14:textId="77777777" w:rsidR="004912C7" w:rsidRPr="00E0463B" w:rsidRDefault="004912C7" w:rsidP="00E0463B">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w14:anchorId="46C8F2F3">
          <v:shapetype id="_x0000_t202" coordsize="21600,21600" o:spt="202" path="m,l,21600r21600,l21600,xe">
            <v:stroke joinstyle="miter"/>
            <v:path gradientshapeok="t" o:connecttype="rect"/>
          </v:shapetype>
          <v:shape id="_x0000_s1340" type="#_x0000_t202" style="position:absolute;left:0;text-align:left;margin-left:470.35pt;margin-top:25.5pt;width:1in;height:9.5pt;z-index:251652608" filled="f" stroked="f">
            <v:textbox inset="1mm,0,1mm,0">
              <w:txbxContent>
                <w:p w14:paraId="24DDD2DC"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Fonts w:cs="FrankRuehl" w:hint="cs"/>
          <w:sz w:val="32"/>
          <w:rtl/>
        </w:rPr>
        <w:t>תקנות השקעות משותפות בנאמנות (עסקאות באשראי ופדיון יחידות באשראי), תשס"א-2001</w:t>
      </w:r>
      <w:r>
        <w:rPr>
          <w:rStyle w:val="default"/>
          <w:sz w:val="22"/>
          <w:szCs w:val="22"/>
          <w:rtl/>
        </w:rPr>
        <w:footnoteReference w:customMarkFollows="1" w:id="1"/>
        <w:t>*</w:t>
      </w:r>
    </w:p>
    <w:p w14:paraId="17DAD997"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0" w:name="Rov2"/>
      <w:r w:rsidRPr="001A6B1B">
        <w:rPr>
          <w:rStyle w:val="default"/>
          <w:rFonts w:cs="FrankRuehl" w:hint="cs"/>
          <w:vanish/>
          <w:color w:val="FF0000"/>
          <w:sz w:val="20"/>
          <w:szCs w:val="20"/>
          <w:shd w:val="clear" w:color="auto" w:fill="FFFF99"/>
          <w:rtl/>
        </w:rPr>
        <w:t>מיום 31.12.2007</w:t>
      </w:r>
    </w:p>
    <w:p w14:paraId="41DA44E8"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6D9243F5"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7"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147</w:t>
      </w:r>
    </w:p>
    <w:p w14:paraId="1F45F961" w14:textId="77777777" w:rsidR="004912C7" w:rsidRDefault="004912C7">
      <w:pPr>
        <w:pStyle w:val="P00"/>
        <w:ind w:left="0" w:right="1134"/>
        <w:rPr>
          <w:rStyle w:val="default"/>
          <w:rFonts w:cs="FrankRuehl" w:hint="cs"/>
          <w:sz w:val="2"/>
          <w:szCs w:val="2"/>
          <w:rtl/>
        </w:rPr>
      </w:pPr>
      <w:r w:rsidRPr="001A6B1B">
        <w:rPr>
          <w:rStyle w:val="default"/>
          <w:rFonts w:cs="FrankRuehl" w:hint="cs"/>
          <w:vanish/>
          <w:sz w:val="22"/>
          <w:szCs w:val="22"/>
          <w:shd w:val="clear" w:color="auto" w:fill="FFFF99"/>
          <w:rtl/>
        </w:rPr>
        <w:t xml:space="preserve">תקנות השקעות משותפות בנאמנות (עסקאות באשראי </w:t>
      </w:r>
      <w:r w:rsidRPr="001A6B1B">
        <w:rPr>
          <w:rStyle w:val="default"/>
          <w:rFonts w:cs="FrankRuehl" w:hint="cs"/>
          <w:strike/>
          <w:vanish/>
          <w:sz w:val="22"/>
          <w:szCs w:val="22"/>
          <w:shd w:val="clear" w:color="auto" w:fill="FFFF99"/>
          <w:rtl/>
        </w:rPr>
        <w:t>ושיעור מרבי להתחייבויות</w:t>
      </w:r>
      <w:r w:rsidRPr="001A6B1B">
        <w:rPr>
          <w:rStyle w:val="default"/>
          <w:rFonts w:cs="FrankRuehl" w:hint="cs"/>
          <w:vanish/>
          <w:sz w:val="22"/>
          <w:szCs w:val="22"/>
          <w:shd w:val="clear" w:color="auto" w:fill="FFFF99"/>
          <w:rtl/>
        </w:rPr>
        <w:t xml:space="preserve"> </w:t>
      </w:r>
      <w:r w:rsidRPr="001A6B1B">
        <w:rPr>
          <w:rStyle w:val="default"/>
          <w:rFonts w:cs="FrankRuehl" w:hint="cs"/>
          <w:vanish/>
          <w:sz w:val="22"/>
          <w:szCs w:val="22"/>
          <w:u w:val="single"/>
          <w:shd w:val="clear" w:color="auto" w:fill="FFFF99"/>
          <w:rtl/>
        </w:rPr>
        <w:t>ופדיון יחידות באשראי</w:t>
      </w:r>
      <w:r w:rsidRPr="001A6B1B">
        <w:rPr>
          <w:rStyle w:val="default"/>
          <w:rFonts w:cs="FrankRuehl" w:hint="cs"/>
          <w:vanish/>
          <w:sz w:val="22"/>
          <w:szCs w:val="22"/>
          <w:shd w:val="clear" w:color="auto" w:fill="FFFF99"/>
          <w:rtl/>
        </w:rPr>
        <w:t>), תשס"א-2001</w:t>
      </w:r>
      <w:bookmarkEnd w:id="0"/>
    </w:p>
    <w:p w14:paraId="5A7CBCF4" w14:textId="77777777" w:rsidR="004912C7" w:rsidRDefault="004912C7">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לפי סעיפים </w:t>
      </w:r>
      <w:r>
        <w:rPr>
          <w:rStyle w:val="default"/>
          <w:rFonts w:cs="FrankRuehl" w:hint="cs"/>
          <w:rtl/>
        </w:rPr>
        <w:t>65(א), (ב) ו-131(א) לחוק השקעות משותפות בנאמנות, התשנ"ד-1994, לפי הצעת הרשות ובאישור ועדת הכספים של הכנסת, אני מתקין תקנות אלה</w:t>
      </w:r>
      <w:r>
        <w:rPr>
          <w:rStyle w:val="default"/>
          <w:rFonts w:cs="FrankRuehl"/>
          <w:rtl/>
        </w:rPr>
        <w:t>:</w:t>
      </w:r>
    </w:p>
    <w:p w14:paraId="7E69B7C0" w14:textId="77777777" w:rsidR="004912C7" w:rsidRDefault="004912C7">
      <w:pPr>
        <w:pStyle w:val="P00"/>
        <w:spacing w:before="72"/>
        <w:ind w:left="0" w:right="1134"/>
        <w:rPr>
          <w:rStyle w:val="default"/>
          <w:rFonts w:cs="FrankRuehl" w:hint="cs"/>
          <w:rtl/>
        </w:rPr>
      </w:pPr>
      <w:bookmarkStart w:id="1" w:name="Seif0"/>
      <w:bookmarkEnd w:id="1"/>
      <w:r>
        <w:rPr>
          <w:rFonts w:cs="Miriam"/>
          <w:lang w:val="he-IL"/>
        </w:rPr>
        <w:pict w14:anchorId="261D280D">
          <v:rect id="_x0000_s1026" style="position:absolute;left:0;text-align:left;margin-left:464.35pt;margin-top:7.1pt;width:75.05pt;height:16.95pt;z-index:251648512" o:allowincell="f" filled="f" stroked="f" strokecolor="lime" strokeweight=".25pt">
            <v:textbox style="mso-next-textbox:#_x0000_s1026" inset="0,0,0,0">
              <w:txbxContent>
                <w:p w14:paraId="2A3739F7" w14:textId="77777777" w:rsidR="004912C7" w:rsidRDefault="004912C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38BB3C28" w14:textId="77777777" w:rsidR="004912C7" w:rsidRDefault="004912C7">
      <w:pPr>
        <w:pStyle w:val="P00"/>
        <w:spacing w:before="72"/>
        <w:ind w:left="0" w:right="1134"/>
        <w:rPr>
          <w:rStyle w:val="default"/>
          <w:rFonts w:cs="FrankRuehl" w:hint="cs"/>
          <w:rtl/>
        </w:rPr>
      </w:pPr>
      <w:r>
        <w:rPr>
          <w:rFonts w:cs="FrankRuehl"/>
          <w:rtl/>
          <w:lang w:val="he-IL"/>
        </w:rPr>
        <w:pict w14:anchorId="4796310C">
          <v:shape id="_x0000_s1341" type="#_x0000_t202" style="position:absolute;left:0;text-align:left;margin-left:470.35pt;margin-top:7.1pt;width:1in;height:9pt;z-index:251653632" filled="f" stroked="f">
            <v:textbox inset="1mm,0,1mm,0">
              <w:txbxContent>
                <w:p w14:paraId="53314BB6"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 xml:space="preserve">"יום מסחר" </w:t>
      </w:r>
      <w:r>
        <w:rPr>
          <w:rStyle w:val="default"/>
          <w:rFonts w:cs="FrankRuehl"/>
          <w:rtl/>
        </w:rPr>
        <w:t>– כהגדרתו בתקנות השקעות משותפות בנאמנות (מחירי קניה ומכירה של נכסי קרן ושווי נכסי קרן), התשנ"ה</w:t>
      </w:r>
      <w:r>
        <w:rPr>
          <w:rStyle w:val="default"/>
          <w:rFonts w:cs="FrankRuehl" w:hint="cs"/>
          <w:rtl/>
        </w:rPr>
        <w:t>-1994</w:t>
      </w:r>
      <w:r>
        <w:rPr>
          <w:rStyle w:val="default"/>
          <w:rFonts w:cs="FrankRuehl"/>
          <w:rtl/>
        </w:rPr>
        <w:t>;</w:t>
      </w:r>
    </w:p>
    <w:p w14:paraId="01FFAAAB"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2" w:name="Rov3"/>
      <w:r w:rsidRPr="001A6B1B">
        <w:rPr>
          <w:rStyle w:val="default"/>
          <w:rFonts w:cs="FrankRuehl" w:hint="cs"/>
          <w:vanish/>
          <w:color w:val="FF0000"/>
          <w:sz w:val="20"/>
          <w:szCs w:val="20"/>
          <w:shd w:val="clear" w:color="auto" w:fill="FFFF99"/>
          <w:rtl/>
        </w:rPr>
        <w:t>מיום 31.12.2007</w:t>
      </w:r>
    </w:p>
    <w:p w14:paraId="48431752"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50E27D48"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8"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147</w:t>
      </w:r>
    </w:p>
    <w:p w14:paraId="1BED117E"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הגדרת "יום מסחר"</w:t>
      </w:r>
    </w:p>
    <w:p w14:paraId="70C4DC8C"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4B4DD587" w14:textId="77777777" w:rsidR="004912C7" w:rsidRPr="001A6B1B" w:rsidRDefault="004912C7">
      <w:pPr>
        <w:pStyle w:val="P00"/>
        <w:spacing w:before="0"/>
        <w:ind w:left="0" w:right="1134"/>
        <w:rPr>
          <w:rStyle w:val="default"/>
          <w:rFonts w:cs="FrankRuehl" w:hint="cs"/>
          <w:strike/>
          <w:vanish/>
          <w:sz w:val="22"/>
          <w:szCs w:val="22"/>
          <w:shd w:val="clear" w:color="auto" w:fill="FFFF99"/>
          <w:rtl/>
        </w:rPr>
      </w:pPr>
      <w:r w:rsidRPr="001A6B1B">
        <w:rPr>
          <w:rStyle w:val="default"/>
          <w:rFonts w:cs="FrankRuehl" w:hint="cs"/>
          <w:vanish/>
          <w:sz w:val="22"/>
          <w:szCs w:val="22"/>
          <w:shd w:val="clear" w:color="auto" w:fill="FFFF99"/>
          <w:rtl/>
        </w:rPr>
        <w:tab/>
      </w:r>
      <w:r w:rsidRPr="001A6B1B">
        <w:rPr>
          <w:rStyle w:val="default"/>
          <w:rFonts w:cs="FrankRuehl" w:hint="cs"/>
          <w:strike/>
          <w:vanish/>
          <w:sz w:val="22"/>
          <w:szCs w:val="22"/>
          <w:shd w:val="clear" w:color="auto" w:fill="FFFF99"/>
          <w:rtl/>
        </w:rPr>
        <w:t xml:space="preserve">"יום מסחר" </w:t>
      </w:r>
      <w:r w:rsidRPr="001A6B1B">
        <w:rPr>
          <w:rStyle w:val="default"/>
          <w:rFonts w:cs="FrankRuehl"/>
          <w:strike/>
          <w:vanish/>
          <w:sz w:val="22"/>
          <w:szCs w:val="22"/>
          <w:shd w:val="clear" w:color="auto" w:fill="FFFF99"/>
          <w:rtl/>
        </w:rPr>
        <w:t>–</w:t>
      </w:r>
    </w:p>
    <w:p w14:paraId="040580D3" w14:textId="77777777" w:rsidR="004912C7" w:rsidRPr="001A6B1B" w:rsidRDefault="004912C7">
      <w:pPr>
        <w:pStyle w:val="P00"/>
        <w:spacing w:before="0"/>
        <w:ind w:left="1021" w:right="1134"/>
        <w:rPr>
          <w:rStyle w:val="default"/>
          <w:rFonts w:cs="FrankRuehl" w:hint="cs"/>
          <w:strike/>
          <w:vanish/>
          <w:sz w:val="22"/>
          <w:szCs w:val="22"/>
          <w:shd w:val="clear" w:color="auto" w:fill="FFFF99"/>
          <w:rtl/>
        </w:rPr>
      </w:pPr>
      <w:r w:rsidRPr="001A6B1B">
        <w:rPr>
          <w:rStyle w:val="default"/>
          <w:rFonts w:cs="FrankRuehl" w:hint="cs"/>
          <w:strike/>
          <w:vanish/>
          <w:sz w:val="22"/>
          <w:szCs w:val="22"/>
          <w:shd w:val="clear" w:color="auto" w:fill="FFFF99"/>
          <w:rtl/>
        </w:rPr>
        <w:t>(1)</w:t>
      </w:r>
      <w:r w:rsidRPr="001A6B1B">
        <w:rPr>
          <w:rStyle w:val="default"/>
          <w:rFonts w:cs="FrankRuehl" w:hint="cs"/>
          <w:strike/>
          <w:vanish/>
          <w:sz w:val="22"/>
          <w:szCs w:val="22"/>
          <w:shd w:val="clear" w:color="auto" w:fill="FFFF99"/>
          <w:rtl/>
        </w:rPr>
        <w:tab/>
        <w:t xml:space="preserve">לגבי קרן שעל פי מדיניות ההשקעות שלה לא יעלה שווי ניירות ערך חוץ המוחזקים בה, ובכללם אופציות הנסחרות מחוץ לישראל (להלן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ניירות ערך חוץ), על עשרה אחוזים מהשווי הנקי של נכסיה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יום שבו מתקיים מסחר בבורסה בישראל;</w:t>
      </w:r>
    </w:p>
    <w:p w14:paraId="622BDDE4" w14:textId="77777777" w:rsidR="004912C7" w:rsidRDefault="004912C7">
      <w:pPr>
        <w:pStyle w:val="P00"/>
        <w:spacing w:before="0"/>
        <w:ind w:left="1021" w:right="1134"/>
        <w:rPr>
          <w:rStyle w:val="default"/>
          <w:rFonts w:cs="FrankRuehl" w:hint="cs"/>
          <w:sz w:val="2"/>
          <w:szCs w:val="2"/>
          <w:rtl/>
        </w:rPr>
      </w:pPr>
      <w:r w:rsidRPr="001A6B1B">
        <w:rPr>
          <w:rStyle w:val="default"/>
          <w:rFonts w:cs="FrankRuehl" w:hint="cs"/>
          <w:strike/>
          <w:vanish/>
          <w:sz w:val="22"/>
          <w:szCs w:val="22"/>
          <w:shd w:val="clear" w:color="auto" w:fill="FFFF99"/>
          <w:rtl/>
        </w:rPr>
        <w:t>(2)</w:t>
      </w:r>
      <w:r w:rsidRPr="001A6B1B">
        <w:rPr>
          <w:rStyle w:val="default"/>
          <w:rFonts w:cs="FrankRuehl" w:hint="cs"/>
          <w:strike/>
          <w:vanish/>
          <w:sz w:val="22"/>
          <w:szCs w:val="22"/>
          <w:shd w:val="clear" w:color="auto" w:fill="FFFF99"/>
          <w:rtl/>
        </w:rPr>
        <w:tab/>
        <w:t xml:space="preserve">לגבי קרן אחרת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כל אחד מהימים שני עד חמישי שמתקיים בו מסחר בבורסה בישראל ובבורסות ובשווקים מוסדרים מחוץ לישראל שניירות ערך חוץ המוחזקים בקרן נרכשו בהם, לרבות יום מהימים האמורים שבו לא התקיים מסחר בבורסה מחוץ לישראל או בשוק מוסדר מחוץ לישראל, אם שווי ניירות ערך חוץ שנרכשו בהם והמוחזקים בקרן, אינו עולה על עשרה אחוזים מהשווי הנקי של נכסי הקרן;</w:t>
      </w:r>
      <w:bookmarkEnd w:id="2"/>
    </w:p>
    <w:p w14:paraId="47EC595B" w14:textId="77777777" w:rsidR="004912C7" w:rsidRDefault="004912C7">
      <w:pPr>
        <w:pStyle w:val="P00"/>
        <w:spacing w:before="72"/>
        <w:ind w:left="0" w:right="1134"/>
        <w:rPr>
          <w:rStyle w:val="default"/>
          <w:rFonts w:cs="FrankRuehl" w:hint="cs"/>
          <w:rtl/>
        </w:rPr>
      </w:pPr>
      <w:r>
        <w:rPr>
          <w:rStyle w:val="default"/>
          <w:rFonts w:cs="FrankRuehl" w:hint="cs"/>
          <w:rtl/>
        </w:rPr>
        <w:tab/>
        <w:t xml:space="preserve">"מועד פדיון" </w:t>
      </w:r>
      <w:r>
        <w:rPr>
          <w:rStyle w:val="default"/>
          <w:rFonts w:cs="FrankRuehl"/>
          <w:rtl/>
        </w:rPr>
        <w:t>–</w:t>
      </w:r>
      <w:r>
        <w:rPr>
          <w:rStyle w:val="default"/>
          <w:rFonts w:cs="FrankRuehl" w:hint="cs"/>
          <w:rtl/>
        </w:rPr>
        <w:t xml:space="preserve"> המועד שנקבע בתנאי הוצאתו של נייר ערך כמועד פדיון או המועד שנקבע בתנאי הוצאתה של אופציה כמועד מימוש;</w:t>
      </w:r>
    </w:p>
    <w:p w14:paraId="512CD69E" w14:textId="77777777" w:rsidR="004912C7" w:rsidRDefault="004912C7">
      <w:pPr>
        <w:pStyle w:val="P00"/>
        <w:spacing w:before="72"/>
        <w:ind w:left="0" w:right="1134"/>
        <w:rPr>
          <w:rStyle w:val="default"/>
          <w:rFonts w:cs="FrankRuehl" w:hint="cs"/>
          <w:rtl/>
        </w:rPr>
      </w:pPr>
      <w:r>
        <w:rPr>
          <w:rStyle w:val="default"/>
          <w:rFonts w:cs="FrankRuehl" w:hint="cs"/>
          <w:rtl/>
        </w:rPr>
        <w:tab/>
        <w:t xml:space="preserve">"מועד קניה", "מועד מכירה" </w:t>
      </w:r>
      <w:r>
        <w:rPr>
          <w:rStyle w:val="default"/>
          <w:rFonts w:cs="FrankRuehl"/>
          <w:rtl/>
        </w:rPr>
        <w:t>–</w:t>
      </w:r>
      <w:r>
        <w:rPr>
          <w:rStyle w:val="default"/>
          <w:rFonts w:cs="FrankRuehl" w:hint="cs"/>
          <w:rtl/>
        </w:rPr>
        <w:t xml:space="preserve"> המועד שבו קיבל מנהל קרן הודעה על ביצוע הוראתו לקניית נכס בעד הקרן או למכירת נכס מנכסיה מהאדם שביצע את ההוראה כאמור;</w:t>
      </w:r>
    </w:p>
    <w:p w14:paraId="40324E14" w14:textId="77777777" w:rsidR="004912C7" w:rsidRDefault="004912C7">
      <w:pPr>
        <w:pStyle w:val="P00"/>
        <w:spacing w:before="72"/>
        <w:ind w:left="0" w:right="1134"/>
        <w:rPr>
          <w:rStyle w:val="default"/>
          <w:rFonts w:cs="FrankRuehl" w:hint="cs"/>
          <w:rtl/>
        </w:rPr>
      </w:pPr>
      <w:r>
        <w:rPr>
          <w:rFonts w:cs="FrankRuehl"/>
          <w:rtl/>
          <w:lang w:val="he-IL"/>
        </w:rPr>
        <w:pict w14:anchorId="67E46748">
          <v:shape id="_x0000_s1342" type="#_x0000_t202" style="position:absolute;left:0;text-align:left;margin-left:470.35pt;margin-top:7.1pt;width:1in;height:9pt;z-index:251654656" filled="f" stroked="f">
            <v:textbox inset="1mm,0,1mm,0">
              <w:txbxContent>
                <w:p w14:paraId="1B06D0EF"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 xml:space="preserve">"מכירה באשראי" </w:t>
      </w:r>
      <w:r>
        <w:rPr>
          <w:rStyle w:val="default"/>
          <w:rFonts w:cs="FrankRuehl"/>
          <w:rtl/>
        </w:rPr>
        <w:t>–</w:t>
      </w:r>
      <w:r>
        <w:rPr>
          <w:rStyle w:val="default"/>
          <w:rFonts w:cs="FrankRuehl" w:hint="cs"/>
          <w:rtl/>
        </w:rPr>
        <w:t xml:space="preserve"> </w:t>
      </w:r>
      <w:r>
        <w:rPr>
          <w:rStyle w:val="default"/>
          <w:rFonts w:cs="FrankRuehl"/>
          <w:rtl/>
        </w:rPr>
        <w:t>מכירה או פדיון של נכס שתמורתם מתקבלת במועד מאוחר ממועד המכירה או הפדיון;</w:t>
      </w:r>
    </w:p>
    <w:p w14:paraId="64EA3792"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3" w:name="Rov4"/>
      <w:r w:rsidRPr="001A6B1B">
        <w:rPr>
          <w:rStyle w:val="default"/>
          <w:rFonts w:cs="FrankRuehl" w:hint="cs"/>
          <w:vanish/>
          <w:color w:val="FF0000"/>
          <w:sz w:val="20"/>
          <w:szCs w:val="20"/>
          <w:shd w:val="clear" w:color="auto" w:fill="FFFF99"/>
          <w:rtl/>
        </w:rPr>
        <w:t>מיום 31.12.2007</w:t>
      </w:r>
    </w:p>
    <w:p w14:paraId="0862C1DF"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4FB435B8"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9"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147</w:t>
      </w:r>
    </w:p>
    <w:p w14:paraId="4F7DA60A"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הגדרת "מכירה באשראי"</w:t>
      </w:r>
    </w:p>
    <w:p w14:paraId="2257B170"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193EED6E" w14:textId="77777777" w:rsidR="004912C7" w:rsidRDefault="004912C7">
      <w:pPr>
        <w:pStyle w:val="P00"/>
        <w:spacing w:before="0"/>
        <w:ind w:left="0" w:right="1134"/>
        <w:rPr>
          <w:rStyle w:val="default"/>
          <w:rFonts w:cs="FrankRuehl" w:hint="cs"/>
          <w:strike/>
          <w:sz w:val="2"/>
          <w:szCs w:val="2"/>
          <w:rtl/>
        </w:rPr>
      </w:pPr>
      <w:r w:rsidRPr="001A6B1B">
        <w:rPr>
          <w:rStyle w:val="default"/>
          <w:rFonts w:cs="FrankRuehl" w:hint="cs"/>
          <w:vanish/>
          <w:sz w:val="22"/>
          <w:szCs w:val="22"/>
          <w:shd w:val="clear" w:color="auto" w:fill="FFFF99"/>
          <w:rtl/>
        </w:rPr>
        <w:tab/>
      </w:r>
      <w:r w:rsidRPr="001A6B1B">
        <w:rPr>
          <w:rStyle w:val="default"/>
          <w:rFonts w:cs="FrankRuehl" w:hint="cs"/>
          <w:strike/>
          <w:vanish/>
          <w:sz w:val="22"/>
          <w:szCs w:val="22"/>
          <w:shd w:val="clear" w:color="auto" w:fill="FFFF99"/>
          <w:rtl/>
        </w:rPr>
        <w:t xml:space="preserve">"מכירה באשראי"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מכירה, פדיון או מימוש של נכס מנכסי הקרן שתמורתם מתקבלת בקרן במועד מאוחר ממועד המכירה, מועד הפדיון או מועד המימוש;</w:t>
      </w:r>
      <w:bookmarkEnd w:id="3"/>
    </w:p>
    <w:p w14:paraId="1E276357" w14:textId="77777777" w:rsidR="004912C7" w:rsidRDefault="004912C7">
      <w:pPr>
        <w:pStyle w:val="P00"/>
        <w:spacing w:before="72"/>
        <w:ind w:left="0" w:right="1134"/>
        <w:rPr>
          <w:rStyle w:val="default"/>
          <w:rFonts w:cs="FrankRuehl" w:hint="cs"/>
          <w:rtl/>
        </w:rPr>
      </w:pPr>
      <w:r>
        <w:rPr>
          <w:rFonts w:cs="FrankRuehl"/>
          <w:rtl/>
          <w:lang w:val="he-IL"/>
        </w:rPr>
        <w:pict w14:anchorId="405B31C3">
          <v:shape id="_x0000_s1343" type="#_x0000_t202" style="position:absolute;left:0;text-align:left;margin-left:470.35pt;margin-top:7.1pt;width:1in;height:9pt;z-index:251655680" filled="f" stroked="f">
            <v:textbox inset="1mm,0,1mm,0">
              <w:txbxContent>
                <w:p w14:paraId="20D78D06"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מנוף אשראי של קרן" – סכום החוב בשל קנייה באשראי בעד הקרן, בתוספת</w:t>
      </w:r>
      <w:r>
        <w:rPr>
          <w:rStyle w:val="default"/>
          <w:rFonts w:cs="FrankRuehl" w:hint="cs"/>
          <w:rtl/>
        </w:rPr>
        <w:t xml:space="preserve"> </w:t>
      </w:r>
      <w:r>
        <w:rPr>
          <w:rStyle w:val="default"/>
          <w:rFonts w:cs="FrankRuehl"/>
          <w:rtl/>
        </w:rPr>
        <w:t>סכום האשראי בשל פדיון יחידות ובתוספת מנוף הפעילות בנגזרים, בניכוי</w:t>
      </w:r>
      <w:r>
        <w:rPr>
          <w:rStyle w:val="default"/>
          <w:rFonts w:cs="FrankRuehl" w:hint="cs"/>
          <w:rtl/>
        </w:rPr>
        <w:t xml:space="preserve"> </w:t>
      </w:r>
      <w:r>
        <w:rPr>
          <w:rStyle w:val="default"/>
          <w:rFonts w:cs="FrankRuehl"/>
          <w:rtl/>
        </w:rPr>
        <w:t>סך כל התמורות ממכירה באשראי הצפויות להתקבל בחשבון הקרן, ובניכוי</w:t>
      </w:r>
      <w:r>
        <w:rPr>
          <w:rStyle w:val="default"/>
          <w:rFonts w:cs="FrankRuehl" w:hint="cs"/>
          <w:rtl/>
        </w:rPr>
        <w:t xml:space="preserve"> </w:t>
      </w:r>
      <w:r>
        <w:rPr>
          <w:rStyle w:val="default"/>
          <w:rFonts w:cs="FrankRuehl"/>
          <w:rtl/>
        </w:rPr>
        <w:t>סכומי המזומנים והפקדונות שבנכסי הקרן; לעניין זה, "סכומי המזומנים</w:t>
      </w:r>
      <w:r>
        <w:rPr>
          <w:rStyle w:val="default"/>
          <w:rFonts w:cs="FrankRuehl" w:hint="cs"/>
          <w:rtl/>
        </w:rPr>
        <w:t xml:space="preserve"> </w:t>
      </w:r>
      <w:r>
        <w:rPr>
          <w:rStyle w:val="default"/>
          <w:rFonts w:cs="FrankRuehl"/>
          <w:rtl/>
        </w:rPr>
        <w:t>והפקדונות" – למעט כספי התמורה שצפויה להתקבל מעודף היצירות</w:t>
      </w:r>
      <w:r>
        <w:rPr>
          <w:rStyle w:val="default"/>
          <w:rFonts w:cs="FrankRuehl" w:hint="cs"/>
          <w:rtl/>
        </w:rPr>
        <w:t xml:space="preserve"> </w:t>
      </w:r>
      <w:r>
        <w:rPr>
          <w:rStyle w:val="default"/>
          <w:rFonts w:cs="FrankRuehl"/>
          <w:rtl/>
        </w:rPr>
        <w:t>בקרן באותו יום ולמעט פקדונות לזמן קצוב (כהגדרתם בתקנות השקעות משותפות בנאמנות (נכסים שמותר לקנות ולהחזיק בקרן ושיעוריהם</w:t>
      </w:r>
      <w:r>
        <w:rPr>
          <w:rStyle w:val="default"/>
          <w:rFonts w:cs="FrankRuehl" w:hint="cs"/>
          <w:rtl/>
        </w:rPr>
        <w:t xml:space="preserve"> </w:t>
      </w:r>
      <w:r>
        <w:rPr>
          <w:rStyle w:val="default"/>
          <w:rFonts w:cs="FrankRuehl"/>
          <w:rtl/>
        </w:rPr>
        <w:t>המרביים), התשנ"ה</w:t>
      </w:r>
      <w:r>
        <w:rPr>
          <w:rStyle w:val="default"/>
          <w:rFonts w:cs="FrankRuehl" w:hint="cs"/>
          <w:rtl/>
        </w:rPr>
        <w:t>-1994</w:t>
      </w:r>
      <w:r>
        <w:rPr>
          <w:rStyle w:val="default"/>
          <w:rFonts w:cs="FrankRuehl"/>
          <w:rtl/>
        </w:rPr>
        <w:t>); לעניין זה, "תמורות ממכירה באשראי" – למעט התמורה ממכירת נכס במסגרת עסקת מכר חוזר;</w:t>
      </w:r>
    </w:p>
    <w:p w14:paraId="681AB3EE"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4" w:name="Rov5"/>
      <w:r w:rsidRPr="001A6B1B">
        <w:rPr>
          <w:rStyle w:val="default"/>
          <w:rFonts w:cs="FrankRuehl" w:hint="cs"/>
          <w:vanish/>
          <w:color w:val="FF0000"/>
          <w:sz w:val="20"/>
          <w:szCs w:val="20"/>
          <w:shd w:val="clear" w:color="auto" w:fill="FFFF99"/>
          <w:rtl/>
        </w:rPr>
        <w:t>מיום 31.12.2007</w:t>
      </w:r>
    </w:p>
    <w:p w14:paraId="63759B8F"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31DD9E95"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0"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147</w:t>
      </w:r>
    </w:p>
    <w:p w14:paraId="1E19879B"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"מנוף אשראי של קרן"</w:t>
      </w:r>
      <w:bookmarkEnd w:id="4"/>
    </w:p>
    <w:p w14:paraId="5474181A" w14:textId="77777777" w:rsidR="004912C7" w:rsidRDefault="004912C7">
      <w:pPr>
        <w:pStyle w:val="P00"/>
        <w:spacing w:before="72"/>
        <w:ind w:left="0" w:right="1134"/>
        <w:rPr>
          <w:rStyle w:val="default"/>
          <w:rFonts w:cs="FrankRuehl" w:hint="cs"/>
          <w:rtl/>
        </w:rPr>
      </w:pPr>
      <w:r>
        <w:rPr>
          <w:rFonts w:cs="FrankRuehl"/>
          <w:rtl/>
          <w:lang w:val="he-IL"/>
        </w:rPr>
        <w:pict w14:anchorId="0590E24E">
          <v:shape id="_x0000_s1344" type="#_x0000_t202" style="position:absolute;left:0;text-align:left;margin-left:470.35pt;margin-top:7.1pt;width:1in;height:17.5pt;z-index:251656704" filled="f" stroked="f">
            <v:textbox inset="1mm,0,1mm,0">
              <w:txbxContent>
                <w:p w14:paraId="1625A60C" w14:textId="77777777" w:rsidR="004912C7" w:rsidRDefault="004912C7">
                  <w:pPr>
                    <w:spacing w:line="160" w:lineRule="exact"/>
                    <w:rPr>
                      <w:rFonts w:cs="Miriam"/>
                      <w:sz w:val="18"/>
                      <w:szCs w:val="18"/>
                      <w:rtl/>
                    </w:rPr>
                  </w:pPr>
                  <w:r>
                    <w:rPr>
                      <w:rFonts w:cs="Miriam" w:hint="cs"/>
                      <w:sz w:val="18"/>
                      <w:szCs w:val="18"/>
                      <w:rtl/>
                    </w:rPr>
                    <w:t>תק' תשס"ח-2007</w:t>
                  </w:r>
                </w:p>
                <w:p w14:paraId="3D5FD57A" w14:textId="77777777" w:rsidR="00292352" w:rsidRDefault="00292352">
                  <w:pPr>
                    <w:spacing w:line="160" w:lineRule="exact"/>
                    <w:rPr>
                      <w:rFonts w:cs="Miriam" w:hint="cs"/>
                      <w:noProof/>
                      <w:sz w:val="18"/>
                      <w:szCs w:val="18"/>
                      <w:rtl/>
                    </w:rPr>
                  </w:pPr>
                  <w:r>
                    <w:rPr>
                      <w:rFonts w:cs="Miriam" w:hint="cs"/>
                      <w:noProof/>
                      <w:sz w:val="18"/>
                      <w:szCs w:val="18"/>
                      <w:rtl/>
                    </w:rPr>
                    <w:t>תק' תשע"ח-2018</w:t>
                  </w:r>
                </w:p>
              </w:txbxContent>
            </v:textbox>
          </v:shape>
        </w:pict>
      </w:r>
      <w:r>
        <w:rPr>
          <w:rStyle w:val="default"/>
          <w:rFonts w:cs="FrankRuehl" w:hint="cs"/>
          <w:rtl/>
        </w:rPr>
        <w:tab/>
        <w:t>"</w:t>
      </w:r>
      <w:r>
        <w:rPr>
          <w:rStyle w:val="default"/>
          <w:rFonts w:cs="FrankRuehl"/>
          <w:rtl/>
        </w:rPr>
        <w:t>מנוף פעילות בנגזרים" – סך כל הבטוחות הנדרשות בשל פעילות בנגזרים</w:t>
      </w:r>
      <w:r w:rsidR="001A6B1B" w:rsidRPr="001A6B1B">
        <w:rPr>
          <w:rStyle w:val="default"/>
          <w:rFonts w:cs="FrankRuehl" w:hint="cs"/>
          <w:rtl/>
        </w:rPr>
        <w:t xml:space="preserve"> ולמעט בשל מכירה בחסר בעד קרן מחקה בחסר</w:t>
      </w:r>
      <w:r>
        <w:rPr>
          <w:rStyle w:val="default"/>
          <w:rFonts w:cs="FrankRuehl"/>
          <w:rtl/>
        </w:rPr>
        <w:t>; לעניין</w:t>
      </w:r>
      <w:r>
        <w:rPr>
          <w:rStyle w:val="default"/>
          <w:rFonts w:cs="FrankRuehl" w:hint="cs"/>
          <w:rtl/>
        </w:rPr>
        <w:t xml:space="preserve"> </w:t>
      </w:r>
      <w:r>
        <w:rPr>
          <w:rStyle w:val="default"/>
          <w:rFonts w:cs="FrankRuehl"/>
          <w:rtl/>
        </w:rPr>
        <w:t>זה, "בטוחות נדרשות" – כהגדרתן בתקנות השקעות משותפות בנאמנות (אופציות, חוזים עתידיים ומכירות בחסר), התשס"א</w:t>
      </w:r>
      <w:r>
        <w:rPr>
          <w:rStyle w:val="default"/>
          <w:rFonts w:cs="FrankRuehl" w:hint="cs"/>
          <w:rtl/>
        </w:rPr>
        <w:t>-2001</w:t>
      </w:r>
      <w:r>
        <w:rPr>
          <w:rStyle w:val="default"/>
          <w:rFonts w:cs="FrankRuehl"/>
          <w:rtl/>
        </w:rPr>
        <w:t xml:space="preserve"> (להלן – תקנות האופציות);</w:t>
      </w:r>
    </w:p>
    <w:p w14:paraId="04CD92A3"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5" w:name="Rov23"/>
      <w:r w:rsidRPr="001A6B1B">
        <w:rPr>
          <w:rStyle w:val="default"/>
          <w:rFonts w:cs="FrankRuehl" w:hint="cs"/>
          <w:vanish/>
          <w:color w:val="FF0000"/>
          <w:sz w:val="20"/>
          <w:szCs w:val="20"/>
          <w:shd w:val="clear" w:color="auto" w:fill="FFFF99"/>
          <w:rtl/>
        </w:rPr>
        <w:t>מיום 31.12.2007</w:t>
      </w:r>
    </w:p>
    <w:p w14:paraId="5D7F2DFC"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73141448"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1"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645AF209" w14:textId="77777777" w:rsidR="004912C7" w:rsidRPr="001A6B1B" w:rsidRDefault="004912C7">
      <w:pPr>
        <w:pStyle w:val="P00"/>
        <w:spacing w:before="0"/>
        <w:ind w:left="0" w:right="1134"/>
        <w:rPr>
          <w:rStyle w:val="default"/>
          <w:rFonts w:cs="FrankRuehl"/>
          <w:vanish/>
          <w:sz w:val="20"/>
          <w:szCs w:val="20"/>
          <w:shd w:val="clear" w:color="auto" w:fill="FFFF99"/>
          <w:rtl/>
        </w:rPr>
      </w:pPr>
      <w:r w:rsidRPr="001A6B1B">
        <w:rPr>
          <w:rStyle w:val="default"/>
          <w:rFonts w:cs="FrankRuehl" w:hint="cs"/>
          <w:b/>
          <w:bCs/>
          <w:vanish/>
          <w:sz w:val="20"/>
          <w:szCs w:val="20"/>
          <w:shd w:val="clear" w:color="auto" w:fill="FFFF99"/>
          <w:rtl/>
        </w:rPr>
        <w:t>הוספת הגדרת "מנוף פעילות בנגזרים"</w:t>
      </w:r>
    </w:p>
    <w:p w14:paraId="1004220F" w14:textId="77777777" w:rsidR="00292352" w:rsidRPr="001A6B1B" w:rsidRDefault="00292352">
      <w:pPr>
        <w:pStyle w:val="P00"/>
        <w:spacing w:before="0"/>
        <w:ind w:left="0" w:right="1134"/>
        <w:rPr>
          <w:rStyle w:val="default"/>
          <w:rFonts w:cs="FrankRuehl"/>
          <w:vanish/>
          <w:sz w:val="20"/>
          <w:szCs w:val="20"/>
          <w:shd w:val="clear" w:color="auto" w:fill="FFFF99"/>
          <w:rtl/>
        </w:rPr>
      </w:pPr>
    </w:p>
    <w:p w14:paraId="099B4450" w14:textId="77777777" w:rsidR="00292352" w:rsidRPr="001A6B1B" w:rsidRDefault="00292352" w:rsidP="00292352">
      <w:pPr>
        <w:pStyle w:val="P00"/>
        <w:spacing w:before="0"/>
        <w:ind w:left="0" w:right="1134"/>
        <w:rPr>
          <w:rStyle w:val="default"/>
          <w:rFonts w:cs="FrankRuehl"/>
          <w:vanish/>
          <w:color w:val="FF0000"/>
          <w:szCs w:val="20"/>
          <w:shd w:val="clear" w:color="auto" w:fill="FFFF99"/>
        </w:rPr>
      </w:pPr>
      <w:r w:rsidRPr="001A6B1B">
        <w:rPr>
          <w:rStyle w:val="default"/>
          <w:rFonts w:cs="FrankRuehl"/>
          <w:vanish/>
          <w:color w:val="FF0000"/>
          <w:szCs w:val="20"/>
          <w:shd w:val="clear" w:color="auto" w:fill="FFFF99"/>
          <w:rtl/>
        </w:rPr>
        <w:t>מיום 3.10.2018</w:t>
      </w:r>
    </w:p>
    <w:p w14:paraId="249860A5" w14:textId="77777777" w:rsidR="00292352" w:rsidRPr="001A6B1B" w:rsidRDefault="00292352" w:rsidP="00292352">
      <w:pPr>
        <w:pStyle w:val="P00"/>
        <w:spacing w:before="0"/>
        <w:ind w:left="0" w:right="1134"/>
        <w:rPr>
          <w:rStyle w:val="default"/>
          <w:rFonts w:cs="FrankRuehl"/>
          <w:vanish/>
          <w:szCs w:val="20"/>
          <w:shd w:val="clear" w:color="auto" w:fill="FFFF99"/>
          <w:rtl/>
        </w:rPr>
      </w:pPr>
      <w:r w:rsidRPr="001A6B1B">
        <w:rPr>
          <w:rStyle w:val="default"/>
          <w:rFonts w:cs="FrankRuehl"/>
          <w:b/>
          <w:bCs/>
          <w:vanish/>
          <w:szCs w:val="20"/>
          <w:shd w:val="clear" w:color="auto" w:fill="FFFF99"/>
          <w:rtl/>
        </w:rPr>
        <w:t>תק' תשע"ח-2018</w:t>
      </w:r>
    </w:p>
    <w:p w14:paraId="04C05A89" w14:textId="77777777" w:rsidR="00292352" w:rsidRPr="001A6B1B" w:rsidRDefault="00292352" w:rsidP="00292352">
      <w:pPr>
        <w:pStyle w:val="P00"/>
        <w:spacing w:before="0"/>
        <w:ind w:left="0" w:right="1134"/>
        <w:rPr>
          <w:rStyle w:val="default"/>
          <w:rFonts w:cs="FrankRuehl"/>
          <w:vanish/>
          <w:szCs w:val="20"/>
          <w:shd w:val="clear" w:color="auto" w:fill="FFFF99"/>
          <w:rtl/>
        </w:rPr>
      </w:pPr>
      <w:hyperlink r:id="rId12" w:history="1">
        <w:r w:rsidRPr="001A6B1B">
          <w:rPr>
            <w:rStyle w:val="Hyperlink"/>
            <w:rFonts w:cs="FrankRuehl"/>
            <w:vanish/>
            <w:szCs w:val="20"/>
            <w:shd w:val="clear" w:color="auto" w:fill="FFFF99"/>
            <w:rtl/>
          </w:rPr>
          <w:t>ק"ת תשע"ח מס' 8038</w:t>
        </w:r>
      </w:hyperlink>
      <w:r w:rsidRPr="001A6B1B">
        <w:rPr>
          <w:rStyle w:val="default"/>
          <w:rFonts w:cs="FrankRuehl"/>
          <w:vanish/>
          <w:szCs w:val="20"/>
          <w:shd w:val="clear" w:color="auto" w:fill="FFFF99"/>
          <w:rtl/>
        </w:rPr>
        <w:t xml:space="preserve"> מיום 12.7.2018 עמ' 2411</w:t>
      </w:r>
    </w:p>
    <w:p w14:paraId="625DDCE9" w14:textId="77777777" w:rsidR="00292352" w:rsidRPr="00292352" w:rsidRDefault="00292352" w:rsidP="00292352">
      <w:pPr>
        <w:pStyle w:val="P00"/>
        <w:ind w:left="0" w:right="1134"/>
        <w:rPr>
          <w:rStyle w:val="default"/>
          <w:rFonts w:cs="FrankRuehl" w:hint="cs"/>
          <w:sz w:val="2"/>
          <w:szCs w:val="2"/>
          <w:rtl/>
        </w:rPr>
      </w:pPr>
      <w:r w:rsidRPr="001A6B1B">
        <w:rPr>
          <w:rStyle w:val="default"/>
          <w:rFonts w:cs="FrankRuehl" w:hint="cs"/>
          <w:vanish/>
          <w:sz w:val="22"/>
          <w:szCs w:val="22"/>
          <w:shd w:val="clear" w:color="auto" w:fill="FFFF99"/>
          <w:rtl/>
        </w:rPr>
        <w:tab/>
        <w:t>"</w:t>
      </w:r>
      <w:r w:rsidRPr="001A6B1B">
        <w:rPr>
          <w:rStyle w:val="default"/>
          <w:rFonts w:cs="FrankRuehl"/>
          <w:vanish/>
          <w:sz w:val="22"/>
          <w:szCs w:val="22"/>
          <w:shd w:val="clear" w:color="auto" w:fill="FFFF99"/>
          <w:rtl/>
        </w:rPr>
        <w:t>מנוף פעילות בנגזרים" – סך כל הבטוחות הנדרשות בשל פעילות בנגזרים</w:t>
      </w:r>
      <w:r w:rsidRPr="001A6B1B">
        <w:rPr>
          <w:rStyle w:val="default"/>
          <w:rFonts w:cs="FrankRuehl" w:hint="cs"/>
          <w:vanish/>
          <w:sz w:val="22"/>
          <w:szCs w:val="22"/>
          <w:shd w:val="clear" w:color="auto" w:fill="FFFF99"/>
          <w:rtl/>
        </w:rPr>
        <w:t xml:space="preserve"> </w:t>
      </w:r>
      <w:r w:rsidRPr="001A6B1B">
        <w:rPr>
          <w:rStyle w:val="default"/>
          <w:rFonts w:cs="FrankRuehl" w:hint="cs"/>
          <w:vanish/>
          <w:sz w:val="22"/>
          <w:szCs w:val="22"/>
          <w:u w:val="single"/>
          <w:shd w:val="clear" w:color="auto" w:fill="FFFF99"/>
          <w:rtl/>
        </w:rPr>
        <w:t>ולמעט בשל מכירה בחסר בעד קרן מחקה בחסר</w:t>
      </w:r>
      <w:r w:rsidRPr="001A6B1B">
        <w:rPr>
          <w:rStyle w:val="default"/>
          <w:rFonts w:cs="FrankRuehl"/>
          <w:vanish/>
          <w:sz w:val="22"/>
          <w:szCs w:val="22"/>
          <w:shd w:val="clear" w:color="auto" w:fill="FFFF99"/>
          <w:rtl/>
        </w:rPr>
        <w:t>; לעניין</w:t>
      </w:r>
      <w:r w:rsidRPr="001A6B1B">
        <w:rPr>
          <w:rStyle w:val="default"/>
          <w:rFonts w:cs="FrankRuehl" w:hint="cs"/>
          <w:vanish/>
          <w:sz w:val="22"/>
          <w:szCs w:val="22"/>
          <w:shd w:val="clear" w:color="auto" w:fill="FFFF99"/>
          <w:rtl/>
        </w:rPr>
        <w:t xml:space="preserve"> </w:t>
      </w:r>
      <w:r w:rsidRPr="001A6B1B">
        <w:rPr>
          <w:rStyle w:val="default"/>
          <w:rFonts w:cs="FrankRuehl"/>
          <w:vanish/>
          <w:sz w:val="22"/>
          <w:szCs w:val="22"/>
          <w:shd w:val="clear" w:color="auto" w:fill="FFFF99"/>
          <w:rtl/>
        </w:rPr>
        <w:t>זה, "בטוחות נדרשות" – כהגדרתן בתקנות השקעות משותפות בנאמנות (אופציות, חוזים עתידיים ומכירות בחסר), התשס"א</w:t>
      </w:r>
      <w:r w:rsidRPr="001A6B1B">
        <w:rPr>
          <w:rStyle w:val="default"/>
          <w:rFonts w:cs="FrankRuehl" w:hint="cs"/>
          <w:vanish/>
          <w:sz w:val="22"/>
          <w:szCs w:val="22"/>
          <w:shd w:val="clear" w:color="auto" w:fill="FFFF99"/>
          <w:rtl/>
        </w:rPr>
        <w:t>-2001</w:t>
      </w:r>
      <w:r w:rsidRPr="001A6B1B">
        <w:rPr>
          <w:rStyle w:val="default"/>
          <w:rFonts w:cs="FrankRuehl"/>
          <w:vanish/>
          <w:sz w:val="22"/>
          <w:szCs w:val="22"/>
          <w:shd w:val="clear" w:color="auto" w:fill="FFFF99"/>
          <w:rtl/>
        </w:rPr>
        <w:t xml:space="preserve"> (להלן – תקנות האופציות);</w:t>
      </w:r>
      <w:bookmarkEnd w:id="5"/>
    </w:p>
    <w:p w14:paraId="45F0B7C0" w14:textId="77777777" w:rsidR="004912C7" w:rsidRDefault="004912C7">
      <w:pPr>
        <w:pStyle w:val="P00"/>
        <w:spacing w:before="72"/>
        <w:ind w:left="0" w:right="1134"/>
        <w:rPr>
          <w:rStyle w:val="default"/>
          <w:rFonts w:cs="FrankRuehl" w:hint="cs"/>
          <w:rtl/>
        </w:rPr>
      </w:pPr>
      <w:r>
        <w:rPr>
          <w:rFonts w:cs="FrankRuehl"/>
          <w:rtl/>
          <w:lang w:val="he-IL"/>
        </w:rPr>
        <w:pict w14:anchorId="2246835C">
          <v:shape id="_x0000_s1345" type="#_x0000_t202" style="position:absolute;left:0;text-align:left;margin-left:470.35pt;margin-top:7.1pt;width:1in;height:9pt;z-index:251657728" filled="f" stroked="f">
            <v:textbox inset="1mm,0,1mm,0">
              <w:txbxContent>
                <w:p w14:paraId="71BC58BE"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מקום עסקה" – לעניין עסקה בנייר ערך – בורסה ושוק מוסדר, לעניין עסקה</w:t>
      </w:r>
      <w:r>
        <w:rPr>
          <w:rStyle w:val="default"/>
          <w:rFonts w:cs="FrankRuehl" w:hint="cs"/>
          <w:rtl/>
        </w:rPr>
        <w:t xml:space="preserve"> </w:t>
      </w:r>
      <w:r>
        <w:rPr>
          <w:rStyle w:val="default"/>
          <w:rFonts w:cs="FrankRuehl"/>
          <w:rtl/>
        </w:rPr>
        <w:t>באופציה – בורסה, לעניין עסקה ביחידה או מניה של קרן חוץ – עסקה עם מנהל קרן חוץ ולעניין עסקה במטבע חוץ – בנק;</w:t>
      </w:r>
    </w:p>
    <w:p w14:paraId="3EC62A2D"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6" w:name="Rov7"/>
      <w:r w:rsidRPr="001A6B1B">
        <w:rPr>
          <w:rStyle w:val="default"/>
          <w:rFonts w:cs="FrankRuehl" w:hint="cs"/>
          <w:vanish/>
          <w:color w:val="FF0000"/>
          <w:sz w:val="20"/>
          <w:szCs w:val="20"/>
          <w:shd w:val="clear" w:color="auto" w:fill="FFFF99"/>
          <w:rtl/>
        </w:rPr>
        <w:t>מיום 31.12.2007</w:t>
      </w:r>
    </w:p>
    <w:p w14:paraId="534CC9A0"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43DFF1B1"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3"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0147E2BB"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"מקום עסקה"</w:t>
      </w:r>
      <w:bookmarkEnd w:id="6"/>
    </w:p>
    <w:p w14:paraId="3DD1C1BA" w14:textId="77777777" w:rsidR="004912C7" w:rsidRDefault="004912C7">
      <w:pPr>
        <w:pStyle w:val="P00"/>
        <w:spacing w:before="72"/>
        <w:ind w:left="0" w:right="1134"/>
        <w:rPr>
          <w:rStyle w:val="default"/>
          <w:rFonts w:cs="FrankRuehl" w:hint="cs"/>
          <w:rtl/>
        </w:rPr>
      </w:pPr>
      <w:r>
        <w:rPr>
          <w:rFonts w:cs="FrankRuehl"/>
          <w:rtl/>
          <w:lang w:val="he-IL"/>
        </w:rPr>
        <w:pict w14:anchorId="062A1CAB">
          <v:shape id="_x0000_s1346" type="#_x0000_t202" style="position:absolute;left:0;text-align:left;margin-left:470.35pt;margin-top:7.1pt;width:1in;height:15.75pt;z-index:251658752" filled="f" stroked="f">
            <v:textbox inset="1mm,0,1mm,0">
              <w:txbxContent>
                <w:p w14:paraId="21324433"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סכום האשראי בשל פדיון יחידות" - סכום החוב בשל האשראי שנתקבל לצורך מימון עודף פדיונות בקרן;</w:t>
      </w:r>
    </w:p>
    <w:p w14:paraId="3301D357"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7" w:name="Rov8"/>
      <w:r w:rsidRPr="001A6B1B">
        <w:rPr>
          <w:rStyle w:val="default"/>
          <w:rFonts w:cs="FrankRuehl" w:hint="cs"/>
          <w:vanish/>
          <w:color w:val="FF0000"/>
          <w:sz w:val="20"/>
          <w:szCs w:val="20"/>
          <w:shd w:val="clear" w:color="auto" w:fill="FFFF99"/>
          <w:rtl/>
        </w:rPr>
        <w:t>מיום 31.12.2007</w:t>
      </w:r>
    </w:p>
    <w:p w14:paraId="68157C95"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1B594104"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4"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4A1FE49C"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הגדרת "סכום האשראי" בהגדרת "סכום האשראי בשל פדיון יחידות"</w:t>
      </w:r>
    </w:p>
    <w:p w14:paraId="44920A51"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31A29081" w14:textId="77777777" w:rsidR="004912C7" w:rsidRDefault="004912C7">
      <w:pPr>
        <w:pStyle w:val="P00"/>
        <w:spacing w:before="0"/>
        <w:ind w:left="0" w:right="1134"/>
        <w:rPr>
          <w:rStyle w:val="default"/>
          <w:rFonts w:cs="FrankRuehl" w:hint="cs"/>
          <w:strike/>
          <w:sz w:val="2"/>
          <w:szCs w:val="2"/>
          <w:rtl/>
        </w:rPr>
      </w:pPr>
      <w:r w:rsidRPr="001A6B1B">
        <w:rPr>
          <w:rStyle w:val="default"/>
          <w:rFonts w:cs="FrankRuehl" w:hint="cs"/>
          <w:vanish/>
          <w:sz w:val="22"/>
          <w:szCs w:val="22"/>
          <w:shd w:val="clear" w:color="auto" w:fill="FFFF99"/>
          <w:rtl/>
        </w:rPr>
        <w:tab/>
      </w:r>
      <w:r w:rsidRPr="001A6B1B">
        <w:rPr>
          <w:rStyle w:val="default"/>
          <w:rFonts w:cs="FrankRuehl" w:hint="cs"/>
          <w:strike/>
          <w:vanish/>
          <w:sz w:val="22"/>
          <w:szCs w:val="22"/>
          <w:shd w:val="clear" w:color="auto" w:fill="FFFF99"/>
          <w:rtl/>
        </w:rPr>
        <w:t xml:space="preserve">"סכום האשראי"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סכום החוב בשל קניה באשראי;</w:t>
      </w:r>
      <w:bookmarkEnd w:id="7"/>
    </w:p>
    <w:p w14:paraId="448E7EDA" w14:textId="77777777" w:rsidR="004912C7" w:rsidRDefault="004912C7">
      <w:pPr>
        <w:pStyle w:val="P00"/>
        <w:spacing w:before="72"/>
        <w:ind w:left="0" w:right="1134"/>
        <w:rPr>
          <w:rStyle w:val="default"/>
          <w:rFonts w:cs="FrankRuehl" w:hint="cs"/>
          <w:rtl/>
        </w:rPr>
      </w:pPr>
      <w:r>
        <w:rPr>
          <w:rFonts w:cs="FrankRuehl"/>
          <w:rtl/>
          <w:lang w:val="he-IL"/>
        </w:rPr>
        <w:pict w14:anchorId="189A8119">
          <v:shape id="_x0000_s1347" type="#_x0000_t202" style="position:absolute;left:0;text-align:left;margin-left:470.35pt;margin-top:7.1pt;width:1in;height:9pt;z-index:251659776" filled="f" stroked="f">
            <v:textbox inset="1mm,0,1mm,0">
              <w:txbxContent>
                <w:p w14:paraId="606B65AE"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עודף יצירות בקרן" – ההפרש בין שווי היחידות שנרכשו לשווי היחידות שנפדו, ביום שבו שווי היחידות שנמכרו עולה על שווי היחידות שנפדו;</w:t>
      </w:r>
    </w:p>
    <w:p w14:paraId="29A550CE"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8" w:name="Rov9"/>
      <w:r w:rsidRPr="001A6B1B">
        <w:rPr>
          <w:rStyle w:val="default"/>
          <w:rFonts w:cs="FrankRuehl" w:hint="cs"/>
          <w:vanish/>
          <w:color w:val="FF0000"/>
          <w:sz w:val="20"/>
          <w:szCs w:val="20"/>
          <w:shd w:val="clear" w:color="auto" w:fill="FFFF99"/>
          <w:rtl/>
        </w:rPr>
        <w:t>מיום 31.12.2007</w:t>
      </w:r>
    </w:p>
    <w:p w14:paraId="4619BFFC"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64E6F585"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5"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0B65DA64"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"עודף יצירות בקרן"</w:t>
      </w:r>
      <w:bookmarkEnd w:id="8"/>
    </w:p>
    <w:p w14:paraId="5D77F775" w14:textId="77777777" w:rsidR="004912C7" w:rsidRDefault="004912C7">
      <w:pPr>
        <w:pStyle w:val="P00"/>
        <w:spacing w:before="72"/>
        <w:ind w:left="0" w:right="1134"/>
        <w:rPr>
          <w:rStyle w:val="default"/>
          <w:rFonts w:cs="FrankRuehl" w:hint="cs"/>
          <w:rtl/>
        </w:rPr>
      </w:pPr>
      <w:r>
        <w:rPr>
          <w:rFonts w:cs="FrankRuehl"/>
          <w:rtl/>
          <w:lang w:val="he-IL"/>
        </w:rPr>
        <w:pict w14:anchorId="7A575FAA">
          <v:shape id="_x0000_s1348" type="#_x0000_t202" style="position:absolute;left:0;text-align:left;margin-left:470.35pt;margin-top:7.1pt;width:1in;height:9pt;z-index:251660800" filled="f" stroked="f">
            <v:textbox inset="1mm,0,1mm,0">
              <w:txbxContent>
                <w:p w14:paraId="18A30621"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עודף פדיונות בקרן" – ההפרש בין שווי היחידות שנפדו לשווי היחידות שנרכשו, ביום שבו שווי היחידות שנפדו עולה על שווי היחידות שנמכרו;</w:t>
      </w:r>
    </w:p>
    <w:p w14:paraId="5E5D2822"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9" w:name="Rov10"/>
      <w:r w:rsidRPr="001A6B1B">
        <w:rPr>
          <w:rStyle w:val="default"/>
          <w:rFonts w:cs="FrankRuehl" w:hint="cs"/>
          <w:vanish/>
          <w:color w:val="FF0000"/>
          <w:sz w:val="20"/>
          <w:szCs w:val="20"/>
          <w:shd w:val="clear" w:color="auto" w:fill="FFFF99"/>
          <w:rtl/>
        </w:rPr>
        <w:t>מיום 31.12.2007</w:t>
      </w:r>
    </w:p>
    <w:p w14:paraId="36D97805"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4FDE1F39"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6"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1760AB85"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"עודף פדיונות בקרן"</w:t>
      </w:r>
      <w:bookmarkEnd w:id="9"/>
    </w:p>
    <w:p w14:paraId="72A0D0AD" w14:textId="77777777" w:rsidR="004912C7" w:rsidRDefault="004912C7">
      <w:pPr>
        <w:pStyle w:val="P00"/>
        <w:spacing w:before="72"/>
        <w:ind w:left="0" w:right="1134"/>
        <w:rPr>
          <w:rStyle w:val="default"/>
          <w:rFonts w:cs="FrankRuehl" w:hint="cs"/>
          <w:rtl/>
        </w:rPr>
      </w:pPr>
      <w:r>
        <w:rPr>
          <w:rFonts w:cs="FrankRuehl"/>
          <w:rtl/>
          <w:lang w:val="he-IL"/>
        </w:rPr>
        <w:pict w14:anchorId="04FDF6D2">
          <v:shape id="_x0000_s1349" type="#_x0000_t202" style="position:absolute;left:0;text-align:left;margin-left:470.35pt;margin-top:7.1pt;width:1in;height:9pt;z-index:251661824" filled="f" stroked="f">
            <v:textbox inset="1mm,0,1mm,0">
              <w:txbxContent>
                <w:p w14:paraId="3EFFD08C"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עסקת מכר חוזר" – עסקת מכר חוזר בניירות ערך כהגדרתה בחוק הסכמים בנכסים פיננסיים, התשס"ו</w:t>
      </w:r>
      <w:r>
        <w:rPr>
          <w:rStyle w:val="default"/>
          <w:rFonts w:cs="FrankRuehl" w:hint="cs"/>
          <w:rtl/>
        </w:rPr>
        <w:t>-2006</w:t>
      </w:r>
      <w:r>
        <w:rPr>
          <w:rStyle w:val="default"/>
          <w:rFonts w:cs="FrankRuehl"/>
          <w:rtl/>
        </w:rPr>
        <w:t>;</w:t>
      </w:r>
    </w:p>
    <w:p w14:paraId="1E726201"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0" w:name="Rov11"/>
      <w:r w:rsidRPr="001A6B1B">
        <w:rPr>
          <w:rStyle w:val="default"/>
          <w:rFonts w:cs="FrankRuehl" w:hint="cs"/>
          <w:vanish/>
          <w:color w:val="FF0000"/>
          <w:sz w:val="20"/>
          <w:szCs w:val="20"/>
          <w:shd w:val="clear" w:color="auto" w:fill="FFFF99"/>
          <w:rtl/>
        </w:rPr>
        <w:t>מיום 31.12.2007</w:t>
      </w:r>
    </w:p>
    <w:p w14:paraId="25267C3C"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5078C24B"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7"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43C28F70"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"עסקת מכר חוזר"</w:t>
      </w:r>
      <w:bookmarkEnd w:id="10"/>
    </w:p>
    <w:p w14:paraId="1A058D83" w14:textId="77777777" w:rsidR="004912C7" w:rsidRDefault="004912C7">
      <w:pPr>
        <w:pStyle w:val="P00"/>
        <w:spacing w:before="72"/>
        <w:ind w:left="0" w:right="1134"/>
        <w:rPr>
          <w:rStyle w:val="default"/>
          <w:rFonts w:cs="FrankRuehl" w:hint="cs"/>
          <w:rtl/>
        </w:rPr>
      </w:pPr>
      <w:r>
        <w:rPr>
          <w:rStyle w:val="default"/>
          <w:rFonts w:cs="FrankRuehl" w:hint="cs"/>
          <w:rtl/>
        </w:rPr>
        <w:tab/>
        <w:t xml:space="preserve">"פיקדון לזמן קצוב" </w:t>
      </w:r>
      <w:r>
        <w:rPr>
          <w:rStyle w:val="default"/>
          <w:rFonts w:cs="FrankRuehl"/>
          <w:rtl/>
        </w:rPr>
        <w:t>–</w:t>
      </w:r>
      <w:r>
        <w:rPr>
          <w:rStyle w:val="default"/>
          <w:rFonts w:cs="FrankRuehl" w:hint="cs"/>
          <w:rtl/>
        </w:rPr>
        <w:t xml:space="preserve"> פיקדון בתאגיד בנקאי שלפי תנאי הפקדתו הוא לתקופה קבועה מראש העולה על יום אחד;</w:t>
      </w:r>
    </w:p>
    <w:p w14:paraId="62129B8D" w14:textId="77777777" w:rsidR="004912C7" w:rsidRDefault="004912C7">
      <w:pPr>
        <w:pStyle w:val="P00"/>
        <w:spacing w:before="72"/>
        <w:ind w:left="0" w:right="1134"/>
        <w:rPr>
          <w:rStyle w:val="default"/>
          <w:rFonts w:cs="FrankRuehl" w:hint="cs"/>
          <w:rtl/>
        </w:rPr>
      </w:pPr>
      <w:r>
        <w:rPr>
          <w:rStyle w:val="default"/>
          <w:rFonts w:cs="FrankRuehl" w:hint="cs"/>
          <w:rtl/>
        </w:rPr>
        <w:tab/>
        <w:t>"</w:t>
      </w:r>
      <w:r>
        <w:rPr>
          <w:rStyle w:val="default"/>
          <w:rFonts w:cs="FrankRuehl"/>
          <w:rtl/>
        </w:rPr>
        <w:t>קנייה באשראי" – קניית נכס שהתשלום בעדו נעשה במועד מאוחר ממועד הקניה או</w:t>
      </w:r>
      <w:r>
        <w:rPr>
          <w:rStyle w:val="default"/>
          <w:rFonts w:cs="FrankRuehl" w:hint="cs"/>
          <w:rtl/>
        </w:rPr>
        <w:t xml:space="preserve"> </w:t>
      </w:r>
      <w:r>
        <w:rPr>
          <w:rStyle w:val="default"/>
          <w:rFonts w:cs="FrankRuehl"/>
          <w:rtl/>
        </w:rPr>
        <w:t xml:space="preserve">שהתשלום בעדו ממומן מאשראי שמקבל מנהל הקרן או שהתשלום בעדו נעשה באותו יום </w:t>
      </w:r>
      <w:r>
        <w:rPr>
          <w:rStyle w:val="default"/>
          <w:rFonts w:cs="FrankRuehl"/>
          <w:rtl/>
        </w:rPr>
        <w:lastRenderedPageBreak/>
        <w:t>מהתמורה שצפויה להתקבל מעודף היצירות בקרן באותו יום;</w:t>
      </w:r>
    </w:p>
    <w:p w14:paraId="7EE65C91"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1" w:name="Rov12"/>
      <w:r w:rsidRPr="001A6B1B">
        <w:rPr>
          <w:rStyle w:val="default"/>
          <w:rFonts w:cs="FrankRuehl" w:hint="cs"/>
          <w:vanish/>
          <w:color w:val="FF0000"/>
          <w:sz w:val="20"/>
          <w:szCs w:val="20"/>
          <w:shd w:val="clear" w:color="auto" w:fill="FFFF99"/>
          <w:rtl/>
        </w:rPr>
        <w:t>מיום 31.12.2007</w:t>
      </w:r>
    </w:p>
    <w:p w14:paraId="667A198A"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7532AE81"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18"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345D6FDE"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הגדרת "קניה באשראי"</w:t>
      </w:r>
    </w:p>
    <w:p w14:paraId="7F996BCA"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3BC923E9" w14:textId="77777777" w:rsidR="004912C7" w:rsidRDefault="004912C7">
      <w:pPr>
        <w:pStyle w:val="P00"/>
        <w:spacing w:before="0"/>
        <w:ind w:left="0" w:right="1134"/>
        <w:rPr>
          <w:rStyle w:val="default"/>
          <w:rFonts w:cs="FrankRuehl" w:hint="cs"/>
          <w:strike/>
          <w:sz w:val="2"/>
          <w:szCs w:val="2"/>
          <w:rtl/>
        </w:rPr>
      </w:pPr>
      <w:r w:rsidRPr="001A6B1B">
        <w:rPr>
          <w:rStyle w:val="default"/>
          <w:rFonts w:cs="FrankRuehl" w:hint="cs"/>
          <w:vanish/>
          <w:sz w:val="22"/>
          <w:szCs w:val="22"/>
          <w:shd w:val="clear" w:color="auto" w:fill="FFFF99"/>
          <w:rtl/>
        </w:rPr>
        <w:tab/>
      </w:r>
      <w:r w:rsidRPr="001A6B1B">
        <w:rPr>
          <w:rStyle w:val="default"/>
          <w:rFonts w:cs="FrankRuehl" w:hint="cs"/>
          <w:strike/>
          <w:vanish/>
          <w:sz w:val="22"/>
          <w:szCs w:val="22"/>
          <w:shd w:val="clear" w:color="auto" w:fill="FFFF99"/>
          <w:rtl/>
        </w:rPr>
        <w:t xml:space="preserve">"קניה באשראי"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קניית נכס בעד קרן, היוצרת חוב שיש לפורעו מנכסי הקרן;</w:t>
      </w:r>
      <w:bookmarkEnd w:id="11"/>
    </w:p>
    <w:p w14:paraId="2E73817B" w14:textId="77777777" w:rsidR="00292352" w:rsidRPr="001A6B1B" w:rsidRDefault="00292352" w:rsidP="00292352">
      <w:pPr>
        <w:pStyle w:val="P00"/>
        <w:spacing w:before="72"/>
        <w:ind w:left="0" w:right="1134"/>
        <w:rPr>
          <w:rStyle w:val="default"/>
          <w:rFonts w:cs="FrankRuehl" w:hint="cs"/>
          <w:rtl/>
        </w:rPr>
      </w:pPr>
      <w:r w:rsidRPr="001A6B1B">
        <w:rPr>
          <w:rFonts w:cs="FrankRuehl"/>
          <w:rtl/>
          <w:lang w:val="he-IL"/>
        </w:rPr>
        <w:pict w14:anchorId="1DF285B9">
          <v:shape id="_x0000_s1357" type="#_x0000_t202" style="position:absolute;left:0;text-align:left;margin-left:470.35pt;margin-top:7.1pt;width:1in;height:11.85pt;z-index:251666944" filled="f" stroked="f">
            <v:textbox inset="1mm,0,1mm,0">
              <w:txbxContent>
                <w:p w14:paraId="7D0C72F3" w14:textId="77777777" w:rsidR="00292352" w:rsidRDefault="00292352" w:rsidP="00292352">
                  <w:pPr>
                    <w:spacing w:line="160" w:lineRule="exact"/>
                    <w:rPr>
                      <w:rFonts w:cs="Miriam" w:hint="cs"/>
                      <w:noProof/>
                      <w:sz w:val="18"/>
                      <w:szCs w:val="18"/>
                      <w:rtl/>
                    </w:rPr>
                  </w:pPr>
                  <w:r>
                    <w:rPr>
                      <w:rFonts w:cs="Miriam" w:hint="cs"/>
                      <w:noProof/>
                      <w:sz w:val="18"/>
                      <w:szCs w:val="18"/>
                      <w:rtl/>
                    </w:rPr>
                    <w:t>תק' תשע"ח-2018</w:t>
                  </w:r>
                </w:p>
              </w:txbxContent>
            </v:textbox>
          </v:shape>
        </w:pict>
      </w:r>
      <w:r w:rsidRPr="001A6B1B">
        <w:rPr>
          <w:rStyle w:val="default"/>
          <w:rFonts w:cs="FrankRuehl" w:hint="cs"/>
          <w:rtl/>
        </w:rPr>
        <w:tab/>
        <w:t xml:space="preserve">"קרן מחקה בחסר" </w:t>
      </w:r>
      <w:r w:rsidRPr="001A6B1B">
        <w:rPr>
          <w:rStyle w:val="default"/>
          <w:rFonts w:cs="FrankRuehl"/>
          <w:rtl/>
        </w:rPr>
        <w:t>–</w:t>
      </w:r>
      <w:r w:rsidRPr="001A6B1B">
        <w:rPr>
          <w:rStyle w:val="default"/>
          <w:rFonts w:cs="FrankRuehl" w:hint="cs"/>
          <w:rtl/>
        </w:rPr>
        <w:t xml:space="preserve"> כהגדרתה בתקנות השקעות משותפות בנאמנות (קרנות מחקות), התשע"ח-2018</w:t>
      </w:r>
      <w:r w:rsidRPr="001A6B1B">
        <w:rPr>
          <w:rStyle w:val="default"/>
          <w:rFonts w:cs="FrankRuehl"/>
          <w:rtl/>
        </w:rPr>
        <w:t>;</w:t>
      </w:r>
    </w:p>
    <w:p w14:paraId="203B0B60" w14:textId="77777777" w:rsidR="00292352" w:rsidRPr="001A6B1B" w:rsidRDefault="00292352" w:rsidP="00292352">
      <w:pPr>
        <w:pStyle w:val="P00"/>
        <w:spacing w:before="0"/>
        <w:ind w:left="0" w:right="1134"/>
        <w:rPr>
          <w:rStyle w:val="default"/>
          <w:rFonts w:cs="FrankRuehl"/>
          <w:vanish/>
          <w:color w:val="FF0000"/>
          <w:szCs w:val="20"/>
          <w:shd w:val="clear" w:color="auto" w:fill="FFFF99"/>
        </w:rPr>
      </w:pPr>
      <w:bookmarkStart w:id="12" w:name="Rov24"/>
      <w:r w:rsidRPr="001A6B1B">
        <w:rPr>
          <w:rStyle w:val="default"/>
          <w:rFonts w:cs="FrankRuehl"/>
          <w:vanish/>
          <w:color w:val="FF0000"/>
          <w:szCs w:val="20"/>
          <w:shd w:val="clear" w:color="auto" w:fill="FFFF99"/>
          <w:rtl/>
        </w:rPr>
        <w:t>מיום 3.10.2018</w:t>
      </w:r>
    </w:p>
    <w:p w14:paraId="1430247D" w14:textId="77777777" w:rsidR="00292352" w:rsidRPr="001A6B1B" w:rsidRDefault="00292352" w:rsidP="00292352">
      <w:pPr>
        <w:pStyle w:val="P00"/>
        <w:spacing w:before="0"/>
        <w:ind w:left="0" w:right="1134"/>
        <w:rPr>
          <w:rStyle w:val="default"/>
          <w:rFonts w:cs="FrankRuehl"/>
          <w:vanish/>
          <w:szCs w:val="20"/>
          <w:shd w:val="clear" w:color="auto" w:fill="FFFF99"/>
          <w:rtl/>
        </w:rPr>
      </w:pPr>
      <w:r w:rsidRPr="001A6B1B">
        <w:rPr>
          <w:rStyle w:val="default"/>
          <w:rFonts w:cs="FrankRuehl"/>
          <w:b/>
          <w:bCs/>
          <w:vanish/>
          <w:szCs w:val="20"/>
          <w:shd w:val="clear" w:color="auto" w:fill="FFFF99"/>
          <w:rtl/>
        </w:rPr>
        <w:t>תק' תשע"ח-2018</w:t>
      </w:r>
    </w:p>
    <w:p w14:paraId="15F4953F" w14:textId="77777777" w:rsidR="00292352" w:rsidRPr="001A6B1B" w:rsidRDefault="00292352" w:rsidP="00292352">
      <w:pPr>
        <w:pStyle w:val="P00"/>
        <w:spacing w:before="0"/>
        <w:ind w:left="0" w:right="1134"/>
        <w:rPr>
          <w:rStyle w:val="default"/>
          <w:rFonts w:cs="FrankRuehl"/>
          <w:vanish/>
          <w:szCs w:val="20"/>
          <w:shd w:val="clear" w:color="auto" w:fill="FFFF99"/>
          <w:rtl/>
        </w:rPr>
      </w:pPr>
      <w:hyperlink r:id="rId19" w:history="1">
        <w:r w:rsidRPr="001A6B1B">
          <w:rPr>
            <w:rStyle w:val="Hyperlink"/>
            <w:rFonts w:cs="FrankRuehl"/>
            <w:vanish/>
            <w:szCs w:val="20"/>
            <w:shd w:val="clear" w:color="auto" w:fill="FFFF99"/>
            <w:rtl/>
          </w:rPr>
          <w:t>ק"ת תשע"ח מס' 8038</w:t>
        </w:r>
      </w:hyperlink>
      <w:r w:rsidRPr="001A6B1B">
        <w:rPr>
          <w:rStyle w:val="default"/>
          <w:rFonts w:cs="FrankRuehl"/>
          <w:vanish/>
          <w:szCs w:val="20"/>
          <w:shd w:val="clear" w:color="auto" w:fill="FFFF99"/>
          <w:rtl/>
        </w:rPr>
        <w:t xml:space="preserve"> מיום 12.7.2018 עמ' 2411</w:t>
      </w:r>
    </w:p>
    <w:p w14:paraId="630E5073" w14:textId="77777777" w:rsidR="00292352" w:rsidRPr="001A6B1B" w:rsidRDefault="00292352" w:rsidP="001A6B1B">
      <w:pPr>
        <w:pStyle w:val="P00"/>
        <w:spacing w:before="0"/>
        <w:ind w:left="0" w:right="1134"/>
        <w:rPr>
          <w:rStyle w:val="default"/>
          <w:rFonts w:cs="FrankRuehl"/>
          <w:b/>
          <w:bCs/>
          <w:sz w:val="2"/>
          <w:szCs w:val="2"/>
          <w:shd w:val="clear" w:color="auto" w:fill="FFFF99"/>
          <w:rtl/>
        </w:rPr>
      </w:pPr>
      <w:r w:rsidRPr="001A6B1B">
        <w:rPr>
          <w:rStyle w:val="default"/>
          <w:rFonts w:cs="FrankRuehl" w:hint="cs"/>
          <w:b/>
          <w:bCs/>
          <w:vanish/>
          <w:szCs w:val="20"/>
          <w:shd w:val="clear" w:color="auto" w:fill="FFFF99"/>
          <w:rtl/>
        </w:rPr>
        <w:t>הוספת הגדרת "קרן מחקה בחסר"</w:t>
      </w:r>
      <w:bookmarkEnd w:id="12"/>
    </w:p>
    <w:p w14:paraId="37313F51" w14:textId="77777777" w:rsidR="004912C7" w:rsidRDefault="004912C7">
      <w:pPr>
        <w:pStyle w:val="P00"/>
        <w:spacing w:before="72"/>
        <w:ind w:left="0" w:right="1134"/>
        <w:rPr>
          <w:rStyle w:val="default"/>
          <w:rFonts w:cs="FrankRuehl" w:hint="cs"/>
          <w:rtl/>
        </w:rPr>
      </w:pPr>
      <w:r>
        <w:rPr>
          <w:rFonts w:cs="FrankRuehl"/>
          <w:rtl/>
          <w:lang w:val="he-IL"/>
        </w:rPr>
        <w:pict w14:anchorId="7C00BCDB">
          <v:shape id="_x0000_s1350" type="#_x0000_t202" style="position:absolute;left:0;text-align:left;margin-left:470.35pt;margin-top:7.1pt;width:1in;height:9pt;z-index:251662848" filled="f" stroked="f">
            <v:textbox inset="1mm,0,1mm,0">
              <w:txbxContent>
                <w:p w14:paraId="3D9351E1"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קרן ממונפת" – כהגדרתה בתקנות האופציות;</w:t>
      </w:r>
    </w:p>
    <w:p w14:paraId="7756E3B5"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3" w:name="Rov13"/>
      <w:r w:rsidRPr="001A6B1B">
        <w:rPr>
          <w:rStyle w:val="default"/>
          <w:rFonts w:cs="FrankRuehl" w:hint="cs"/>
          <w:vanish/>
          <w:color w:val="FF0000"/>
          <w:sz w:val="20"/>
          <w:szCs w:val="20"/>
          <w:shd w:val="clear" w:color="auto" w:fill="FFFF99"/>
          <w:rtl/>
        </w:rPr>
        <w:t>מיום 31.12.2007</w:t>
      </w:r>
    </w:p>
    <w:p w14:paraId="5B6A9C6D"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23FFDD3D"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0"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29D72642"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"קרן ממונפת"</w:t>
      </w:r>
      <w:bookmarkEnd w:id="13"/>
    </w:p>
    <w:p w14:paraId="3DE37530" w14:textId="77777777" w:rsidR="004912C7" w:rsidRDefault="004912C7">
      <w:pPr>
        <w:pStyle w:val="P00"/>
        <w:spacing w:before="72"/>
        <w:ind w:left="0" w:right="1134"/>
        <w:rPr>
          <w:rStyle w:val="default"/>
          <w:rFonts w:cs="FrankRuehl" w:hint="cs"/>
          <w:rtl/>
        </w:rPr>
      </w:pPr>
      <w:r>
        <w:rPr>
          <w:rFonts w:cs="FrankRuehl"/>
          <w:rtl/>
          <w:lang w:val="he-IL"/>
        </w:rPr>
        <w:pict w14:anchorId="435A15AB">
          <v:shape id="_x0000_s1351" type="#_x0000_t202" style="position:absolute;left:0;text-align:left;margin-left:470.35pt;margin-top:7.1pt;width:1in;height:9pt;z-index:251663872" filled="f" stroked="f">
            <v:textbox inset="1mm,0,1mm,0">
              <w:txbxContent>
                <w:p w14:paraId="71024ECE"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v:shape>
        </w:pict>
      </w:r>
      <w:r>
        <w:rPr>
          <w:rStyle w:val="default"/>
          <w:rFonts w:cs="FrankRuehl" w:hint="cs"/>
          <w:rtl/>
        </w:rPr>
        <w:tab/>
        <w:t>"</w:t>
      </w:r>
      <w:r>
        <w:rPr>
          <w:rStyle w:val="default"/>
          <w:rFonts w:cs="FrankRuehl"/>
          <w:rtl/>
        </w:rPr>
        <w:t>שווי יחידה" – שווי נקי של נכסי הקרן מחולק במספר היחידות;</w:t>
      </w:r>
    </w:p>
    <w:p w14:paraId="5A1389A7"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4" w:name="Rov14"/>
      <w:r w:rsidRPr="001A6B1B">
        <w:rPr>
          <w:rStyle w:val="default"/>
          <w:rFonts w:cs="FrankRuehl" w:hint="cs"/>
          <w:vanish/>
          <w:color w:val="FF0000"/>
          <w:sz w:val="20"/>
          <w:szCs w:val="20"/>
          <w:shd w:val="clear" w:color="auto" w:fill="FFFF99"/>
          <w:rtl/>
        </w:rPr>
        <w:t>מיום 31.12.2007</w:t>
      </w:r>
    </w:p>
    <w:p w14:paraId="3A94B5FE"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7616A172"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1"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5D3C79E3"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הגדרת "שווי יחידה"</w:t>
      </w:r>
      <w:bookmarkEnd w:id="14"/>
    </w:p>
    <w:p w14:paraId="741CF3D2" w14:textId="77777777" w:rsidR="004912C7" w:rsidRDefault="004912C7">
      <w:pPr>
        <w:pStyle w:val="P00"/>
        <w:spacing w:before="72"/>
        <w:ind w:left="0" w:right="1134"/>
        <w:rPr>
          <w:rStyle w:val="default"/>
          <w:rFonts w:cs="FrankRuehl" w:hint="cs"/>
          <w:rtl/>
        </w:rPr>
      </w:pPr>
      <w:r>
        <w:rPr>
          <w:rStyle w:val="default"/>
          <w:rFonts w:cs="FrankRuehl" w:hint="cs"/>
          <w:rtl/>
        </w:rPr>
        <w:tab/>
        <w:t xml:space="preserve">"תקופת האשראי" </w:t>
      </w:r>
      <w:r>
        <w:rPr>
          <w:rStyle w:val="default"/>
          <w:rFonts w:cs="FrankRuehl"/>
          <w:rtl/>
        </w:rPr>
        <w:t>–</w:t>
      </w:r>
      <w:r>
        <w:rPr>
          <w:rStyle w:val="default"/>
          <w:rFonts w:cs="FrankRuehl" w:hint="cs"/>
          <w:rtl/>
        </w:rPr>
        <w:t xml:space="preserve"> התקופה שבין מועד הקניה, המכירה או הפדיון לבין מועד התשלום בעד הקניה או מועד קבלת התמורה בעד המכירה או הפדיון.</w:t>
      </w:r>
    </w:p>
    <w:p w14:paraId="15C2B0E2" w14:textId="77777777" w:rsidR="004912C7" w:rsidRDefault="004912C7">
      <w:pPr>
        <w:pStyle w:val="P00"/>
        <w:spacing w:before="72"/>
        <w:ind w:left="0" w:right="1134"/>
        <w:rPr>
          <w:rStyle w:val="default"/>
          <w:rFonts w:cs="FrankRuehl" w:hint="cs"/>
          <w:rtl/>
        </w:rPr>
      </w:pPr>
      <w:bookmarkStart w:id="15" w:name="Seif1"/>
      <w:bookmarkEnd w:id="15"/>
      <w:r>
        <w:rPr>
          <w:rFonts w:cs="Miriam"/>
          <w:lang w:val="he-IL"/>
        </w:rPr>
        <w:pict w14:anchorId="71FE218D">
          <v:rect id="_x0000_s1250" style="position:absolute;left:0;text-align:left;margin-left:464.35pt;margin-top:7.1pt;width:75.05pt;height:16.95pt;z-index:251649536" o:allowincell="f" filled="f" stroked="f" strokecolor="lime" strokeweight=".25pt">
            <v:textbox style="mso-next-textbox:#_x0000_s1250" inset="0,0,0,0">
              <w:txbxContent>
                <w:p w14:paraId="18D4A7FA" w14:textId="77777777" w:rsidR="004912C7" w:rsidRDefault="004912C7">
                  <w:pPr>
                    <w:spacing w:line="160" w:lineRule="exact"/>
                    <w:rPr>
                      <w:rFonts w:cs="Miriam" w:hint="cs"/>
                      <w:sz w:val="18"/>
                      <w:szCs w:val="18"/>
                      <w:rtl/>
                    </w:rPr>
                  </w:pPr>
                  <w:r>
                    <w:rPr>
                      <w:rFonts w:cs="Miriam" w:hint="cs"/>
                      <w:sz w:val="18"/>
                      <w:szCs w:val="18"/>
                      <w:rtl/>
                    </w:rPr>
                    <w:t>קניה ומכירה באשראי</w:t>
                  </w:r>
                </w:p>
                <w:p w14:paraId="313CEB1A"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מנהל קרן רשאי לקנות או למכור נכס באשראי במקום עסקה שבו קניה</w:t>
      </w:r>
      <w:r>
        <w:rPr>
          <w:rStyle w:val="default"/>
          <w:rFonts w:cs="FrankRuehl" w:hint="cs"/>
          <w:rtl/>
        </w:rPr>
        <w:t xml:space="preserve"> </w:t>
      </w:r>
      <w:r>
        <w:rPr>
          <w:rStyle w:val="default"/>
          <w:rFonts w:cs="FrankRuehl"/>
          <w:rtl/>
        </w:rPr>
        <w:t>או מכירה של נכס נעשית, דרך כלל, כקנייה באשראי או כמכירה באשראי,</w:t>
      </w:r>
      <w:r>
        <w:rPr>
          <w:rStyle w:val="default"/>
          <w:rFonts w:cs="FrankRuehl" w:hint="cs"/>
          <w:rtl/>
        </w:rPr>
        <w:t xml:space="preserve"> </w:t>
      </w:r>
      <w:r>
        <w:rPr>
          <w:rStyle w:val="default"/>
          <w:rFonts w:cs="FrankRuehl"/>
          <w:rtl/>
        </w:rPr>
        <w:t>ובלבד שתקופת האשראי לא תעלה על תקופת האשראי המקובלת במקום</w:t>
      </w:r>
      <w:r>
        <w:rPr>
          <w:rStyle w:val="default"/>
          <w:rFonts w:cs="FrankRuehl" w:hint="cs"/>
          <w:rtl/>
        </w:rPr>
        <w:t xml:space="preserve"> </w:t>
      </w:r>
      <w:r>
        <w:rPr>
          <w:rStyle w:val="default"/>
          <w:rFonts w:cs="FrankRuehl"/>
          <w:rtl/>
        </w:rPr>
        <w:t>העסקה לגבי הנכס מן הסוג שקנה או מכר, או על שלושה ימים שמתקיים בהם מסחר במקום העסקה, לפי הקצר שביניהם.</w:t>
      </w:r>
    </w:p>
    <w:p w14:paraId="69088FA9"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6" w:name="Rov15"/>
      <w:r w:rsidRPr="001A6B1B">
        <w:rPr>
          <w:rStyle w:val="default"/>
          <w:rFonts w:cs="FrankRuehl" w:hint="cs"/>
          <w:vanish/>
          <w:color w:val="FF0000"/>
          <w:sz w:val="20"/>
          <w:szCs w:val="20"/>
          <w:shd w:val="clear" w:color="auto" w:fill="FFFF99"/>
          <w:rtl/>
        </w:rPr>
        <w:t>מיום 31.12.2007</w:t>
      </w:r>
    </w:p>
    <w:p w14:paraId="087C4421"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224E5186"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2"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319A499D"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תקנה 2</w:t>
      </w:r>
    </w:p>
    <w:p w14:paraId="0706CDE7"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2B15BD6F" w14:textId="77777777" w:rsidR="004912C7" w:rsidRDefault="004912C7">
      <w:pPr>
        <w:pStyle w:val="P00"/>
        <w:spacing w:before="0"/>
        <w:ind w:left="0" w:right="1134"/>
        <w:rPr>
          <w:rStyle w:val="default"/>
          <w:rFonts w:cs="FrankRuehl" w:hint="cs"/>
          <w:strike/>
          <w:sz w:val="2"/>
          <w:szCs w:val="2"/>
          <w:rtl/>
        </w:rPr>
      </w:pPr>
      <w:r w:rsidRPr="001A6B1B">
        <w:rPr>
          <w:rStyle w:val="big-number"/>
          <w:rFonts w:cs="FrankRuehl" w:hint="cs"/>
          <w:strike/>
          <w:vanish/>
          <w:sz w:val="22"/>
          <w:szCs w:val="22"/>
          <w:shd w:val="clear" w:color="auto" w:fill="FFFF99"/>
          <w:rtl/>
        </w:rPr>
        <w:t>2</w:t>
      </w:r>
      <w:r w:rsidRPr="001A6B1B">
        <w:rPr>
          <w:rStyle w:val="big-number"/>
          <w:rFonts w:cs="FrankRuehl"/>
          <w:strike/>
          <w:vanish/>
          <w:sz w:val="22"/>
          <w:szCs w:val="22"/>
          <w:shd w:val="clear" w:color="auto" w:fill="FFFF99"/>
          <w:rtl/>
        </w:rPr>
        <w:t>.</w:t>
      </w:r>
      <w:r w:rsidRPr="001A6B1B">
        <w:rPr>
          <w:rStyle w:val="big-number"/>
          <w:rFonts w:cs="FrankRuehl"/>
          <w:strike/>
          <w:vanish/>
          <w:sz w:val="22"/>
          <w:szCs w:val="22"/>
          <w:shd w:val="clear" w:color="auto" w:fill="FFFF99"/>
          <w:rtl/>
        </w:rPr>
        <w:tab/>
      </w:r>
      <w:r w:rsidRPr="001A6B1B">
        <w:rPr>
          <w:rStyle w:val="default"/>
          <w:rFonts w:cs="FrankRuehl" w:hint="cs"/>
          <w:strike/>
          <w:vanish/>
          <w:sz w:val="22"/>
          <w:szCs w:val="22"/>
          <w:shd w:val="clear" w:color="auto" w:fill="FFFF99"/>
          <w:rtl/>
        </w:rPr>
        <w:t xml:space="preserve">מנהל קרן רשאי לקנות או למכור באשראי נייר ערך או אופציה בעד קרן שבניהולו בבורסה או בשוק מוסדר שבהם קניה או מכירה של נייר ערך או אופציה נעשית דרך כלל, כקניה באשראי או כמכירה באשראי, ובלבד שתקופת האשראי לא תעלה על תקופת האשראי המקובלת לגבי נייר ערך או אופציה מהסוג שקנה או מכר בבורסה או בשוק המוסדר כאמור (להלן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מקום העסקה), או על שלושה ימים שבהם מתקיים מסחר במקום העסקה, לפי הנמוך מביניהם.</w:t>
      </w:r>
      <w:bookmarkEnd w:id="16"/>
    </w:p>
    <w:p w14:paraId="7C110CBC" w14:textId="77777777" w:rsidR="004912C7" w:rsidRDefault="004912C7">
      <w:pPr>
        <w:pStyle w:val="P00"/>
        <w:spacing w:before="72"/>
        <w:ind w:left="0" w:right="1134"/>
        <w:rPr>
          <w:rStyle w:val="default"/>
          <w:rFonts w:cs="FrankRuehl" w:hint="cs"/>
          <w:rtl/>
        </w:rPr>
      </w:pPr>
      <w:bookmarkStart w:id="17" w:name="Seif2"/>
      <w:bookmarkEnd w:id="17"/>
      <w:r>
        <w:rPr>
          <w:rFonts w:cs="Miriam"/>
          <w:lang w:val="he-IL"/>
        </w:rPr>
        <w:pict w14:anchorId="3D5A15A9">
          <v:rect id="_x0000_s1255" style="position:absolute;left:0;text-align:left;margin-left:464.35pt;margin-top:7.1pt;width:75.05pt;height:17.85pt;z-index:251650560" filled="f" stroked="f" strokecolor="lime" strokeweight=".25pt">
            <v:textbox style="mso-next-textbox:#_x0000_s1255" inset="0,0,0,0">
              <w:txbxContent>
                <w:p w14:paraId="6388BBE0" w14:textId="77777777" w:rsidR="004912C7" w:rsidRDefault="004912C7">
                  <w:pPr>
                    <w:spacing w:line="160" w:lineRule="exact"/>
                    <w:rPr>
                      <w:rFonts w:cs="Miriam" w:hint="cs"/>
                      <w:sz w:val="18"/>
                      <w:szCs w:val="18"/>
                      <w:rtl/>
                    </w:rPr>
                  </w:pPr>
                  <w:r>
                    <w:rPr>
                      <w:rFonts w:cs="Miriam" w:hint="cs"/>
                      <w:sz w:val="18"/>
                      <w:szCs w:val="18"/>
                      <w:rtl/>
                    </w:rPr>
                    <w:t>אשראי בעד קרן</w:t>
                  </w:r>
                </w:p>
                <w:p w14:paraId="0F9C6F4F"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מנהל קרן רשאי לקחת אשראי מבנק בעד קרן שבניהולו ובלבד</w:t>
      </w:r>
      <w:r>
        <w:rPr>
          <w:rStyle w:val="default"/>
          <w:rFonts w:cs="FrankRuehl" w:hint="cs"/>
          <w:rtl/>
        </w:rPr>
        <w:t xml:space="preserve"> </w:t>
      </w:r>
      <w:r>
        <w:rPr>
          <w:rStyle w:val="default"/>
          <w:rFonts w:cs="FrankRuehl"/>
          <w:rtl/>
        </w:rPr>
        <w:t>שמנוף האשראי של קרן לא יעלה, בכל עת, על עשרים אחוזים מהשווי הנקי של נכסי הקרן, ובקרן ממונפת – על ארבעים אחוזים מהשווי האמור.</w:t>
      </w:r>
    </w:p>
    <w:p w14:paraId="35227817" w14:textId="77777777" w:rsidR="004912C7" w:rsidRDefault="004912C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האמור בתקנת משנה (א), רשאי מנהל קרן לקחת אשראי בשל פדיון יחידות גם מחבר בורסה; היה חבר הבורסה חברה השולטת</w:t>
      </w:r>
      <w:r>
        <w:rPr>
          <w:rStyle w:val="default"/>
          <w:rFonts w:cs="FrankRuehl" w:hint="cs"/>
          <w:rtl/>
        </w:rPr>
        <w:t xml:space="preserve"> </w:t>
      </w:r>
      <w:r>
        <w:rPr>
          <w:rStyle w:val="default"/>
          <w:rFonts w:cs="FrankRuehl"/>
          <w:rtl/>
        </w:rPr>
        <w:t>במנהל הקרן או בנאמן או חברה בשליטת אדם כאמור, לא תעלה הריבית</w:t>
      </w:r>
      <w:r>
        <w:rPr>
          <w:rStyle w:val="default"/>
          <w:rFonts w:cs="FrankRuehl" w:hint="cs"/>
          <w:rtl/>
        </w:rPr>
        <w:t xml:space="preserve"> </w:t>
      </w:r>
      <w:r>
        <w:rPr>
          <w:rStyle w:val="default"/>
          <w:rFonts w:cs="FrankRuehl"/>
          <w:rtl/>
        </w:rPr>
        <w:t>המשולמת מנכסי הקרן בגין האשראי על הריבית שגובה הבנק שבו מופקדים</w:t>
      </w:r>
      <w:r>
        <w:rPr>
          <w:rStyle w:val="default"/>
          <w:rFonts w:cs="FrankRuehl" w:hint="cs"/>
          <w:rtl/>
        </w:rPr>
        <w:t xml:space="preserve"> </w:t>
      </w:r>
      <w:r>
        <w:rPr>
          <w:rStyle w:val="default"/>
          <w:rFonts w:cs="FrankRuehl"/>
          <w:rtl/>
        </w:rPr>
        <w:t>המזומנים של הקרן, בעסקת אשראי מאותו סוג שהוא עושה עם לקוחות אחרים בהיקף שנעשה בעד כל הקרנות שבניהולו של מנהל הקרן.</w:t>
      </w:r>
    </w:p>
    <w:p w14:paraId="0665E47F" w14:textId="77777777" w:rsidR="004912C7" w:rsidRDefault="004912C7">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עלה מנוף האשראי של הקרן על עשרים אחוזים מהשווי הנקי של נכסיה, ובקרן ממונפת – על ארבעים אחוזים מהשווי האמור, (להלן</w:t>
      </w:r>
      <w:r>
        <w:rPr>
          <w:rStyle w:val="default"/>
          <w:rFonts w:cs="FrankRuehl" w:hint="cs"/>
          <w:rtl/>
        </w:rPr>
        <w:t xml:space="preserve"> </w:t>
      </w:r>
      <w:r>
        <w:rPr>
          <w:rStyle w:val="default"/>
          <w:rFonts w:cs="FrankRuehl"/>
          <w:rtl/>
        </w:rPr>
        <w:t>– חריגה במנוף האשראי), לא יראו בכך הפרת הוראות תקנה משנה (א) אם נתקיימו שני אלה:</w:t>
      </w:r>
    </w:p>
    <w:p w14:paraId="0DFBA352" w14:textId="77777777" w:rsidR="004912C7" w:rsidRDefault="004912C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החריגה במנוף האשראי נסתיימה עד תום יום חישוב המחירים השני לאחר שהחלה;</w:t>
      </w:r>
    </w:p>
    <w:p w14:paraId="09B549B3" w14:textId="77777777" w:rsidR="004912C7" w:rsidRDefault="004912C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חריגה במנוף האשראי קרתה בקרן לא יותר מחמש פעמים בתקופה של שנים עשר החודשים האחרונים.</w:t>
      </w:r>
    </w:p>
    <w:p w14:paraId="0AD90164"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18" w:name="Rov16"/>
      <w:r w:rsidRPr="001A6B1B">
        <w:rPr>
          <w:rStyle w:val="default"/>
          <w:rFonts w:cs="FrankRuehl" w:hint="cs"/>
          <w:vanish/>
          <w:color w:val="FF0000"/>
          <w:sz w:val="20"/>
          <w:szCs w:val="20"/>
          <w:shd w:val="clear" w:color="auto" w:fill="FFFF99"/>
          <w:rtl/>
        </w:rPr>
        <w:t>מיום 31.12.2007</w:t>
      </w:r>
    </w:p>
    <w:p w14:paraId="421716FF"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0AD9FAEC"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3"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148</w:t>
      </w:r>
    </w:p>
    <w:p w14:paraId="677BF1BE"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החלפת תקנה 3</w:t>
      </w:r>
    </w:p>
    <w:p w14:paraId="18F60734" w14:textId="77777777" w:rsidR="004912C7" w:rsidRPr="001A6B1B" w:rsidRDefault="004912C7">
      <w:pPr>
        <w:pStyle w:val="P00"/>
        <w:ind w:left="0" w:right="1134"/>
        <w:rPr>
          <w:rStyle w:val="default"/>
          <w:rFonts w:cs="FrankRuehl" w:hint="cs"/>
          <w:vanish/>
          <w:sz w:val="20"/>
          <w:szCs w:val="20"/>
          <w:shd w:val="clear" w:color="auto" w:fill="FFFF99"/>
          <w:rtl/>
        </w:rPr>
      </w:pPr>
      <w:r w:rsidRPr="001A6B1B">
        <w:rPr>
          <w:rStyle w:val="default"/>
          <w:rFonts w:cs="FrankRuehl" w:hint="cs"/>
          <w:vanish/>
          <w:sz w:val="20"/>
          <w:szCs w:val="20"/>
          <w:shd w:val="clear" w:color="auto" w:fill="FFFF99"/>
          <w:rtl/>
        </w:rPr>
        <w:t>הנוסח הקודם:</w:t>
      </w:r>
    </w:p>
    <w:p w14:paraId="317F0F10" w14:textId="77777777" w:rsidR="004912C7" w:rsidRPr="001A6B1B" w:rsidRDefault="004912C7">
      <w:pPr>
        <w:pStyle w:val="P00"/>
        <w:spacing w:before="20"/>
        <w:ind w:left="0" w:right="1134"/>
        <w:rPr>
          <w:rStyle w:val="big-number"/>
          <w:rFonts w:cs="Miriam" w:hint="cs"/>
          <w:strike/>
          <w:vanish/>
          <w:sz w:val="16"/>
          <w:szCs w:val="16"/>
          <w:shd w:val="clear" w:color="auto" w:fill="FFFF99"/>
          <w:rtl/>
        </w:rPr>
      </w:pPr>
      <w:r w:rsidRPr="001A6B1B">
        <w:rPr>
          <w:rStyle w:val="big-number"/>
          <w:rFonts w:cs="Miriam" w:hint="cs"/>
          <w:strike/>
          <w:vanish/>
          <w:sz w:val="16"/>
          <w:szCs w:val="16"/>
          <w:shd w:val="clear" w:color="auto" w:fill="FFFF99"/>
          <w:rtl/>
        </w:rPr>
        <w:t>הגבלה על קניה באשראי</w:t>
      </w:r>
    </w:p>
    <w:p w14:paraId="7271A2FD" w14:textId="77777777" w:rsidR="004912C7" w:rsidRPr="001A6B1B" w:rsidRDefault="004912C7">
      <w:pPr>
        <w:pStyle w:val="P00"/>
        <w:spacing w:before="0"/>
        <w:ind w:left="0" w:right="1134"/>
        <w:rPr>
          <w:rStyle w:val="default"/>
          <w:rFonts w:cs="FrankRuehl" w:hint="cs"/>
          <w:strike/>
          <w:vanish/>
          <w:sz w:val="22"/>
          <w:szCs w:val="22"/>
          <w:shd w:val="clear" w:color="auto" w:fill="FFFF99"/>
          <w:rtl/>
        </w:rPr>
      </w:pPr>
      <w:r w:rsidRPr="001A6B1B">
        <w:rPr>
          <w:rStyle w:val="big-number"/>
          <w:rFonts w:cs="FrankRuehl" w:hint="cs"/>
          <w:strike/>
          <w:vanish/>
          <w:sz w:val="22"/>
          <w:szCs w:val="22"/>
          <w:shd w:val="clear" w:color="auto" w:fill="FFFF99"/>
          <w:rtl/>
        </w:rPr>
        <w:t>3</w:t>
      </w:r>
      <w:r w:rsidRPr="001A6B1B">
        <w:rPr>
          <w:rStyle w:val="big-number"/>
          <w:rFonts w:cs="FrankRuehl"/>
          <w:strike/>
          <w:vanish/>
          <w:sz w:val="22"/>
          <w:szCs w:val="22"/>
          <w:shd w:val="clear" w:color="auto" w:fill="FFFF99"/>
          <w:rtl/>
        </w:rPr>
        <w:t>.</w:t>
      </w:r>
      <w:r w:rsidRPr="001A6B1B">
        <w:rPr>
          <w:rStyle w:val="big-number"/>
          <w:rFonts w:cs="FrankRuehl"/>
          <w:strike/>
          <w:vanish/>
          <w:sz w:val="22"/>
          <w:szCs w:val="22"/>
          <w:shd w:val="clear" w:color="auto" w:fill="FFFF99"/>
          <w:rtl/>
        </w:rPr>
        <w:tab/>
      </w:r>
      <w:r w:rsidRPr="001A6B1B">
        <w:rPr>
          <w:rStyle w:val="default"/>
          <w:rFonts w:cs="FrankRuehl"/>
          <w:strike/>
          <w:vanish/>
          <w:sz w:val="22"/>
          <w:szCs w:val="22"/>
          <w:shd w:val="clear" w:color="auto" w:fill="FFFF99"/>
          <w:rtl/>
        </w:rPr>
        <w:t>(א)</w:t>
      </w:r>
      <w:r w:rsidRPr="001A6B1B">
        <w:rPr>
          <w:rStyle w:val="default"/>
          <w:rFonts w:cs="FrankRuehl" w:hint="cs"/>
          <w:strike/>
          <w:vanish/>
          <w:sz w:val="22"/>
          <w:szCs w:val="22"/>
          <w:shd w:val="clear" w:color="auto" w:fill="FFFF99"/>
          <w:rtl/>
        </w:rPr>
        <w:tab/>
        <w:t xml:space="preserve">סך כל סכומי האשראי בקרן, בניכוי סכומי המזומנים והפיקדונות שבנכסי הקרן, לא יעלה, בכל עת, על סך כל התמורות ממכירה באשראי הצפויות להתקבל בחשבון הקרן בתוך שלושה ימי מסחר; לענין זה, "פיקדונות"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למעט פיקדונות לזמן קצוב.</w:t>
      </w:r>
    </w:p>
    <w:p w14:paraId="0C86BD5F" w14:textId="77777777" w:rsidR="004912C7" w:rsidRPr="001A6B1B" w:rsidRDefault="004912C7">
      <w:pPr>
        <w:pStyle w:val="P00"/>
        <w:spacing w:before="0"/>
        <w:ind w:left="0" w:right="1134"/>
        <w:rPr>
          <w:rStyle w:val="default"/>
          <w:rFonts w:cs="FrankRuehl" w:hint="cs"/>
          <w:strike/>
          <w:vanish/>
          <w:sz w:val="22"/>
          <w:szCs w:val="22"/>
          <w:shd w:val="clear" w:color="auto" w:fill="FFFF99"/>
          <w:rtl/>
        </w:rPr>
      </w:pPr>
      <w:r w:rsidRPr="001A6B1B">
        <w:rPr>
          <w:rStyle w:val="default"/>
          <w:rFonts w:cs="FrankRuehl" w:hint="cs"/>
          <w:vanish/>
          <w:sz w:val="22"/>
          <w:szCs w:val="22"/>
          <w:shd w:val="clear" w:color="auto" w:fill="FFFF99"/>
          <w:rtl/>
        </w:rPr>
        <w:tab/>
      </w:r>
      <w:r w:rsidRPr="001A6B1B">
        <w:rPr>
          <w:rStyle w:val="default"/>
          <w:rFonts w:cs="FrankRuehl" w:hint="cs"/>
          <w:strike/>
          <w:vanish/>
          <w:sz w:val="22"/>
          <w:szCs w:val="22"/>
          <w:shd w:val="clear" w:color="auto" w:fill="FFFF99"/>
          <w:rtl/>
        </w:rPr>
        <w:t>(ב)</w:t>
      </w:r>
      <w:r w:rsidRPr="001A6B1B">
        <w:rPr>
          <w:rStyle w:val="default"/>
          <w:rFonts w:cs="FrankRuehl" w:hint="cs"/>
          <w:strike/>
          <w:vanish/>
          <w:sz w:val="22"/>
          <w:szCs w:val="22"/>
          <w:shd w:val="clear" w:color="auto" w:fill="FFFF99"/>
          <w:rtl/>
        </w:rPr>
        <w:tab/>
        <w:t xml:space="preserve">עלה סך כל סכומי האשראי בקרן, בניכוי סכומי המזומנים והפיקדונות כאמור, על כך כל התמורות כאמור בתקנת משנה (א) (להלן </w:t>
      </w:r>
      <w:r w:rsidRPr="001A6B1B">
        <w:rPr>
          <w:rStyle w:val="default"/>
          <w:rFonts w:cs="FrankRuehl"/>
          <w:strike/>
          <w:vanish/>
          <w:sz w:val="22"/>
          <w:szCs w:val="22"/>
          <w:shd w:val="clear" w:color="auto" w:fill="FFFF99"/>
          <w:rtl/>
        </w:rPr>
        <w:t>–</w:t>
      </w:r>
      <w:r w:rsidRPr="001A6B1B">
        <w:rPr>
          <w:rStyle w:val="default"/>
          <w:rFonts w:cs="FrankRuehl" w:hint="cs"/>
          <w:strike/>
          <w:vanish/>
          <w:sz w:val="22"/>
          <w:szCs w:val="22"/>
          <w:shd w:val="clear" w:color="auto" w:fill="FFFF99"/>
          <w:rtl/>
        </w:rPr>
        <w:t xml:space="preserve"> חריגה באשראי), לא יראו בכך הפרת הוראות תקנת משנה (א) אם נתקיימו שני אלה:</w:t>
      </w:r>
    </w:p>
    <w:p w14:paraId="281BA9EC" w14:textId="77777777" w:rsidR="004912C7" w:rsidRPr="001A6B1B" w:rsidRDefault="004912C7">
      <w:pPr>
        <w:pStyle w:val="P00"/>
        <w:spacing w:before="0"/>
        <w:ind w:left="1021" w:right="1134"/>
        <w:rPr>
          <w:rStyle w:val="default"/>
          <w:rFonts w:cs="FrankRuehl" w:hint="cs"/>
          <w:strike/>
          <w:vanish/>
          <w:sz w:val="22"/>
          <w:szCs w:val="22"/>
          <w:shd w:val="clear" w:color="auto" w:fill="FFFF99"/>
          <w:rtl/>
        </w:rPr>
      </w:pPr>
      <w:r w:rsidRPr="001A6B1B">
        <w:rPr>
          <w:rStyle w:val="default"/>
          <w:rFonts w:cs="FrankRuehl" w:hint="cs"/>
          <w:strike/>
          <w:vanish/>
          <w:sz w:val="22"/>
          <w:szCs w:val="22"/>
          <w:shd w:val="clear" w:color="auto" w:fill="FFFF99"/>
          <w:rtl/>
        </w:rPr>
        <w:t>(1)</w:t>
      </w:r>
      <w:r w:rsidRPr="001A6B1B">
        <w:rPr>
          <w:rStyle w:val="default"/>
          <w:rFonts w:cs="FrankRuehl" w:hint="cs"/>
          <w:strike/>
          <w:vanish/>
          <w:sz w:val="22"/>
          <w:szCs w:val="22"/>
          <w:shd w:val="clear" w:color="auto" w:fill="FFFF99"/>
          <w:rtl/>
        </w:rPr>
        <w:tab/>
        <w:t>החריגה באשראי נסתיימה עד תום יום חישוב המחירים השני לאחר שהחלה;</w:t>
      </w:r>
    </w:p>
    <w:p w14:paraId="4852965B" w14:textId="77777777" w:rsidR="004912C7" w:rsidRDefault="004912C7">
      <w:pPr>
        <w:pStyle w:val="P00"/>
        <w:spacing w:before="0"/>
        <w:ind w:left="1021" w:right="1134"/>
        <w:rPr>
          <w:rStyle w:val="default"/>
          <w:rFonts w:cs="FrankRuehl" w:hint="cs"/>
          <w:sz w:val="2"/>
          <w:szCs w:val="2"/>
          <w:rtl/>
        </w:rPr>
      </w:pPr>
      <w:r w:rsidRPr="001A6B1B">
        <w:rPr>
          <w:rStyle w:val="default"/>
          <w:rFonts w:cs="FrankRuehl" w:hint="cs"/>
          <w:strike/>
          <w:vanish/>
          <w:sz w:val="22"/>
          <w:szCs w:val="22"/>
          <w:shd w:val="clear" w:color="auto" w:fill="FFFF99"/>
          <w:rtl/>
        </w:rPr>
        <w:t>(2)</w:t>
      </w:r>
      <w:r w:rsidRPr="001A6B1B">
        <w:rPr>
          <w:rStyle w:val="default"/>
          <w:rFonts w:cs="FrankRuehl" w:hint="cs"/>
          <w:strike/>
          <w:vanish/>
          <w:sz w:val="22"/>
          <w:szCs w:val="22"/>
          <w:shd w:val="clear" w:color="auto" w:fill="FFFF99"/>
          <w:rtl/>
        </w:rPr>
        <w:tab/>
        <w:t>חריגה באשראי קרתה בקרן לא יותר מחמש פעמים בתקופה של שנים עשר החודשים האחרונים.</w:t>
      </w:r>
      <w:bookmarkEnd w:id="18"/>
    </w:p>
    <w:p w14:paraId="235EEFCF" w14:textId="77777777" w:rsidR="004912C7" w:rsidRDefault="004912C7">
      <w:pPr>
        <w:pStyle w:val="P00"/>
        <w:spacing w:before="72"/>
        <w:ind w:left="0" w:right="1134"/>
        <w:rPr>
          <w:rStyle w:val="default"/>
          <w:rFonts w:cs="FrankRuehl" w:hint="cs"/>
          <w:rtl/>
        </w:rPr>
      </w:pPr>
      <w:bookmarkStart w:id="19" w:name="Seif4"/>
      <w:bookmarkEnd w:id="19"/>
      <w:r>
        <w:rPr>
          <w:rFonts w:cs="Miriam"/>
          <w:lang w:val="he-IL"/>
        </w:rPr>
        <w:pict w14:anchorId="43FDBC8D">
          <v:rect id="_x0000_s1354" style="position:absolute;left:0;text-align:left;margin-left:464.35pt;margin-top:7.1pt;width:75.05pt;height:31.95pt;z-index:251664896" filled="f" stroked="f" strokecolor="lime" strokeweight=".25pt">
            <v:textbox style="mso-next-textbox:#_x0000_s1354" inset="0,0,0,0">
              <w:txbxContent>
                <w:p w14:paraId="2AA9DD37" w14:textId="77777777" w:rsidR="004912C7" w:rsidRDefault="004912C7">
                  <w:pPr>
                    <w:spacing w:line="160" w:lineRule="exact"/>
                    <w:rPr>
                      <w:rFonts w:cs="Miriam" w:hint="cs"/>
                      <w:sz w:val="18"/>
                      <w:szCs w:val="18"/>
                      <w:rtl/>
                    </w:rPr>
                  </w:pPr>
                  <w:r>
                    <w:rPr>
                      <w:rFonts w:cs="Miriam" w:hint="cs"/>
                      <w:sz w:val="18"/>
                      <w:szCs w:val="18"/>
                      <w:rtl/>
                    </w:rPr>
                    <w:t>עסקת מכר חוזר</w:t>
                  </w:r>
                </w:p>
                <w:p w14:paraId="51985CC6"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t>מנהל קרן רשאי לקנות או למכור נכס באשראי במסגרת עסקת מכר חוזר.</w:t>
      </w:r>
    </w:p>
    <w:p w14:paraId="0C22AE5F"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20" w:name="Rov17"/>
      <w:r w:rsidRPr="001A6B1B">
        <w:rPr>
          <w:rStyle w:val="default"/>
          <w:rFonts w:cs="FrankRuehl" w:hint="cs"/>
          <w:vanish/>
          <w:color w:val="FF0000"/>
          <w:sz w:val="20"/>
          <w:szCs w:val="20"/>
          <w:shd w:val="clear" w:color="auto" w:fill="FFFF99"/>
          <w:rtl/>
        </w:rPr>
        <w:t>מיום 31.12.2007</w:t>
      </w:r>
    </w:p>
    <w:p w14:paraId="298821A5"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667F7415"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4"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149</w:t>
      </w:r>
    </w:p>
    <w:p w14:paraId="42952BDC"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תקנה 3א</w:t>
      </w:r>
      <w:bookmarkEnd w:id="20"/>
    </w:p>
    <w:p w14:paraId="6FC075C7" w14:textId="77777777" w:rsidR="004912C7" w:rsidRDefault="004912C7">
      <w:pPr>
        <w:pStyle w:val="P00"/>
        <w:spacing w:before="72"/>
        <w:ind w:left="0" w:right="1134"/>
        <w:rPr>
          <w:rStyle w:val="default"/>
          <w:rFonts w:cs="FrankRuehl" w:hint="cs"/>
          <w:rtl/>
        </w:rPr>
      </w:pPr>
      <w:bookmarkStart w:id="21" w:name="Seif3"/>
      <w:bookmarkEnd w:id="21"/>
      <w:r>
        <w:rPr>
          <w:rFonts w:cs="Miriam"/>
          <w:lang w:val="he-IL"/>
        </w:rPr>
        <w:pict w14:anchorId="783743FD">
          <v:rect id="_x0000_s1256" style="position:absolute;left:0;text-align:left;margin-left:464.35pt;margin-top:7.1pt;width:75.05pt;height:16.95pt;z-index:251651584" o:allowincell="f" filled="f" stroked="f" strokecolor="lime" strokeweight=".25pt">
            <v:textbox style="mso-next-textbox:#_x0000_s1256" inset="0,0,0,0">
              <w:txbxContent>
                <w:p w14:paraId="79C745A8" w14:textId="77777777" w:rsidR="004912C7" w:rsidRDefault="004912C7">
                  <w:pPr>
                    <w:pStyle w:val="a7"/>
                    <w:rPr>
                      <w:rFonts w:hint="cs"/>
                      <w:noProof/>
                      <w:rtl/>
                    </w:rPr>
                  </w:pPr>
                  <w:r>
                    <w:rPr>
                      <w:rFonts w:hint="cs"/>
                      <w:rtl/>
                    </w:rPr>
                    <w:t>מועד הרישום בספרי הקרן</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קנה מנהל קרן או מכר נכס באשראי, ייתוסף הנכס לנכסי הקרן, או ייגרע מהם, במועד הקניה או במועד המכירה, לפי הענין.</w:t>
      </w:r>
    </w:p>
    <w:p w14:paraId="457351D9" w14:textId="77777777" w:rsidR="004912C7" w:rsidRDefault="004912C7">
      <w:pPr>
        <w:pStyle w:val="P00"/>
        <w:spacing w:before="72"/>
        <w:ind w:left="0" w:right="1134"/>
        <w:rPr>
          <w:rStyle w:val="default"/>
          <w:rFonts w:cs="FrankRuehl" w:hint="cs"/>
          <w:rtl/>
        </w:rPr>
      </w:pPr>
      <w:bookmarkStart w:id="22" w:name="Seif5"/>
      <w:bookmarkEnd w:id="22"/>
      <w:r>
        <w:rPr>
          <w:rFonts w:cs="Miriam"/>
          <w:lang w:val="he-IL"/>
        </w:rPr>
        <w:pict w14:anchorId="7B3827C9">
          <v:rect id="_x0000_s1355" style="position:absolute;left:0;text-align:left;margin-left:464.35pt;margin-top:7.1pt;width:75.05pt;height:29.1pt;z-index:251665920" filled="f" stroked="f" strokecolor="lime" strokeweight=".25pt">
            <v:textbox style="mso-next-textbox:#_x0000_s1355" inset="0,0,0,0">
              <w:txbxContent>
                <w:p w14:paraId="5A026A5E" w14:textId="77777777" w:rsidR="004912C7" w:rsidRDefault="004912C7">
                  <w:pPr>
                    <w:spacing w:line="160" w:lineRule="exact"/>
                    <w:rPr>
                      <w:rFonts w:cs="Miriam" w:hint="cs"/>
                      <w:sz w:val="18"/>
                      <w:szCs w:val="18"/>
                      <w:rtl/>
                    </w:rPr>
                  </w:pPr>
                  <w:r>
                    <w:rPr>
                      <w:rFonts w:cs="Miriam" w:hint="cs"/>
                      <w:sz w:val="18"/>
                      <w:szCs w:val="18"/>
                      <w:rtl/>
                    </w:rPr>
                    <w:t>הגבלה על קניית נכס בעד הקרן</w:t>
                  </w:r>
                </w:p>
                <w:p w14:paraId="29B7724A" w14:textId="77777777" w:rsidR="004912C7" w:rsidRDefault="004912C7">
                  <w:pPr>
                    <w:spacing w:line="160" w:lineRule="exact"/>
                    <w:rPr>
                      <w:rFonts w:cs="Miriam" w:hint="cs"/>
                      <w:noProof/>
                      <w:sz w:val="18"/>
                      <w:szCs w:val="18"/>
                      <w:rtl/>
                    </w:rPr>
                  </w:pPr>
                  <w:r>
                    <w:rPr>
                      <w:rFonts w:cs="Miriam" w:hint="cs"/>
                      <w:sz w:val="18"/>
                      <w:szCs w:val="18"/>
                      <w:rtl/>
                    </w:rPr>
                    <w:t>תק' תשס"ח-2007</w:t>
                  </w:r>
                </w:p>
              </w:txbxContent>
            </v:textbox>
            <w10:anchorlock/>
          </v:rect>
        </w:pict>
      </w:r>
      <w:r>
        <w:rPr>
          <w:rStyle w:val="big-number"/>
          <w:rFonts w:cs="Miriam" w:hint="cs"/>
          <w:rtl/>
        </w:rPr>
        <w:t>5</w:t>
      </w:r>
      <w:r>
        <w:rPr>
          <w:rStyle w:val="default"/>
          <w:rFonts w:cs="FrankRuehl"/>
          <w:rtl/>
        </w:rPr>
        <w:t>.</w:t>
      </w:r>
      <w:r>
        <w:rPr>
          <w:rStyle w:val="default"/>
          <w:rFonts w:cs="FrankRuehl"/>
          <w:rtl/>
        </w:rPr>
        <w:tab/>
        <w:t>לא יקנה מנהל קרן נכס בעד הקרן, אם לאחר הקנייה יעלה מנוף</w:t>
      </w:r>
      <w:r>
        <w:rPr>
          <w:rStyle w:val="default"/>
          <w:rFonts w:cs="FrankRuehl" w:hint="cs"/>
          <w:rtl/>
        </w:rPr>
        <w:t xml:space="preserve"> </w:t>
      </w:r>
      <w:r>
        <w:rPr>
          <w:rStyle w:val="default"/>
          <w:rFonts w:cs="FrankRuehl"/>
          <w:rtl/>
        </w:rPr>
        <w:t>האשראי של הקרן על עשרים אחוזים מהשווי הנקי של נכסי הקרן, ובקרן ממונפת – על ארבעים אחוזים מהשווי האמור.</w:t>
      </w:r>
    </w:p>
    <w:p w14:paraId="7417C3BA" w14:textId="77777777" w:rsidR="004912C7" w:rsidRPr="001A6B1B" w:rsidRDefault="004912C7">
      <w:pPr>
        <w:pStyle w:val="P00"/>
        <w:spacing w:before="0"/>
        <w:ind w:left="0" w:right="1134"/>
        <w:rPr>
          <w:rStyle w:val="default"/>
          <w:rFonts w:cs="FrankRuehl" w:hint="cs"/>
          <w:vanish/>
          <w:color w:val="FF0000"/>
          <w:sz w:val="20"/>
          <w:szCs w:val="20"/>
          <w:shd w:val="clear" w:color="auto" w:fill="FFFF99"/>
          <w:rtl/>
        </w:rPr>
      </w:pPr>
      <w:bookmarkStart w:id="23" w:name="Rov18"/>
      <w:r w:rsidRPr="001A6B1B">
        <w:rPr>
          <w:rStyle w:val="default"/>
          <w:rFonts w:cs="FrankRuehl" w:hint="cs"/>
          <w:vanish/>
          <w:color w:val="FF0000"/>
          <w:sz w:val="20"/>
          <w:szCs w:val="20"/>
          <w:shd w:val="clear" w:color="auto" w:fill="FFFF99"/>
          <w:rtl/>
        </w:rPr>
        <w:t>מיום 31.12.2007</w:t>
      </w:r>
    </w:p>
    <w:p w14:paraId="4EBCA4DD" w14:textId="77777777" w:rsidR="004912C7" w:rsidRPr="001A6B1B" w:rsidRDefault="004912C7">
      <w:pPr>
        <w:pStyle w:val="P00"/>
        <w:spacing w:before="0"/>
        <w:ind w:left="0" w:right="1134"/>
        <w:rPr>
          <w:rStyle w:val="default"/>
          <w:rFonts w:cs="FrankRuehl" w:hint="cs"/>
          <w:vanish/>
          <w:sz w:val="20"/>
          <w:szCs w:val="20"/>
          <w:shd w:val="clear" w:color="auto" w:fill="FFFF99"/>
          <w:rtl/>
        </w:rPr>
      </w:pPr>
      <w:r w:rsidRPr="001A6B1B">
        <w:rPr>
          <w:rStyle w:val="default"/>
          <w:rFonts w:cs="FrankRuehl" w:hint="cs"/>
          <w:b/>
          <w:bCs/>
          <w:vanish/>
          <w:sz w:val="20"/>
          <w:szCs w:val="20"/>
          <w:shd w:val="clear" w:color="auto" w:fill="FFFF99"/>
          <w:rtl/>
        </w:rPr>
        <w:t>תק' תשס"ח-2007</w:t>
      </w:r>
    </w:p>
    <w:p w14:paraId="360D9A83" w14:textId="77777777" w:rsidR="004912C7" w:rsidRPr="001A6B1B" w:rsidRDefault="004912C7">
      <w:pPr>
        <w:pStyle w:val="P00"/>
        <w:spacing w:before="0"/>
        <w:ind w:left="0" w:right="1134"/>
        <w:rPr>
          <w:rStyle w:val="default"/>
          <w:rFonts w:cs="FrankRuehl" w:hint="cs"/>
          <w:vanish/>
          <w:sz w:val="20"/>
          <w:szCs w:val="20"/>
          <w:shd w:val="clear" w:color="auto" w:fill="FFFF99"/>
          <w:rtl/>
        </w:rPr>
      </w:pPr>
      <w:hyperlink r:id="rId25" w:history="1">
        <w:r w:rsidRPr="001A6B1B">
          <w:rPr>
            <w:rStyle w:val="Hyperlink"/>
            <w:rFonts w:cs="FrankRuehl" w:hint="cs"/>
            <w:vanish/>
            <w:szCs w:val="20"/>
            <w:shd w:val="clear" w:color="auto" w:fill="FFFF99"/>
            <w:rtl/>
          </w:rPr>
          <w:t>ק"ת תשס"ח מס' 6625</w:t>
        </w:r>
      </w:hyperlink>
      <w:r w:rsidRPr="001A6B1B">
        <w:rPr>
          <w:rStyle w:val="default"/>
          <w:rFonts w:cs="FrankRuehl" w:hint="cs"/>
          <w:vanish/>
          <w:sz w:val="20"/>
          <w:szCs w:val="20"/>
          <w:shd w:val="clear" w:color="auto" w:fill="FFFF99"/>
          <w:rtl/>
        </w:rPr>
        <w:t xml:space="preserve"> מיום 28.11.2007 עמ' 149</w:t>
      </w:r>
    </w:p>
    <w:p w14:paraId="42ED6077" w14:textId="77777777" w:rsidR="004912C7" w:rsidRDefault="004912C7">
      <w:pPr>
        <w:pStyle w:val="P00"/>
        <w:spacing w:before="0"/>
        <w:ind w:left="0" w:right="1134"/>
        <w:rPr>
          <w:rStyle w:val="default"/>
          <w:rFonts w:cs="FrankRuehl" w:hint="cs"/>
          <w:sz w:val="2"/>
          <w:szCs w:val="2"/>
          <w:shd w:val="clear" w:color="auto" w:fill="FFFF99"/>
          <w:rtl/>
        </w:rPr>
      </w:pPr>
      <w:r w:rsidRPr="001A6B1B">
        <w:rPr>
          <w:rStyle w:val="default"/>
          <w:rFonts w:cs="FrankRuehl" w:hint="cs"/>
          <w:b/>
          <w:bCs/>
          <w:vanish/>
          <w:sz w:val="20"/>
          <w:szCs w:val="20"/>
          <w:shd w:val="clear" w:color="auto" w:fill="FFFF99"/>
          <w:rtl/>
        </w:rPr>
        <w:t>הוספת תקנה 5</w:t>
      </w:r>
      <w:bookmarkEnd w:id="23"/>
    </w:p>
    <w:p w14:paraId="279A9D02" w14:textId="77777777" w:rsidR="004912C7" w:rsidRDefault="004912C7">
      <w:pPr>
        <w:pStyle w:val="P00"/>
        <w:spacing w:before="72"/>
        <w:ind w:left="0" w:right="1134"/>
        <w:rPr>
          <w:rStyle w:val="default"/>
          <w:rFonts w:cs="FrankRuehl" w:hint="cs"/>
          <w:rtl/>
        </w:rPr>
      </w:pPr>
    </w:p>
    <w:p w14:paraId="71861F27" w14:textId="77777777" w:rsidR="004912C7" w:rsidRDefault="004912C7">
      <w:pPr>
        <w:pStyle w:val="P00"/>
        <w:spacing w:before="72"/>
        <w:ind w:left="0" w:right="1134"/>
        <w:rPr>
          <w:rStyle w:val="default"/>
          <w:rFonts w:cs="FrankRuehl" w:hint="cs"/>
          <w:rtl/>
        </w:rPr>
      </w:pPr>
    </w:p>
    <w:p w14:paraId="41661BAC" w14:textId="77777777" w:rsidR="004912C7" w:rsidRDefault="004912C7">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כ"א בטבת התשס"א (16 בינואר 2001)</w:t>
      </w:r>
      <w:r>
        <w:rPr>
          <w:rStyle w:val="default"/>
          <w:rFonts w:cs="FrankRuehl" w:hint="cs"/>
          <w:rtl/>
        </w:rPr>
        <w:tab/>
        <w:t>אברהם (בייגה) שוחט</w:t>
      </w:r>
    </w:p>
    <w:p w14:paraId="05405CBF" w14:textId="77777777" w:rsidR="004912C7" w:rsidRDefault="004912C7">
      <w:pPr>
        <w:pStyle w:val="sig-0"/>
        <w:tabs>
          <w:tab w:val="clear" w:pos="4820"/>
          <w:tab w:val="center" w:pos="5103"/>
        </w:tabs>
        <w:ind w:left="0" w:right="1134"/>
        <w:rPr>
          <w:rFonts w:cs="FrankRuehl" w:hint="cs"/>
          <w:sz w:val="22"/>
          <w:szCs w:val="22"/>
          <w:rtl/>
        </w:rPr>
      </w:pPr>
      <w:r>
        <w:rPr>
          <w:rFonts w:cs="FrankRuehl" w:hint="cs"/>
          <w:sz w:val="22"/>
          <w:szCs w:val="22"/>
          <w:rtl/>
        </w:rPr>
        <w:tab/>
        <w:t>שר האוצר</w:t>
      </w:r>
    </w:p>
    <w:p w14:paraId="1132B4E6" w14:textId="77777777" w:rsidR="004912C7" w:rsidRDefault="004912C7">
      <w:pPr>
        <w:pStyle w:val="sig-0"/>
        <w:tabs>
          <w:tab w:val="clear" w:pos="4820"/>
          <w:tab w:val="center" w:pos="5670"/>
        </w:tabs>
        <w:ind w:left="0" w:right="1134"/>
        <w:rPr>
          <w:rFonts w:cs="FrankRuehl" w:hint="cs"/>
          <w:sz w:val="26"/>
          <w:rtl/>
        </w:rPr>
      </w:pPr>
    </w:p>
    <w:p w14:paraId="6152A728" w14:textId="77777777" w:rsidR="004912C7" w:rsidRDefault="004912C7">
      <w:pPr>
        <w:pStyle w:val="sig-0"/>
        <w:tabs>
          <w:tab w:val="clear" w:pos="4820"/>
          <w:tab w:val="center" w:pos="5670"/>
        </w:tabs>
        <w:ind w:left="0" w:right="1134"/>
        <w:rPr>
          <w:rFonts w:cs="FrankRuehl" w:hint="cs"/>
          <w:sz w:val="26"/>
          <w:rtl/>
        </w:rPr>
      </w:pPr>
    </w:p>
    <w:p w14:paraId="3AE38DF0" w14:textId="77777777" w:rsidR="004912C7" w:rsidRDefault="004912C7">
      <w:pPr>
        <w:pStyle w:val="sig-0"/>
        <w:ind w:left="0" w:right="1134"/>
        <w:rPr>
          <w:rFonts w:cs="FrankRuehl"/>
          <w:sz w:val="26"/>
          <w:rtl/>
        </w:rPr>
      </w:pPr>
    </w:p>
    <w:sectPr w:rsidR="004912C7">
      <w:headerReference w:type="even" r:id="rId26"/>
      <w:headerReference w:type="default" r:id="rId27"/>
      <w:footerReference w:type="even" r:id="rId28"/>
      <w:footerReference w:type="default" r:id="rId2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5A0C" w14:textId="77777777" w:rsidR="000908BC" w:rsidRDefault="000908BC">
      <w:r>
        <w:separator/>
      </w:r>
    </w:p>
  </w:endnote>
  <w:endnote w:type="continuationSeparator" w:id="0">
    <w:p w14:paraId="2DF3EA94" w14:textId="77777777" w:rsidR="000908BC" w:rsidRDefault="0009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C81C" w14:textId="77777777" w:rsidR="004912C7" w:rsidRDefault="004912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E3A57B" w14:textId="77777777" w:rsidR="004912C7" w:rsidRDefault="004912C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5001DB" w14:textId="77777777" w:rsidR="004912C7" w:rsidRDefault="004912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\טבלה\999_856.</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5052" w14:textId="77777777" w:rsidR="004912C7" w:rsidRDefault="004912C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B3D24">
      <w:rPr>
        <w:rFonts w:hAnsi="FrankRuehl" w:cs="FrankRuehl"/>
        <w:noProof/>
        <w:sz w:val="24"/>
        <w:szCs w:val="24"/>
        <w:rtl/>
      </w:rPr>
      <w:t>3</w:t>
    </w:r>
    <w:r>
      <w:rPr>
        <w:rFonts w:hAnsi="FrankRuehl" w:cs="FrankRuehl"/>
        <w:sz w:val="24"/>
        <w:szCs w:val="24"/>
        <w:rtl/>
      </w:rPr>
      <w:fldChar w:fldCharType="end"/>
    </w:r>
  </w:p>
  <w:p w14:paraId="50A44490" w14:textId="77777777" w:rsidR="004912C7" w:rsidRDefault="004912C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E71BEF" w14:textId="77777777" w:rsidR="004912C7" w:rsidRDefault="004912C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Z:\000000000000-law\yael\07-12-04</w:t>
    </w:r>
    <w:r>
      <w:rPr>
        <w:rFonts w:cs="TopType Jerushalmi"/>
        <w:color w:val="000000"/>
        <w:sz w:val="14"/>
        <w:szCs w:val="14"/>
        <w:rtl/>
      </w:rPr>
      <w:t>\טבלה\999_856.</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32FF" w14:textId="77777777" w:rsidR="000908BC" w:rsidRDefault="000908BC">
      <w:pPr>
        <w:pStyle w:val="a5"/>
        <w:rPr>
          <w:rFonts w:cs="David"/>
          <w:sz w:val="24"/>
          <w:szCs w:val="24"/>
        </w:rPr>
      </w:pPr>
      <w:r>
        <w:separator/>
      </w:r>
    </w:p>
  </w:footnote>
  <w:footnote w:type="continuationSeparator" w:id="0">
    <w:p w14:paraId="4B938E64" w14:textId="77777777" w:rsidR="000908BC" w:rsidRDefault="000908BC">
      <w:r>
        <w:continuationSeparator/>
      </w:r>
    </w:p>
  </w:footnote>
  <w:footnote w:id="1">
    <w:p w14:paraId="3DC65D88" w14:textId="77777777" w:rsidR="004912C7" w:rsidRDefault="00491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תשס"א מס' 6084</w:t>
        </w:r>
      </w:hyperlink>
      <w:r>
        <w:rPr>
          <w:rFonts w:cs="FrankRuehl" w:hint="cs"/>
          <w:rtl/>
        </w:rPr>
        <w:t xml:space="preserve"> מיום 1.2.2001 עמ' 388.</w:t>
      </w:r>
    </w:p>
    <w:p w14:paraId="7DFF0DE8" w14:textId="77777777" w:rsidR="004912C7" w:rsidRDefault="004912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Pr>
            <w:rStyle w:val="Hyperlink"/>
            <w:rFonts w:cs="FrankRuehl" w:hint="cs"/>
            <w:rtl/>
          </w:rPr>
          <w:t>ק"ת תשס"ח מס' 6625</w:t>
        </w:r>
      </w:hyperlink>
      <w:r>
        <w:rPr>
          <w:rFonts w:cs="FrankRuehl" w:hint="cs"/>
          <w:rtl/>
        </w:rPr>
        <w:t xml:space="preserve"> מיום 28.11.2007 עמ' 147 </w:t>
      </w:r>
      <w:r>
        <w:rPr>
          <w:rFonts w:cs="FrankRuehl"/>
          <w:rtl/>
        </w:rPr>
        <w:t>–</w:t>
      </w:r>
      <w:r>
        <w:rPr>
          <w:rFonts w:cs="FrankRuehl" w:hint="cs"/>
          <w:rtl/>
        </w:rPr>
        <w:t xml:space="preserve"> תק' תשס"ח-2007; תחילתן ביום 31.12.2007.</w:t>
      </w:r>
    </w:p>
    <w:p w14:paraId="3CC585E0" w14:textId="77777777" w:rsidR="003B3D24" w:rsidRDefault="003B3D24" w:rsidP="003B3D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292352" w:rsidRPr="003B3D24">
          <w:rPr>
            <w:rStyle w:val="Hyperlink"/>
            <w:rFonts w:cs="FrankRuehl" w:hint="cs"/>
            <w:rtl/>
          </w:rPr>
          <w:t>ק"ת תשע"ח מס' 8038</w:t>
        </w:r>
      </w:hyperlink>
      <w:r w:rsidR="00292352">
        <w:rPr>
          <w:rFonts w:cs="FrankRuehl" w:hint="cs"/>
          <w:rtl/>
        </w:rPr>
        <w:t xml:space="preserve"> מיום 12.7.2018 עמ' 2411 </w:t>
      </w:r>
      <w:r w:rsidR="00292352">
        <w:rPr>
          <w:rFonts w:cs="FrankRuehl"/>
          <w:rtl/>
        </w:rPr>
        <w:t>–</w:t>
      </w:r>
      <w:r w:rsidR="00292352">
        <w:rPr>
          <w:rFonts w:cs="FrankRuehl" w:hint="cs"/>
          <w:rtl/>
        </w:rPr>
        <w:t xml:space="preserve"> תק' תשע"ח-2018; תחילתן ביום 3.10.2018.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F9246" w14:textId="77777777" w:rsidR="004912C7" w:rsidRDefault="004912C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86B63AB" w14:textId="77777777" w:rsidR="004912C7" w:rsidRDefault="004912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ADB6D11" w14:textId="77777777" w:rsidR="004912C7" w:rsidRDefault="004912C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59B6" w14:textId="77777777" w:rsidR="004912C7" w:rsidRDefault="004912C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השקעות משותפות בנאמנות (עסקאות באשראי ופדיון יחידות באשראי), </w:t>
    </w:r>
    <w:r>
      <w:rPr>
        <w:rFonts w:hAnsi="FrankRuehl" w:cs="FrankRuehl"/>
        <w:color w:val="000000"/>
        <w:sz w:val="28"/>
        <w:szCs w:val="28"/>
        <w:rtl/>
      </w:rPr>
      <w:br/>
    </w:r>
    <w:r>
      <w:rPr>
        <w:rFonts w:hAnsi="FrankRuehl" w:cs="FrankRuehl" w:hint="cs"/>
        <w:color w:val="000000"/>
        <w:sz w:val="28"/>
        <w:szCs w:val="28"/>
        <w:rtl/>
      </w:rPr>
      <w:t>תשס"א-2001</w:t>
    </w:r>
  </w:p>
  <w:p w14:paraId="73F855DC" w14:textId="77777777" w:rsidR="004912C7" w:rsidRDefault="004912C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02C259" w14:textId="77777777" w:rsidR="004912C7" w:rsidRDefault="004912C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2661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463B"/>
    <w:rsid w:val="000908BC"/>
    <w:rsid w:val="001A6B1B"/>
    <w:rsid w:val="0021297E"/>
    <w:rsid w:val="00292352"/>
    <w:rsid w:val="002B661A"/>
    <w:rsid w:val="003B3D24"/>
    <w:rsid w:val="00407292"/>
    <w:rsid w:val="004912C7"/>
    <w:rsid w:val="006A2BBB"/>
    <w:rsid w:val="009E4938"/>
    <w:rsid w:val="00AB7B61"/>
    <w:rsid w:val="00B749D0"/>
    <w:rsid w:val="00BF0D64"/>
    <w:rsid w:val="00D23F94"/>
    <w:rsid w:val="00DF00DD"/>
    <w:rsid w:val="00E02DDD"/>
    <w:rsid w:val="00E0463B"/>
    <w:rsid w:val="00FA56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E9B6699"/>
  <w15:chartTrackingRefBased/>
  <w15:docId w15:val="{3AC7F262-668A-4B39-8494-41F66BB4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25.pdf" TargetMode="External"/><Relationship Id="rId13" Type="http://schemas.openxmlformats.org/officeDocument/2006/relationships/hyperlink" Target="http://www.nevo.co.il/Law_word/law06/TAK-6625.pdf" TargetMode="External"/><Relationship Id="rId18" Type="http://schemas.openxmlformats.org/officeDocument/2006/relationships/hyperlink" Target="http://www.nevo.co.il/Law_word/law06/TAK-6625.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Law_word/law06/TAK-6625.pdf" TargetMode="External"/><Relationship Id="rId7" Type="http://schemas.openxmlformats.org/officeDocument/2006/relationships/hyperlink" Target="http://www.nevo.co.il/Law_word/law06/TAK-6625.pdf" TargetMode="External"/><Relationship Id="rId12" Type="http://schemas.openxmlformats.org/officeDocument/2006/relationships/hyperlink" Target="http://www.nevo.co.il/Law_word/law06/tak-8038.pdf" TargetMode="External"/><Relationship Id="rId17" Type="http://schemas.openxmlformats.org/officeDocument/2006/relationships/hyperlink" Target="http://www.nevo.co.il/Law_word/law06/TAK-6625.pdf" TargetMode="External"/><Relationship Id="rId25" Type="http://schemas.openxmlformats.org/officeDocument/2006/relationships/hyperlink" Target="http://www.nevo.co.il/Law_word/law06/TAK-6625.pdf" TargetMode="External"/><Relationship Id="rId2" Type="http://schemas.openxmlformats.org/officeDocument/2006/relationships/styles" Target="styles.xml"/><Relationship Id="rId16" Type="http://schemas.openxmlformats.org/officeDocument/2006/relationships/hyperlink" Target="http://www.nevo.co.il/Law_word/law06/TAK-6625.pdf" TargetMode="External"/><Relationship Id="rId20" Type="http://schemas.openxmlformats.org/officeDocument/2006/relationships/hyperlink" Target="http://www.nevo.co.il/Law_word/law06/TAK-6625.pdf"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6625.pdf" TargetMode="External"/><Relationship Id="rId24" Type="http://schemas.openxmlformats.org/officeDocument/2006/relationships/hyperlink" Target="http://www.nevo.co.il/Law_word/law06/TAK-6625.pdf" TargetMode="External"/><Relationship Id="rId5" Type="http://schemas.openxmlformats.org/officeDocument/2006/relationships/footnotes" Target="footnotes.xml"/><Relationship Id="rId15" Type="http://schemas.openxmlformats.org/officeDocument/2006/relationships/hyperlink" Target="http://www.nevo.co.il/Law_word/law06/TAK-6625.pdf" TargetMode="External"/><Relationship Id="rId23" Type="http://schemas.openxmlformats.org/officeDocument/2006/relationships/hyperlink" Target="http://www.nevo.co.il/Law_word/law06/TAK-6625.pdf" TargetMode="External"/><Relationship Id="rId28" Type="http://schemas.openxmlformats.org/officeDocument/2006/relationships/footer" Target="footer1.xml"/><Relationship Id="rId10" Type="http://schemas.openxmlformats.org/officeDocument/2006/relationships/hyperlink" Target="http://www.nevo.co.il/Law_word/law06/TAK-6625.pdf" TargetMode="External"/><Relationship Id="rId19" Type="http://schemas.openxmlformats.org/officeDocument/2006/relationships/hyperlink" Target="http://www.nevo.co.il/Law_word/law06/tak-8038.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6625.pdf" TargetMode="External"/><Relationship Id="rId14" Type="http://schemas.openxmlformats.org/officeDocument/2006/relationships/hyperlink" Target="http://www.nevo.co.il/Law_word/law06/TAK-6625.pdf" TargetMode="External"/><Relationship Id="rId22" Type="http://schemas.openxmlformats.org/officeDocument/2006/relationships/hyperlink" Target="http://www.nevo.co.il/Law_word/law06/TAK-6625.pdf" TargetMode="External"/><Relationship Id="rId27" Type="http://schemas.openxmlformats.org/officeDocument/2006/relationships/header" Target="header2.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038.pdf" TargetMode="External"/><Relationship Id="rId2" Type="http://schemas.openxmlformats.org/officeDocument/2006/relationships/hyperlink" Target="http://web1.nevo.co.il/Law_word/law06/TAK-6625.pdf" TargetMode="External"/><Relationship Id="rId1" Type="http://schemas.openxmlformats.org/officeDocument/2006/relationships/hyperlink" Target="http://www.nevo.co.il/Law_word/law06/TAK-60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10565</CharactersWithSpaces>
  <SharedDoc>false</SharedDoc>
  <HLinks>
    <vt:vector size="168" baseType="variant">
      <vt:variant>
        <vt:i4>8192011</vt:i4>
      </vt:variant>
      <vt:variant>
        <vt:i4>90</vt:i4>
      </vt:variant>
      <vt:variant>
        <vt:i4>0</vt:i4>
      </vt:variant>
      <vt:variant>
        <vt:i4>5</vt:i4>
      </vt:variant>
      <vt:variant>
        <vt:lpwstr>http://www.nevo.co.il/Law_word/law06/TAK-6625.pdf</vt:lpwstr>
      </vt:variant>
      <vt:variant>
        <vt:lpwstr/>
      </vt:variant>
      <vt:variant>
        <vt:i4>8192011</vt:i4>
      </vt:variant>
      <vt:variant>
        <vt:i4>87</vt:i4>
      </vt:variant>
      <vt:variant>
        <vt:i4>0</vt:i4>
      </vt:variant>
      <vt:variant>
        <vt:i4>5</vt:i4>
      </vt:variant>
      <vt:variant>
        <vt:lpwstr>http://www.nevo.co.il/Law_word/law06/TAK-6625.pdf</vt:lpwstr>
      </vt:variant>
      <vt:variant>
        <vt:lpwstr/>
      </vt:variant>
      <vt:variant>
        <vt:i4>8192011</vt:i4>
      </vt:variant>
      <vt:variant>
        <vt:i4>84</vt:i4>
      </vt:variant>
      <vt:variant>
        <vt:i4>0</vt:i4>
      </vt:variant>
      <vt:variant>
        <vt:i4>5</vt:i4>
      </vt:variant>
      <vt:variant>
        <vt:lpwstr>http://www.nevo.co.il/Law_word/law06/TAK-6625.pdf</vt:lpwstr>
      </vt:variant>
      <vt:variant>
        <vt:lpwstr/>
      </vt:variant>
      <vt:variant>
        <vt:i4>8192011</vt:i4>
      </vt:variant>
      <vt:variant>
        <vt:i4>81</vt:i4>
      </vt:variant>
      <vt:variant>
        <vt:i4>0</vt:i4>
      </vt:variant>
      <vt:variant>
        <vt:i4>5</vt:i4>
      </vt:variant>
      <vt:variant>
        <vt:lpwstr>http://www.nevo.co.il/Law_word/law06/TAK-6625.pdf</vt:lpwstr>
      </vt:variant>
      <vt:variant>
        <vt:lpwstr/>
      </vt:variant>
      <vt:variant>
        <vt:i4>8192011</vt:i4>
      </vt:variant>
      <vt:variant>
        <vt:i4>78</vt:i4>
      </vt:variant>
      <vt:variant>
        <vt:i4>0</vt:i4>
      </vt:variant>
      <vt:variant>
        <vt:i4>5</vt:i4>
      </vt:variant>
      <vt:variant>
        <vt:lpwstr>http://www.nevo.co.il/Law_word/law06/TAK-6625.pdf</vt:lpwstr>
      </vt:variant>
      <vt:variant>
        <vt:lpwstr/>
      </vt:variant>
      <vt:variant>
        <vt:i4>8192011</vt:i4>
      </vt:variant>
      <vt:variant>
        <vt:i4>75</vt:i4>
      </vt:variant>
      <vt:variant>
        <vt:i4>0</vt:i4>
      </vt:variant>
      <vt:variant>
        <vt:i4>5</vt:i4>
      </vt:variant>
      <vt:variant>
        <vt:lpwstr>http://www.nevo.co.il/Law_word/law06/TAK-6625.pdf</vt:lpwstr>
      </vt:variant>
      <vt:variant>
        <vt:lpwstr/>
      </vt:variant>
      <vt:variant>
        <vt:i4>7471104</vt:i4>
      </vt:variant>
      <vt:variant>
        <vt:i4>72</vt:i4>
      </vt:variant>
      <vt:variant>
        <vt:i4>0</vt:i4>
      </vt:variant>
      <vt:variant>
        <vt:i4>5</vt:i4>
      </vt:variant>
      <vt:variant>
        <vt:lpwstr>http://www.nevo.co.il/Law_word/law06/tak-8038.pdf</vt:lpwstr>
      </vt:variant>
      <vt:variant>
        <vt:lpwstr/>
      </vt:variant>
      <vt:variant>
        <vt:i4>8192011</vt:i4>
      </vt:variant>
      <vt:variant>
        <vt:i4>69</vt:i4>
      </vt:variant>
      <vt:variant>
        <vt:i4>0</vt:i4>
      </vt:variant>
      <vt:variant>
        <vt:i4>5</vt:i4>
      </vt:variant>
      <vt:variant>
        <vt:lpwstr>http://www.nevo.co.il/Law_word/law06/TAK-6625.pdf</vt:lpwstr>
      </vt:variant>
      <vt:variant>
        <vt:lpwstr/>
      </vt:variant>
      <vt:variant>
        <vt:i4>8192011</vt:i4>
      </vt:variant>
      <vt:variant>
        <vt:i4>66</vt:i4>
      </vt:variant>
      <vt:variant>
        <vt:i4>0</vt:i4>
      </vt:variant>
      <vt:variant>
        <vt:i4>5</vt:i4>
      </vt:variant>
      <vt:variant>
        <vt:lpwstr>http://www.nevo.co.il/Law_word/law06/TAK-6625.pdf</vt:lpwstr>
      </vt:variant>
      <vt:variant>
        <vt:lpwstr/>
      </vt:variant>
      <vt:variant>
        <vt:i4>8192011</vt:i4>
      </vt:variant>
      <vt:variant>
        <vt:i4>63</vt:i4>
      </vt:variant>
      <vt:variant>
        <vt:i4>0</vt:i4>
      </vt:variant>
      <vt:variant>
        <vt:i4>5</vt:i4>
      </vt:variant>
      <vt:variant>
        <vt:lpwstr>http://www.nevo.co.il/Law_word/law06/TAK-6625.pdf</vt:lpwstr>
      </vt:variant>
      <vt:variant>
        <vt:lpwstr/>
      </vt:variant>
      <vt:variant>
        <vt:i4>8192011</vt:i4>
      </vt:variant>
      <vt:variant>
        <vt:i4>60</vt:i4>
      </vt:variant>
      <vt:variant>
        <vt:i4>0</vt:i4>
      </vt:variant>
      <vt:variant>
        <vt:i4>5</vt:i4>
      </vt:variant>
      <vt:variant>
        <vt:lpwstr>http://www.nevo.co.il/Law_word/law06/TAK-6625.pdf</vt:lpwstr>
      </vt:variant>
      <vt:variant>
        <vt:lpwstr/>
      </vt:variant>
      <vt:variant>
        <vt:i4>8192011</vt:i4>
      </vt:variant>
      <vt:variant>
        <vt:i4>57</vt:i4>
      </vt:variant>
      <vt:variant>
        <vt:i4>0</vt:i4>
      </vt:variant>
      <vt:variant>
        <vt:i4>5</vt:i4>
      </vt:variant>
      <vt:variant>
        <vt:lpwstr>http://www.nevo.co.il/Law_word/law06/TAK-6625.pdf</vt:lpwstr>
      </vt:variant>
      <vt:variant>
        <vt:lpwstr/>
      </vt:variant>
      <vt:variant>
        <vt:i4>8192011</vt:i4>
      </vt:variant>
      <vt:variant>
        <vt:i4>54</vt:i4>
      </vt:variant>
      <vt:variant>
        <vt:i4>0</vt:i4>
      </vt:variant>
      <vt:variant>
        <vt:i4>5</vt:i4>
      </vt:variant>
      <vt:variant>
        <vt:lpwstr>http://www.nevo.co.il/Law_word/law06/TAK-6625.pdf</vt:lpwstr>
      </vt:variant>
      <vt:variant>
        <vt:lpwstr/>
      </vt:variant>
      <vt:variant>
        <vt:i4>7471104</vt:i4>
      </vt:variant>
      <vt:variant>
        <vt:i4>51</vt:i4>
      </vt:variant>
      <vt:variant>
        <vt:i4>0</vt:i4>
      </vt:variant>
      <vt:variant>
        <vt:i4>5</vt:i4>
      </vt:variant>
      <vt:variant>
        <vt:lpwstr>http://www.nevo.co.il/Law_word/law06/tak-8038.pdf</vt:lpwstr>
      </vt:variant>
      <vt:variant>
        <vt:lpwstr/>
      </vt:variant>
      <vt:variant>
        <vt:i4>8192011</vt:i4>
      </vt:variant>
      <vt:variant>
        <vt:i4>48</vt:i4>
      </vt:variant>
      <vt:variant>
        <vt:i4>0</vt:i4>
      </vt:variant>
      <vt:variant>
        <vt:i4>5</vt:i4>
      </vt:variant>
      <vt:variant>
        <vt:lpwstr>http://www.nevo.co.il/Law_word/law06/TAK-6625.pdf</vt:lpwstr>
      </vt:variant>
      <vt:variant>
        <vt:lpwstr/>
      </vt:variant>
      <vt:variant>
        <vt:i4>8192011</vt:i4>
      </vt:variant>
      <vt:variant>
        <vt:i4>45</vt:i4>
      </vt:variant>
      <vt:variant>
        <vt:i4>0</vt:i4>
      </vt:variant>
      <vt:variant>
        <vt:i4>5</vt:i4>
      </vt:variant>
      <vt:variant>
        <vt:lpwstr>http://www.nevo.co.il/Law_word/law06/TAK-6625.pdf</vt:lpwstr>
      </vt:variant>
      <vt:variant>
        <vt:lpwstr/>
      </vt:variant>
      <vt:variant>
        <vt:i4>8192011</vt:i4>
      </vt:variant>
      <vt:variant>
        <vt:i4>42</vt:i4>
      </vt:variant>
      <vt:variant>
        <vt:i4>0</vt:i4>
      </vt:variant>
      <vt:variant>
        <vt:i4>5</vt:i4>
      </vt:variant>
      <vt:variant>
        <vt:lpwstr>http://www.nevo.co.il/Law_word/law06/TAK-6625.pdf</vt:lpwstr>
      </vt:variant>
      <vt:variant>
        <vt:lpwstr/>
      </vt:variant>
      <vt:variant>
        <vt:i4>8192011</vt:i4>
      </vt:variant>
      <vt:variant>
        <vt:i4>39</vt:i4>
      </vt:variant>
      <vt:variant>
        <vt:i4>0</vt:i4>
      </vt:variant>
      <vt:variant>
        <vt:i4>5</vt:i4>
      </vt:variant>
      <vt:variant>
        <vt:lpwstr>http://www.nevo.co.il/Law_word/law06/TAK-6625.pdf</vt:lpwstr>
      </vt:variant>
      <vt:variant>
        <vt:lpwstr/>
      </vt:variant>
      <vt:variant>
        <vt:i4>8192011</vt:i4>
      </vt:variant>
      <vt:variant>
        <vt:i4>36</vt:i4>
      </vt:variant>
      <vt:variant>
        <vt:i4>0</vt:i4>
      </vt:variant>
      <vt:variant>
        <vt:i4>5</vt:i4>
      </vt:variant>
      <vt:variant>
        <vt:lpwstr>http://www.nevo.co.il/Law_word/law06/TAK-6625.pdf</vt:lpwstr>
      </vt:variant>
      <vt:variant>
        <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7471104</vt:i4>
      </vt:variant>
      <vt:variant>
        <vt:i4>6</vt:i4>
      </vt:variant>
      <vt:variant>
        <vt:i4>0</vt:i4>
      </vt:variant>
      <vt:variant>
        <vt:i4>5</vt:i4>
      </vt:variant>
      <vt:variant>
        <vt:lpwstr>http://www.nevo.co.il/Law_word/law06/TAK-8038.pdf</vt:lpwstr>
      </vt:variant>
      <vt:variant>
        <vt:lpwstr/>
      </vt:variant>
      <vt:variant>
        <vt:i4>2949131</vt:i4>
      </vt:variant>
      <vt:variant>
        <vt:i4>3</vt:i4>
      </vt:variant>
      <vt:variant>
        <vt:i4>0</vt:i4>
      </vt:variant>
      <vt:variant>
        <vt:i4>5</vt:i4>
      </vt:variant>
      <vt:variant>
        <vt:lpwstr>http://web1.nevo.co.il/Law_word/law06/TAK-6625.pdf</vt:lpwstr>
      </vt:variant>
      <vt:variant>
        <vt:lpwstr/>
      </vt:variant>
      <vt:variant>
        <vt:i4>7798796</vt:i4>
      </vt:variant>
      <vt:variant>
        <vt:i4>0</vt:i4>
      </vt:variant>
      <vt:variant>
        <vt:i4>0</vt:i4>
      </vt:variant>
      <vt:variant>
        <vt:i4>5</vt:i4>
      </vt:variant>
      <vt:variant>
        <vt:lpwstr>http://www.nevo.co.il/Law_word/law06/TAK-6084.pdf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השקעות משותפות בנאמנות (עסקאות באשראי ופדיון יחידות באשראי), תשס"א-2001;תקנות השקעות משותפות בנאמנות (עסקאות באשראי ושיעור מרבי להתחייבויות)</vt:lpwstr>
  </property>
  <property fmtid="{D5CDD505-2E9C-101B-9397-08002B2CF9AE}" pid="4" name="LAWNUMBER">
    <vt:lpwstr>0856</vt:lpwstr>
  </property>
  <property fmtid="{D5CDD505-2E9C-101B-9397-08002B2CF9AE}" pid="5" name="TYPE">
    <vt:lpwstr>01</vt:lpwstr>
  </property>
  <property fmtid="{D5CDD505-2E9C-101B-9397-08002B2CF9AE}" pid="6" name="CHNAME">
    <vt:lpwstr>השקעות משותפות בנאמנות</vt:lpwstr>
  </property>
  <property fmtid="{D5CDD505-2E9C-101B-9397-08002B2CF9AE}" pid="7" name="LINKK2">
    <vt:lpwstr>http://www.nevo.co.il/Law_word/law06/TAK-8038.pdf;‎רשומות - תקנות כלליות#ק"ת תשע"ח מס' ‏‏8038 #מיום 12.7.2018 עמ' 2411 – תק' תשע"ח-2018; תחילתן ביום 3.10.2018‏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http://web1.nevo.co.il/Law_word/law06/TAK-6625.pdf;רשומות – תקנות כלליות#תוקנו ק"ת תשס"ח מס' 6625#מיום 28.11.2007#עמ' 147#תק' תשס"ח-2007#תחילתן ביום 31.12.2007</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65XאX;65XבX;131XאX</vt:lpwstr>
  </property>
  <property fmtid="{D5CDD505-2E9C-101B-9397-08002B2CF9AE}" pid="64" name="MEKORSAMCHUT">
    <vt:lpwstr/>
  </property>
</Properties>
</file>