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583639" w:rsidP="00530682">
      <w:pPr>
        <w:pStyle w:val="big-header"/>
        <w:spacing w:line="240" w:lineRule="auto"/>
        <w:ind w:left="0" w:right="1134"/>
        <w:rPr>
          <w:rFonts w:cs="FrankRuehl"/>
          <w:sz w:val="32"/>
        </w:rPr>
      </w:pPr>
      <w:r>
        <w:rPr>
          <w:rFonts w:cs="FrankRuehl" w:hint="cs"/>
          <w:sz w:val="32"/>
          <w:rtl/>
        </w:rPr>
        <w:t>תקנות השקעות משותפות בנאמנות (</w:t>
      </w:r>
      <w:r w:rsidR="001521DE">
        <w:rPr>
          <w:rFonts w:cs="FrankRuehl" w:hint="cs"/>
          <w:sz w:val="32"/>
          <w:rtl/>
        </w:rPr>
        <w:t>קרנות מחקות), תשע"ח-2018</w:t>
      </w:r>
    </w:p>
    <w:p w:rsidR="00620D54" w:rsidRPr="00620D54" w:rsidRDefault="00620D54" w:rsidP="00620D54">
      <w:pPr>
        <w:spacing w:line="320" w:lineRule="auto"/>
        <w:jc w:val="left"/>
        <w:rPr>
          <w:rFonts w:cs="FrankRuehl"/>
          <w:szCs w:val="26"/>
          <w:rtl/>
        </w:rPr>
      </w:pPr>
    </w:p>
    <w:p w:rsidR="00AF7048" w:rsidRPr="00AF7048" w:rsidRDefault="00AF7048" w:rsidP="00AF7048">
      <w:pPr>
        <w:spacing w:line="320" w:lineRule="auto"/>
        <w:jc w:val="left"/>
        <w:rPr>
          <w:rFonts w:cs="FrankRuehl"/>
          <w:szCs w:val="26"/>
          <w:rtl/>
        </w:rPr>
      </w:pPr>
    </w:p>
    <w:p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תאגידים וניירות ערך – השק' משותפות בנאמנות</w:t>
      </w:r>
    </w:p>
    <w:p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כספים – השקעות  – השק' משותפות בנאמנות</w:t>
      </w:r>
    </w:p>
    <w:p w:rsidR="00407722" w:rsidRPr="00AF7048" w:rsidRDefault="00AF7048" w:rsidP="00AF7048">
      <w:pPr>
        <w:spacing w:line="320" w:lineRule="auto"/>
        <w:jc w:val="left"/>
        <w:rPr>
          <w:rFonts w:cs="Miriam"/>
          <w:szCs w:val="22"/>
          <w:rtl/>
        </w:rPr>
      </w:pPr>
      <w:r w:rsidRPr="00AF7048">
        <w:rPr>
          <w:rFonts w:cs="Miriam"/>
          <w:szCs w:val="22"/>
          <w:rtl/>
        </w:rPr>
        <w:t>משפט פרטי וכלכלה</w:t>
      </w:r>
      <w:r w:rsidRPr="00AF7048">
        <w:rPr>
          <w:rFonts w:cs="FrankRuehl"/>
          <w:szCs w:val="26"/>
          <w:rtl/>
        </w:rPr>
        <w:t xml:space="preserve"> – חיובים – נאמנות – השק' משותפות בנאמנות</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פרק א': פרשנות</w:t>
            </w:r>
          </w:p>
        </w:tc>
        <w:tc>
          <w:tcPr>
            <w:tcW w:w="567" w:type="dxa"/>
          </w:tcPr>
          <w:p w:rsidR="007A5FEF" w:rsidRPr="007A5FEF" w:rsidRDefault="007A5FEF" w:rsidP="007A5FEF">
            <w:pPr>
              <w:spacing w:line="240" w:lineRule="auto"/>
              <w:jc w:val="left"/>
              <w:rPr>
                <w:rStyle w:val="Hyperlink"/>
                <w:rtl/>
              </w:rPr>
            </w:pPr>
            <w:hyperlink w:anchor="med0" w:tooltip="פרק א: פרשנות"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הגדרות</w:t>
            </w:r>
          </w:p>
        </w:tc>
        <w:tc>
          <w:tcPr>
            <w:tcW w:w="567" w:type="dxa"/>
          </w:tcPr>
          <w:p w:rsidR="007A5FEF" w:rsidRPr="007A5FEF" w:rsidRDefault="007A5FEF" w:rsidP="007A5FEF">
            <w:pPr>
              <w:spacing w:line="240" w:lineRule="auto"/>
              <w:jc w:val="left"/>
              <w:rPr>
                <w:rStyle w:val="Hyperlink"/>
                <w:rtl/>
              </w:rPr>
            </w:pPr>
            <w:hyperlink w:anchor="Seif1" w:tooltip="הגדרות"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פרק ב': תחולה</w:t>
            </w:r>
          </w:p>
        </w:tc>
        <w:tc>
          <w:tcPr>
            <w:tcW w:w="567" w:type="dxa"/>
          </w:tcPr>
          <w:p w:rsidR="007A5FEF" w:rsidRPr="007A5FEF" w:rsidRDefault="007A5FEF" w:rsidP="007A5FEF">
            <w:pPr>
              <w:spacing w:line="240" w:lineRule="auto"/>
              <w:jc w:val="left"/>
              <w:rPr>
                <w:rStyle w:val="Hyperlink"/>
                <w:rtl/>
              </w:rPr>
            </w:pPr>
            <w:hyperlink w:anchor="med1" w:tooltip="פרק ב: תחולה"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2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תחולת החוק על הסדרים עוקבי מטבע</w:t>
            </w:r>
          </w:p>
        </w:tc>
        <w:tc>
          <w:tcPr>
            <w:tcW w:w="567" w:type="dxa"/>
          </w:tcPr>
          <w:p w:rsidR="007A5FEF" w:rsidRPr="007A5FEF" w:rsidRDefault="007A5FEF" w:rsidP="007A5FEF">
            <w:pPr>
              <w:spacing w:line="240" w:lineRule="auto"/>
              <w:jc w:val="left"/>
              <w:rPr>
                <w:rStyle w:val="Hyperlink"/>
                <w:rtl/>
              </w:rPr>
            </w:pPr>
            <w:hyperlink w:anchor="Seif2" w:tooltip="תחולת החוק על הסדרים עוקבי מטבע"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פרק ג': עושה השוק</w:t>
            </w:r>
          </w:p>
        </w:tc>
        <w:tc>
          <w:tcPr>
            <w:tcW w:w="567" w:type="dxa"/>
          </w:tcPr>
          <w:p w:rsidR="007A5FEF" w:rsidRPr="007A5FEF" w:rsidRDefault="007A5FEF" w:rsidP="007A5FEF">
            <w:pPr>
              <w:spacing w:line="240" w:lineRule="auto"/>
              <w:jc w:val="left"/>
              <w:rPr>
                <w:rStyle w:val="Hyperlink"/>
                <w:rtl/>
              </w:rPr>
            </w:pPr>
            <w:hyperlink w:anchor="med2" w:tooltip="פרק ג: עושה השוק"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3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חובת מינוי עושה שוק ועשיית שוק ביחידות קרן סל</w:t>
            </w:r>
          </w:p>
        </w:tc>
        <w:tc>
          <w:tcPr>
            <w:tcW w:w="567" w:type="dxa"/>
          </w:tcPr>
          <w:p w:rsidR="007A5FEF" w:rsidRPr="007A5FEF" w:rsidRDefault="007A5FEF" w:rsidP="007A5FEF">
            <w:pPr>
              <w:spacing w:line="240" w:lineRule="auto"/>
              <w:jc w:val="left"/>
              <w:rPr>
                <w:rStyle w:val="Hyperlink"/>
                <w:rtl/>
              </w:rPr>
            </w:pPr>
            <w:hyperlink w:anchor="Seif3" w:tooltip="חובת מינוי עושה שוק ועשיית שוק ביחידות קרן סל"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פרק ד': יצירה ופדיון</w:t>
            </w:r>
          </w:p>
        </w:tc>
        <w:tc>
          <w:tcPr>
            <w:tcW w:w="567" w:type="dxa"/>
          </w:tcPr>
          <w:p w:rsidR="007A5FEF" w:rsidRPr="007A5FEF" w:rsidRDefault="007A5FEF" w:rsidP="007A5FEF">
            <w:pPr>
              <w:spacing w:line="240" w:lineRule="auto"/>
              <w:jc w:val="left"/>
              <w:rPr>
                <w:rStyle w:val="Hyperlink"/>
                <w:rtl/>
              </w:rPr>
            </w:pPr>
            <w:hyperlink w:anchor="med3" w:tooltip="פרק ד: יצירה ופדיון"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4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הקצאת יחידות לקרן סל</w:t>
            </w:r>
          </w:p>
        </w:tc>
        <w:tc>
          <w:tcPr>
            <w:tcW w:w="567" w:type="dxa"/>
          </w:tcPr>
          <w:p w:rsidR="007A5FEF" w:rsidRPr="007A5FEF" w:rsidRDefault="007A5FEF" w:rsidP="007A5FEF">
            <w:pPr>
              <w:spacing w:line="240" w:lineRule="auto"/>
              <w:jc w:val="left"/>
              <w:rPr>
                <w:rStyle w:val="Hyperlink"/>
                <w:rtl/>
              </w:rPr>
            </w:pPr>
            <w:hyperlink w:anchor="Seif4" w:tooltip="הקצאת יחידות לקרן סל"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5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הזמנה והוראות לפדיון של יחידות קרן סל</w:t>
            </w:r>
          </w:p>
        </w:tc>
        <w:tc>
          <w:tcPr>
            <w:tcW w:w="567" w:type="dxa"/>
          </w:tcPr>
          <w:p w:rsidR="007A5FEF" w:rsidRPr="007A5FEF" w:rsidRDefault="007A5FEF" w:rsidP="007A5FEF">
            <w:pPr>
              <w:spacing w:line="240" w:lineRule="auto"/>
              <w:jc w:val="left"/>
              <w:rPr>
                <w:rStyle w:val="Hyperlink"/>
                <w:rtl/>
              </w:rPr>
            </w:pPr>
            <w:hyperlink w:anchor="Seif5" w:tooltip="הזמנה והוראות לפדיון של יחידות קרן סל"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6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ניכוי עמלת פדיון</w:t>
            </w:r>
          </w:p>
        </w:tc>
        <w:tc>
          <w:tcPr>
            <w:tcW w:w="567" w:type="dxa"/>
          </w:tcPr>
          <w:p w:rsidR="007A5FEF" w:rsidRPr="007A5FEF" w:rsidRDefault="007A5FEF" w:rsidP="007A5FEF">
            <w:pPr>
              <w:spacing w:line="240" w:lineRule="auto"/>
              <w:jc w:val="left"/>
              <w:rPr>
                <w:rStyle w:val="Hyperlink"/>
                <w:rtl/>
              </w:rPr>
            </w:pPr>
            <w:hyperlink w:anchor="Seif6" w:tooltip="ניכוי עמלת פדיון"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7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הוספת עמלת יצירה</w:t>
            </w:r>
          </w:p>
        </w:tc>
        <w:tc>
          <w:tcPr>
            <w:tcW w:w="567" w:type="dxa"/>
          </w:tcPr>
          <w:p w:rsidR="007A5FEF" w:rsidRPr="007A5FEF" w:rsidRDefault="007A5FEF" w:rsidP="007A5FEF">
            <w:pPr>
              <w:spacing w:line="240" w:lineRule="auto"/>
              <w:jc w:val="left"/>
              <w:rPr>
                <w:rStyle w:val="Hyperlink"/>
                <w:rtl/>
              </w:rPr>
            </w:pPr>
            <w:hyperlink w:anchor="Seif7" w:tooltip="הוספת עמלת יצירה"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8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עסקאות יצירה או פדיון לפי הזמנה או הוראה של עושה השוק</w:t>
            </w:r>
          </w:p>
        </w:tc>
        <w:tc>
          <w:tcPr>
            <w:tcW w:w="567" w:type="dxa"/>
          </w:tcPr>
          <w:p w:rsidR="007A5FEF" w:rsidRPr="007A5FEF" w:rsidRDefault="007A5FEF" w:rsidP="007A5FEF">
            <w:pPr>
              <w:spacing w:line="240" w:lineRule="auto"/>
              <w:jc w:val="left"/>
              <w:rPr>
                <w:rStyle w:val="Hyperlink"/>
                <w:rtl/>
              </w:rPr>
            </w:pPr>
            <w:hyperlink w:anchor="Seif8" w:tooltip="עסקאות יצירה או פדיון לפי הזמנה או הוראה של עושה השוק"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9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רישום כיחידה רדומה</w:t>
            </w:r>
          </w:p>
        </w:tc>
        <w:tc>
          <w:tcPr>
            <w:tcW w:w="567" w:type="dxa"/>
          </w:tcPr>
          <w:p w:rsidR="007A5FEF" w:rsidRPr="007A5FEF" w:rsidRDefault="007A5FEF" w:rsidP="007A5FEF">
            <w:pPr>
              <w:spacing w:line="240" w:lineRule="auto"/>
              <w:jc w:val="left"/>
              <w:rPr>
                <w:rStyle w:val="Hyperlink"/>
                <w:rtl/>
              </w:rPr>
            </w:pPr>
            <w:hyperlink w:anchor="Seif9" w:tooltip="רישום כיחידה רדומה"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10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פרסום מחירים על ידי מנהל הקרן</w:t>
            </w:r>
          </w:p>
        </w:tc>
        <w:tc>
          <w:tcPr>
            <w:tcW w:w="567" w:type="dxa"/>
          </w:tcPr>
          <w:p w:rsidR="007A5FEF" w:rsidRPr="007A5FEF" w:rsidRDefault="007A5FEF" w:rsidP="007A5FEF">
            <w:pPr>
              <w:spacing w:line="240" w:lineRule="auto"/>
              <w:jc w:val="left"/>
              <w:rPr>
                <w:rStyle w:val="Hyperlink"/>
                <w:rtl/>
              </w:rPr>
            </w:pPr>
            <w:hyperlink w:anchor="Seif10" w:tooltip="פרסום מחירים על ידי מנהל הקרן"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פרק ה': דמי ניהול משתנים</w:t>
            </w:r>
          </w:p>
        </w:tc>
        <w:tc>
          <w:tcPr>
            <w:tcW w:w="567" w:type="dxa"/>
          </w:tcPr>
          <w:p w:rsidR="007A5FEF" w:rsidRPr="007A5FEF" w:rsidRDefault="007A5FEF" w:rsidP="007A5FEF">
            <w:pPr>
              <w:spacing w:line="240" w:lineRule="auto"/>
              <w:jc w:val="left"/>
              <w:rPr>
                <w:rStyle w:val="Hyperlink"/>
                <w:rtl/>
              </w:rPr>
            </w:pPr>
            <w:hyperlink w:anchor="med4" w:tooltip="פרק ה: דמי ניהול משתנים"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11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דמי ניהול משתנים</w:t>
            </w:r>
          </w:p>
        </w:tc>
        <w:tc>
          <w:tcPr>
            <w:tcW w:w="567" w:type="dxa"/>
          </w:tcPr>
          <w:p w:rsidR="007A5FEF" w:rsidRPr="007A5FEF" w:rsidRDefault="007A5FEF" w:rsidP="007A5FEF">
            <w:pPr>
              <w:spacing w:line="240" w:lineRule="auto"/>
              <w:jc w:val="left"/>
              <w:rPr>
                <w:rStyle w:val="Hyperlink"/>
                <w:rtl/>
              </w:rPr>
            </w:pPr>
            <w:hyperlink w:anchor="Seif11" w:tooltip="דמי ניהול משתנים"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12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הוראות בעניין דמי ניהול משתנים</w:t>
            </w:r>
          </w:p>
        </w:tc>
        <w:tc>
          <w:tcPr>
            <w:tcW w:w="567" w:type="dxa"/>
          </w:tcPr>
          <w:p w:rsidR="007A5FEF" w:rsidRPr="007A5FEF" w:rsidRDefault="007A5FEF" w:rsidP="007A5FEF">
            <w:pPr>
              <w:spacing w:line="240" w:lineRule="auto"/>
              <w:jc w:val="left"/>
              <w:rPr>
                <w:rStyle w:val="Hyperlink"/>
                <w:rtl/>
              </w:rPr>
            </w:pPr>
            <w:hyperlink w:anchor="Seif12" w:tooltip="הוראות בעניין דמי ניהול משתנים"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פרק ו': תנאים בהם רשאי מנהל קרן מחקה לשלם תשלום למי שמחזיק יחידות של קרן שבניהולו</w:t>
            </w:r>
          </w:p>
        </w:tc>
        <w:tc>
          <w:tcPr>
            <w:tcW w:w="567" w:type="dxa"/>
          </w:tcPr>
          <w:p w:rsidR="007A5FEF" w:rsidRPr="007A5FEF" w:rsidRDefault="007A5FEF" w:rsidP="007A5FEF">
            <w:pPr>
              <w:spacing w:line="240" w:lineRule="auto"/>
              <w:jc w:val="left"/>
              <w:rPr>
                <w:rStyle w:val="Hyperlink"/>
                <w:rtl/>
              </w:rPr>
            </w:pPr>
            <w:hyperlink w:anchor="med5" w:tooltip="פרק ו: תנאים בהם רשאי מנהל קרן מחקה לשלם תשלום למי שמחזיק יחידות של קרן שבניהולו"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13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תשלום למי שמחזיק יחידות של קרן מחקה שבניהולו של מנהל הקרן</w:t>
            </w:r>
          </w:p>
        </w:tc>
        <w:tc>
          <w:tcPr>
            <w:tcW w:w="567" w:type="dxa"/>
          </w:tcPr>
          <w:p w:rsidR="007A5FEF" w:rsidRPr="007A5FEF" w:rsidRDefault="007A5FEF" w:rsidP="007A5FEF">
            <w:pPr>
              <w:spacing w:line="240" w:lineRule="auto"/>
              <w:jc w:val="left"/>
              <w:rPr>
                <w:rStyle w:val="Hyperlink"/>
                <w:rtl/>
              </w:rPr>
            </w:pPr>
            <w:hyperlink w:anchor="Seif13" w:tooltip="תשלום למי שמחזיק יחידות של קרן מחקה שבניהולו של מנהל הקרן"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פרק ז': השתתפות מנהל קרן באסיפת מחזיקים</w:t>
            </w:r>
          </w:p>
        </w:tc>
        <w:tc>
          <w:tcPr>
            <w:tcW w:w="567" w:type="dxa"/>
          </w:tcPr>
          <w:p w:rsidR="007A5FEF" w:rsidRPr="007A5FEF" w:rsidRDefault="007A5FEF" w:rsidP="007A5FEF">
            <w:pPr>
              <w:spacing w:line="240" w:lineRule="auto"/>
              <w:jc w:val="left"/>
              <w:rPr>
                <w:rStyle w:val="Hyperlink"/>
                <w:rtl/>
              </w:rPr>
            </w:pPr>
            <w:hyperlink w:anchor="med6" w:tooltip="פרק ז: השתתפות מנהל קרן באסיפת מחזיקים"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14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השתתפות באסיפות מחזיקים</w:t>
            </w:r>
          </w:p>
        </w:tc>
        <w:tc>
          <w:tcPr>
            <w:tcW w:w="567" w:type="dxa"/>
          </w:tcPr>
          <w:p w:rsidR="007A5FEF" w:rsidRPr="007A5FEF" w:rsidRDefault="007A5FEF" w:rsidP="007A5FEF">
            <w:pPr>
              <w:spacing w:line="240" w:lineRule="auto"/>
              <w:jc w:val="left"/>
              <w:rPr>
                <w:rStyle w:val="Hyperlink"/>
                <w:rtl/>
              </w:rPr>
            </w:pPr>
            <w:hyperlink w:anchor="Seif14" w:tooltip="השתתפות באסיפות מחזיקים"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פרק ח': פירוק קרן סל</w:t>
            </w:r>
          </w:p>
        </w:tc>
        <w:tc>
          <w:tcPr>
            <w:tcW w:w="567" w:type="dxa"/>
          </w:tcPr>
          <w:p w:rsidR="007A5FEF" w:rsidRPr="007A5FEF" w:rsidRDefault="007A5FEF" w:rsidP="007A5FEF">
            <w:pPr>
              <w:spacing w:line="240" w:lineRule="auto"/>
              <w:jc w:val="left"/>
              <w:rPr>
                <w:rStyle w:val="Hyperlink"/>
                <w:rtl/>
              </w:rPr>
            </w:pPr>
            <w:hyperlink w:anchor="med7" w:tooltip="פרק ח: פירוק קרן סל"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15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פירוק קרן סל</w:t>
            </w:r>
          </w:p>
        </w:tc>
        <w:tc>
          <w:tcPr>
            <w:tcW w:w="567" w:type="dxa"/>
          </w:tcPr>
          <w:p w:rsidR="007A5FEF" w:rsidRPr="007A5FEF" w:rsidRDefault="007A5FEF" w:rsidP="007A5FEF">
            <w:pPr>
              <w:spacing w:line="240" w:lineRule="auto"/>
              <w:jc w:val="left"/>
              <w:rPr>
                <w:rStyle w:val="Hyperlink"/>
                <w:rtl/>
              </w:rPr>
            </w:pPr>
            <w:hyperlink w:anchor="Seif15" w:tooltip="פירוק קרן סל"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16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דמי ניהול משתנים בקרן בפירוק</w:t>
            </w:r>
          </w:p>
        </w:tc>
        <w:tc>
          <w:tcPr>
            <w:tcW w:w="567" w:type="dxa"/>
          </w:tcPr>
          <w:p w:rsidR="007A5FEF" w:rsidRPr="007A5FEF" w:rsidRDefault="007A5FEF" w:rsidP="007A5FEF">
            <w:pPr>
              <w:spacing w:line="240" w:lineRule="auto"/>
              <w:jc w:val="left"/>
              <w:rPr>
                <w:rStyle w:val="Hyperlink"/>
                <w:rtl/>
              </w:rPr>
            </w:pPr>
            <w:hyperlink w:anchor="Seif16" w:tooltip="דמי ניהול משתנים בקרן בפירוק"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פרק ט': תחילה והוראת מעבר</w:t>
            </w:r>
          </w:p>
        </w:tc>
        <w:tc>
          <w:tcPr>
            <w:tcW w:w="567" w:type="dxa"/>
          </w:tcPr>
          <w:p w:rsidR="007A5FEF" w:rsidRPr="007A5FEF" w:rsidRDefault="007A5FEF" w:rsidP="007A5FEF">
            <w:pPr>
              <w:spacing w:line="240" w:lineRule="auto"/>
              <w:jc w:val="left"/>
              <w:rPr>
                <w:rStyle w:val="Hyperlink"/>
                <w:rtl/>
              </w:rPr>
            </w:pPr>
            <w:hyperlink w:anchor="med8" w:tooltip="פרק ט: תחילה והוראת מעבר"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17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תחילה</w:t>
            </w:r>
          </w:p>
        </w:tc>
        <w:tc>
          <w:tcPr>
            <w:tcW w:w="567" w:type="dxa"/>
          </w:tcPr>
          <w:p w:rsidR="007A5FEF" w:rsidRPr="007A5FEF" w:rsidRDefault="007A5FEF" w:rsidP="007A5FEF">
            <w:pPr>
              <w:spacing w:line="240" w:lineRule="auto"/>
              <w:jc w:val="left"/>
              <w:rPr>
                <w:rStyle w:val="Hyperlink"/>
                <w:rtl/>
              </w:rPr>
            </w:pPr>
            <w:hyperlink w:anchor="Seif17" w:tooltip="תחילה"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5FEF" w:rsidRPr="007A5FEF" w:rsidTr="007A5FEF">
        <w:tblPrEx>
          <w:tblCellMar>
            <w:top w:w="0" w:type="dxa"/>
            <w:bottom w:w="0" w:type="dxa"/>
          </w:tblCellMar>
        </w:tblPrEx>
        <w:tc>
          <w:tcPr>
            <w:tcW w:w="1247" w:type="dxa"/>
          </w:tcPr>
          <w:p w:rsidR="007A5FEF" w:rsidRPr="007A5FEF" w:rsidRDefault="007A5FEF" w:rsidP="007A5FEF">
            <w:pPr>
              <w:spacing w:line="240" w:lineRule="auto"/>
              <w:jc w:val="left"/>
              <w:rPr>
                <w:rFonts w:cs="Frankruhel"/>
                <w:sz w:val="24"/>
                <w:rtl/>
              </w:rPr>
            </w:pPr>
            <w:r>
              <w:rPr>
                <w:rFonts w:cs="Times New Roman"/>
                <w:sz w:val="24"/>
                <w:rtl/>
              </w:rPr>
              <w:t xml:space="preserve">סעיף 18 </w:t>
            </w:r>
          </w:p>
        </w:tc>
        <w:tc>
          <w:tcPr>
            <w:tcW w:w="5669" w:type="dxa"/>
          </w:tcPr>
          <w:p w:rsidR="007A5FEF" w:rsidRPr="007A5FEF" w:rsidRDefault="007A5FEF" w:rsidP="007A5FEF">
            <w:pPr>
              <w:spacing w:line="240" w:lineRule="auto"/>
              <w:jc w:val="left"/>
              <w:rPr>
                <w:rFonts w:cs="Frankruhel"/>
                <w:sz w:val="24"/>
                <w:rtl/>
              </w:rPr>
            </w:pPr>
            <w:r>
              <w:rPr>
                <w:rFonts w:cs="Times New Roman"/>
                <w:sz w:val="24"/>
                <w:rtl/>
              </w:rPr>
              <w:t>הוראות מעבר</w:t>
            </w:r>
          </w:p>
        </w:tc>
        <w:tc>
          <w:tcPr>
            <w:tcW w:w="567" w:type="dxa"/>
          </w:tcPr>
          <w:p w:rsidR="007A5FEF" w:rsidRPr="007A5FEF" w:rsidRDefault="007A5FEF" w:rsidP="007A5FEF">
            <w:pPr>
              <w:spacing w:line="240" w:lineRule="auto"/>
              <w:jc w:val="left"/>
              <w:rPr>
                <w:rStyle w:val="Hyperlink"/>
                <w:rtl/>
              </w:rPr>
            </w:pPr>
            <w:hyperlink w:anchor="Seif18" w:tooltip="הוראות מעבר" w:history="1">
              <w:r w:rsidRPr="007A5FEF">
                <w:rPr>
                  <w:rStyle w:val="Hyperlink"/>
                </w:rPr>
                <w:t>Go</w:t>
              </w:r>
            </w:hyperlink>
          </w:p>
        </w:tc>
        <w:tc>
          <w:tcPr>
            <w:tcW w:w="850" w:type="dxa"/>
          </w:tcPr>
          <w:p w:rsidR="007A5FEF" w:rsidRPr="007A5FEF" w:rsidRDefault="007A5FEF" w:rsidP="007A5FE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D25D5C" w:rsidRDefault="00D25D5C" w:rsidP="00530682">
      <w:pPr>
        <w:pStyle w:val="big-header"/>
        <w:spacing w:line="240" w:lineRule="auto"/>
        <w:ind w:left="0" w:right="1134"/>
        <w:rPr>
          <w:rStyle w:val="default"/>
          <w:rFonts w:hint="cs"/>
          <w:sz w:val="22"/>
          <w:szCs w:val="22"/>
          <w:rtl/>
        </w:rPr>
      </w:pPr>
      <w:r>
        <w:rPr>
          <w:rFonts w:cs="FrankRuehl"/>
          <w:sz w:val="32"/>
          <w:rtl/>
        </w:rPr>
        <w:br w:type="page"/>
      </w:r>
      <w:r w:rsidR="00974306">
        <w:rPr>
          <w:rFonts w:cs="FrankRuehl" w:hint="cs"/>
          <w:sz w:val="32"/>
          <w:rtl/>
        </w:rPr>
        <w:lastRenderedPageBreak/>
        <w:t>תקנות השקעות משותפות בנאמנות (</w:t>
      </w:r>
      <w:r w:rsidR="001521DE">
        <w:rPr>
          <w:rFonts w:cs="FrankRuehl" w:hint="cs"/>
          <w:sz w:val="32"/>
          <w:rtl/>
        </w:rPr>
        <w:t>קרנות מחקות), תשע"ח-2018</w:t>
      </w:r>
      <w:r>
        <w:rPr>
          <w:rStyle w:val="default"/>
          <w:sz w:val="22"/>
          <w:szCs w:val="22"/>
          <w:rtl/>
        </w:rPr>
        <w:footnoteReference w:customMarkFollows="1" w:id="1"/>
        <w:t>*</w:t>
      </w:r>
    </w:p>
    <w:p w:rsidR="00BD1625" w:rsidRDefault="005453FC" w:rsidP="00AD5876">
      <w:pPr>
        <w:pStyle w:val="P00"/>
        <w:spacing w:before="72"/>
        <w:ind w:left="0" w:right="1134"/>
        <w:rPr>
          <w:rStyle w:val="default"/>
          <w:rFonts w:cs="FrankRuehl"/>
          <w:rtl/>
        </w:rPr>
      </w:pPr>
      <w:r>
        <w:rPr>
          <w:rStyle w:val="default"/>
          <w:rFonts w:cs="FrankRuehl" w:hint="cs"/>
          <w:rtl/>
        </w:rPr>
        <w:tab/>
        <w:t xml:space="preserve">בתוקף </w:t>
      </w:r>
      <w:r w:rsidR="00421409">
        <w:rPr>
          <w:rStyle w:val="default"/>
          <w:rFonts w:cs="FrankRuehl" w:hint="cs"/>
          <w:rtl/>
        </w:rPr>
        <w:t xml:space="preserve">סמכותי לפי סעיפים </w:t>
      </w:r>
      <w:r w:rsidR="00EB3ABC">
        <w:rPr>
          <w:rStyle w:val="default"/>
          <w:rFonts w:cs="FrankRuehl" w:hint="cs"/>
          <w:rtl/>
        </w:rPr>
        <w:t>2(א), 50(ב), 50(ג), 54א, 56(א1) ו-(ב), 56(ז), 57, 61(ב), 73(ב)(1), 73(ג1), 77, 80(א1), 82(א)(7), 107א ו-131</w:t>
      </w:r>
      <w:r w:rsidR="00421409">
        <w:rPr>
          <w:rStyle w:val="default"/>
          <w:rFonts w:cs="FrankRuehl" w:hint="cs"/>
          <w:rtl/>
        </w:rPr>
        <w:t xml:space="preserve"> לחוק השקעות משותפות בנאמנות, התשנ"ד-1994 (להלן </w:t>
      </w:r>
      <w:r w:rsidR="00421409">
        <w:rPr>
          <w:rStyle w:val="default"/>
          <w:rFonts w:cs="FrankRuehl"/>
          <w:rtl/>
        </w:rPr>
        <w:t>–</w:t>
      </w:r>
      <w:r w:rsidR="00421409">
        <w:rPr>
          <w:rStyle w:val="default"/>
          <w:rFonts w:cs="FrankRuehl" w:hint="cs"/>
          <w:rtl/>
        </w:rPr>
        <w:t xml:space="preserve"> החוק), לפי הצעת הרשות ובאישור ועדת הכספים של הכנסת, אני מתקין תקנות אלה</w:t>
      </w:r>
      <w:r w:rsidR="00BD1625">
        <w:rPr>
          <w:rStyle w:val="default"/>
          <w:rFonts w:cs="FrankRuehl" w:hint="cs"/>
          <w:rtl/>
        </w:rPr>
        <w:t>:</w:t>
      </w:r>
    </w:p>
    <w:p w:rsidR="00AD5876" w:rsidRPr="00AD5876" w:rsidRDefault="00AD5876" w:rsidP="00AD5876">
      <w:pPr>
        <w:pStyle w:val="medium2-header"/>
        <w:keepLines w:val="0"/>
        <w:spacing w:before="72"/>
        <w:ind w:left="0" w:right="1134"/>
        <w:outlineLvl w:val="0"/>
        <w:rPr>
          <w:rFonts w:cs="FrankRuehl" w:hint="cs"/>
          <w:noProof/>
          <w:rtl/>
        </w:rPr>
      </w:pPr>
      <w:bookmarkStart w:id="0" w:name="med0"/>
      <w:bookmarkEnd w:id="0"/>
      <w:r w:rsidRPr="00AD5876">
        <w:rPr>
          <w:rFonts w:cs="FrankRuehl" w:hint="cs"/>
          <w:noProof/>
          <w:rtl/>
        </w:rPr>
        <w:t xml:space="preserve">פרק א': </w:t>
      </w:r>
      <w:r w:rsidR="00EB3ABC">
        <w:rPr>
          <w:rFonts w:cs="FrankRuehl" w:hint="cs"/>
          <w:noProof/>
          <w:rtl/>
        </w:rPr>
        <w:t>פרשנות</w:t>
      </w:r>
    </w:p>
    <w:p w:rsidR="00642120" w:rsidRDefault="00642120" w:rsidP="009F61AB">
      <w:pPr>
        <w:pStyle w:val="P00"/>
        <w:spacing w:before="72"/>
        <w:ind w:left="0" w:right="1134"/>
        <w:rPr>
          <w:rStyle w:val="default"/>
          <w:rFonts w:cs="FrankRuehl"/>
          <w:rtl/>
        </w:rPr>
      </w:pPr>
      <w:bookmarkStart w:id="1" w:name="Seif1"/>
      <w:bookmarkEnd w:id="1"/>
      <w:r>
        <w:rPr>
          <w:lang w:val="he-IL"/>
        </w:rPr>
        <w:pict>
          <v:rect id="_x0000_s1107" style="position:absolute;left:0;text-align:left;margin-left:464.5pt;margin-top:8.05pt;width:75.05pt;height:15pt;z-index:251649024" o:allowincell="f" filled="f" stroked="f" strokecolor="lime" strokeweight=".25pt">
            <v:textbox inset="0,0,0,0">
              <w:txbxContent>
                <w:p w:rsidR="00A57AC2" w:rsidRDefault="00A57AC2"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AD5876">
        <w:rPr>
          <w:rStyle w:val="default"/>
          <w:rFonts w:cs="FrankRuehl"/>
          <w:rtl/>
        </w:rPr>
        <w:t>.</w:t>
      </w:r>
      <w:r w:rsidRPr="00AD5876">
        <w:rPr>
          <w:rStyle w:val="default"/>
          <w:rFonts w:cs="FrankRuehl"/>
          <w:rtl/>
        </w:rPr>
        <w:tab/>
      </w:r>
      <w:r w:rsidR="009F61AB">
        <w:rPr>
          <w:rStyle w:val="default"/>
          <w:rFonts w:cs="FrankRuehl" w:hint="cs"/>
          <w:rtl/>
        </w:rPr>
        <w:t xml:space="preserve">בתקנות אלה </w:t>
      </w:r>
      <w:r w:rsidR="009F61AB">
        <w:rPr>
          <w:rStyle w:val="default"/>
          <w:rFonts w:cs="FrankRuehl"/>
          <w:rtl/>
        </w:rPr>
        <w:t>–</w:t>
      </w:r>
    </w:p>
    <w:p w:rsidR="00EB3ABC" w:rsidRDefault="00EB3ABC" w:rsidP="009F61A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"דמי ניהול משתנים" </w:t>
      </w:r>
      <w:r>
        <w:rPr>
          <w:rStyle w:val="default"/>
          <w:rFonts w:cs="FrankRuehl"/>
          <w:rtl/>
        </w:rPr>
        <w:t>–</w:t>
      </w:r>
      <w:r>
        <w:rPr>
          <w:rStyle w:val="default"/>
          <w:rFonts w:cs="FrankRuehl" w:hint="cs"/>
          <w:rtl/>
        </w:rPr>
        <w:t xml:space="preserve"> חלק משכר מנהל הקרן, הנגזר מתשואת הקרן ומהפרש העקיבה שלה;</w:t>
      </w:r>
    </w:p>
    <w:p w:rsidR="00EB3ABC" w:rsidRDefault="00EB3ABC" w:rsidP="009F61A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"דמי ניהול שליליים" </w:t>
      </w:r>
      <w:r>
        <w:rPr>
          <w:rStyle w:val="default"/>
          <w:rFonts w:cs="FrankRuehl"/>
          <w:rtl/>
        </w:rPr>
        <w:t>–</w:t>
      </w:r>
      <w:r>
        <w:rPr>
          <w:rStyle w:val="default"/>
          <w:rFonts w:cs="FrankRuehl" w:hint="cs"/>
          <w:rtl/>
        </w:rPr>
        <w:t xml:space="preserve"> סכום ששיעורו מהשווי הנקי של נכסי הקרן זהה לשיעור דמי הניהול המשתנים שאותם פרסם מנהל הקרן, שישולם לקרן במקרה של הפרש עקיבה שלילי;</w:t>
      </w:r>
    </w:p>
    <w:p w:rsidR="00EB3ABC" w:rsidRDefault="00EB3ABC" w:rsidP="009F61A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"דמי ניהול קבועים" </w:t>
      </w:r>
      <w:r>
        <w:rPr>
          <w:rStyle w:val="default"/>
          <w:rFonts w:cs="FrankRuehl"/>
          <w:rtl/>
        </w:rPr>
        <w:t>–</w:t>
      </w:r>
      <w:r>
        <w:rPr>
          <w:rStyle w:val="default"/>
          <w:rFonts w:cs="FrankRuehl" w:hint="cs"/>
          <w:rtl/>
        </w:rPr>
        <w:t xml:space="preserve"> שכר מנהל הקרן שאינו תלוי בתשואת הקרן;</w:t>
      </w:r>
    </w:p>
    <w:p w:rsidR="00EB3ABC" w:rsidRDefault="00EB3ABC" w:rsidP="009F61A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"החזר דמי ניהול" </w:t>
      </w:r>
      <w:r>
        <w:rPr>
          <w:rStyle w:val="default"/>
          <w:rFonts w:cs="FrankRuehl"/>
          <w:rtl/>
        </w:rPr>
        <w:t>–</w:t>
      </w:r>
      <w:r>
        <w:rPr>
          <w:rStyle w:val="default"/>
          <w:rFonts w:cs="FrankRuehl" w:hint="cs"/>
          <w:rtl/>
        </w:rPr>
        <w:t xml:space="preserve"> תשלום בשיעור אחד שפרסם מנהל קרן בתשקיף או בדוח, שלא יעלה על שיעור דמי הניהול הקבועים בקרן בניכוי שיעור עמלת ההפצה שמחויב בו מנהל הקרן, אם הוא מחויב;</w:t>
      </w:r>
    </w:p>
    <w:p w:rsidR="00E9630D" w:rsidRDefault="00E9630D" w:rsidP="009F61A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"הסכום הנדרש" </w:t>
      </w:r>
      <w:r>
        <w:rPr>
          <w:rStyle w:val="default"/>
          <w:rFonts w:cs="FrankRuehl"/>
          <w:rtl/>
        </w:rPr>
        <w:t>–</w:t>
      </w:r>
      <w:r>
        <w:rPr>
          <w:rStyle w:val="default"/>
          <w:rFonts w:cs="FrankRuehl" w:hint="cs"/>
          <w:rtl/>
        </w:rPr>
        <w:t xml:space="preserve"> סכום דמי הניהול השליליים שעל מנהל הקרן לשלם לפי תקנה 12(2);</w:t>
      </w:r>
    </w:p>
    <w:p w:rsidR="00E9630D" w:rsidRDefault="00E9630D" w:rsidP="009F61A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"הפרש עקיבה" </w:t>
      </w:r>
      <w:r>
        <w:rPr>
          <w:rStyle w:val="default"/>
          <w:rFonts w:cs="FrankRuehl"/>
          <w:rtl/>
        </w:rPr>
        <w:t>–</w:t>
      </w:r>
      <w:r>
        <w:rPr>
          <w:rStyle w:val="default"/>
          <w:rFonts w:cs="FrankRuehl" w:hint="cs"/>
          <w:rtl/>
        </w:rPr>
        <w:t xml:space="preserve"> ההפרש בין תשואת הקרן לתשואת נכס המעקב שלה בתקופת החישוב;</w:t>
      </w:r>
    </w:p>
    <w:p w:rsidR="00A1005E" w:rsidRDefault="00A1005E" w:rsidP="00A1005E">
      <w:pPr>
        <w:pStyle w:val="P00"/>
        <w:spacing w:before="72"/>
        <w:ind w:left="0" w:right="1134"/>
        <w:rPr>
          <w:rStyle w:val="default"/>
          <w:rFonts w:cs="FrankRuehl"/>
          <w:rtl/>
        </w:rPr>
      </w:pPr>
      <w:r>
        <w:rPr>
          <w:rStyle w:val="default"/>
          <w:rFonts w:cs="FrankRuehl" w:hint="cs"/>
          <w:rtl/>
        </w:rPr>
        <w:tab/>
        <w:t>"</w:t>
      </w:r>
      <w:r w:rsidR="00E9630D">
        <w:rPr>
          <w:rStyle w:val="default"/>
          <w:rFonts w:cs="FrankRuehl" w:hint="cs"/>
          <w:rtl/>
        </w:rPr>
        <w:t xml:space="preserve">חוק הפיקוח על הביטוח" </w:t>
      </w:r>
      <w:r w:rsidR="00E9630D">
        <w:rPr>
          <w:rStyle w:val="default"/>
          <w:rFonts w:cs="FrankRuehl"/>
          <w:rtl/>
        </w:rPr>
        <w:t>–</w:t>
      </w:r>
      <w:r w:rsidR="00E9630D">
        <w:rPr>
          <w:rStyle w:val="default"/>
          <w:rFonts w:cs="FrankRuehl" w:hint="cs"/>
          <w:rtl/>
        </w:rPr>
        <w:t xml:space="preserve"> חוק הפיקוח על שירותים פיננסיים (ביטוח), התשמ"א-1981;</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קופות גמל" </w:t>
      </w:r>
      <w:r>
        <w:rPr>
          <w:rStyle w:val="default"/>
          <w:rFonts w:cs="FrankRuehl"/>
          <w:rtl/>
        </w:rPr>
        <w:t>–</w:t>
      </w:r>
      <w:r>
        <w:rPr>
          <w:rStyle w:val="default"/>
          <w:rFonts w:cs="FrankRuehl" w:hint="cs"/>
          <w:rtl/>
        </w:rPr>
        <w:t xml:space="preserve"> חוק הפיקוח על שירותים פיננסיים (קופות גמל), התשס"ה-2005;</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"יחידה רדומה" </w:t>
      </w:r>
      <w:r>
        <w:rPr>
          <w:rStyle w:val="default"/>
          <w:rFonts w:cs="FrankRuehl"/>
          <w:rtl/>
        </w:rPr>
        <w:t>–</w:t>
      </w:r>
      <w:r>
        <w:rPr>
          <w:rStyle w:val="default"/>
          <w:rFonts w:cs="FrankRuehl" w:hint="cs"/>
          <w:rtl/>
        </w:rPr>
        <w:t xml:space="preserve"> כמשמעות יחידות רדומות בסעיף 57(ב)(2) לחוק;</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ההחלטה" </w:t>
      </w:r>
      <w:r>
        <w:rPr>
          <w:rStyle w:val="default"/>
          <w:rFonts w:cs="FrankRuehl"/>
          <w:rtl/>
        </w:rPr>
        <w:t>–</w:t>
      </w:r>
      <w:r>
        <w:rPr>
          <w:rStyle w:val="default"/>
          <w:rFonts w:cs="FrankRuehl" w:hint="cs"/>
          <w:rtl/>
        </w:rPr>
        <w:t xml:space="preserve"> היום שבו נודע למנהל הקרן או למפרק הקרן על מחיקת יחידות הקרן מהמסחר בבורסה;</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"מחיר יחידה" </w:t>
      </w:r>
      <w:r>
        <w:rPr>
          <w:rStyle w:val="default"/>
          <w:rFonts w:cs="FrankRuehl"/>
          <w:rtl/>
        </w:rPr>
        <w:t>–</w:t>
      </w:r>
      <w:r>
        <w:rPr>
          <w:rStyle w:val="default"/>
          <w:rFonts w:cs="FrankRuehl" w:hint="cs"/>
          <w:rtl/>
        </w:rPr>
        <w:t xml:space="preserve"> כהגדרתו בסעיף 50(א)(2) לחוק;</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"מחירי קרן סל" </w:t>
      </w:r>
      <w:r>
        <w:rPr>
          <w:rStyle w:val="default"/>
          <w:rFonts w:cs="FrankRuehl"/>
          <w:rtl/>
        </w:rPr>
        <w:t>–</w:t>
      </w:r>
      <w:r>
        <w:rPr>
          <w:rStyle w:val="default"/>
          <w:rFonts w:cs="FrankRuehl" w:hint="cs"/>
          <w:rtl/>
        </w:rPr>
        <w:t xml:space="preserve"> מחיר פדיון, שווי יחידה ומחיר יחידה;</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"מחיר פדיון" </w:t>
      </w:r>
      <w:r>
        <w:rPr>
          <w:rStyle w:val="default"/>
          <w:rFonts w:cs="FrankRuehl"/>
          <w:rtl/>
        </w:rPr>
        <w:t>–</w:t>
      </w:r>
      <w:r>
        <w:rPr>
          <w:rStyle w:val="default"/>
          <w:rFonts w:cs="FrankRuehl" w:hint="cs"/>
          <w:rtl/>
        </w:rPr>
        <w:t xml:space="preserve"> כמשמעותו בסעיף 56(ב) לחוק;</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כספי אחרים" </w:t>
      </w:r>
      <w:r>
        <w:rPr>
          <w:rStyle w:val="default"/>
          <w:rFonts w:cs="FrankRuehl"/>
          <w:rtl/>
        </w:rPr>
        <w:t>–</w:t>
      </w:r>
      <w:r>
        <w:rPr>
          <w:rStyle w:val="default"/>
          <w:rFonts w:cs="FrankRuehl" w:hint="cs"/>
          <w:rtl/>
        </w:rPr>
        <w:t xml:space="preserve"> כל אחד מאלה:</w:t>
      </w:r>
    </w:p>
    <w:p w:rsidR="00E9630D" w:rsidRDefault="00E9630D" w:rsidP="00E9630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מנהל קרן המבצע עסקה לקרנות שבניהולו לפי החוק;</w:t>
      </w:r>
    </w:p>
    <w:p w:rsidR="00E9630D" w:rsidRDefault="00E9630D" w:rsidP="00E9630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חברה מנהלת כהגדרתה בחוק הפיקוח על קופות הגמל, המבצעת עסקה לעמיתי קופת הגמל בניהולה, למעט קופת גמל בניהול אישי;</w:t>
      </w:r>
    </w:p>
    <w:p w:rsidR="00E9630D" w:rsidRDefault="00E9630D" w:rsidP="00E9630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מבטח כהגדרתו בחוק הפיקוח על הביטוח, המשקיע כספים לכיסוי התחייבויות תלויות תשואה כהגדרתן בחוק האמור;</w:t>
      </w:r>
    </w:p>
    <w:p w:rsidR="00E9630D" w:rsidRDefault="00E9630D" w:rsidP="00E9630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מנהל תיקים המבצע עסקה ללקוח;</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כספי אחרים מוסדי" </w:t>
      </w:r>
      <w:r>
        <w:rPr>
          <w:rStyle w:val="default"/>
          <w:rFonts w:cs="FrankRuehl"/>
          <w:rtl/>
        </w:rPr>
        <w:t>–</w:t>
      </w:r>
      <w:r>
        <w:rPr>
          <w:rStyle w:val="default"/>
          <w:rFonts w:cs="FrankRuehl" w:hint="cs"/>
          <w:rtl/>
        </w:rPr>
        <w:t xml:space="preserve"> הגופים המנויים בפסקאות (1) עד (3) בהגדרה "מנהל כספי אחרים";</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"מסלקה" </w:t>
      </w:r>
      <w:r>
        <w:rPr>
          <w:rStyle w:val="default"/>
          <w:rFonts w:cs="FrankRuehl"/>
          <w:rtl/>
        </w:rPr>
        <w:t>–</w:t>
      </w:r>
      <w:r>
        <w:rPr>
          <w:rStyle w:val="default"/>
          <w:rFonts w:cs="FrankRuehl" w:hint="cs"/>
          <w:rtl/>
        </w:rPr>
        <w:t xml:space="preserve"> כהגדרתה בחוק ניירות ערך;</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"מרשם יחידות" </w:t>
      </w:r>
      <w:r>
        <w:rPr>
          <w:rStyle w:val="default"/>
          <w:rFonts w:cs="FrankRuehl"/>
          <w:rtl/>
        </w:rPr>
        <w:t>–</w:t>
      </w:r>
      <w:r>
        <w:rPr>
          <w:rStyle w:val="default"/>
          <w:rFonts w:cs="FrankRuehl" w:hint="cs"/>
          <w:rtl/>
        </w:rPr>
        <w:t xml:space="preserve"> כמשמעותו בסעיף 95ב לחוק;</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מעקב" </w:t>
      </w:r>
      <w:r>
        <w:rPr>
          <w:rStyle w:val="default"/>
          <w:rFonts w:cs="FrankRuehl"/>
          <w:rtl/>
        </w:rPr>
        <w:t>–</w:t>
      </w:r>
      <w:r>
        <w:rPr>
          <w:rStyle w:val="default"/>
          <w:rFonts w:cs="FrankRuehl" w:hint="cs"/>
          <w:rtl/>
        </w:rPr>
        <w:t xml:space="preserve"> מדד או סחורה שמדיניות ההשקעות של קרן מחקה היא השגת תוצאות </w:t>
      </w:r>
      <w:r>
        <w:rPr>
          <w:rStyle w:val="default"/>
          <w:rFonts w:cs="FrankRuehl" w:hint="cs"/>
          <w:rtl/>
        </w:rPr>
        <w:lastRenderedPageBreak/>
        <w:t>הנגזרות משיעור השינוי במחירו או במחירה;</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"עושה שוק" </w:t>
      </w:r>
      <w:r>
        <w:rPr>
          <w:rStyle w:val="default"/>
          <w:rFonts w:cs="FrankRuehl"/>
          <w:rtl/>
        </w:rPr>
        <w:t>–</w:t>
      </w:r>
      <w:r>
        <w:rPr>
          <w:rStyle w:val="default"/>
          <w:rFonts w:cs="FrankRuehl" w:hint="cs"/>
          <w:rtl/>
        </w:rPr>
        <w:t xml:space="preserve"> כהגדרתו בסעיף 82(א)(6) לחוק;</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"עסקת החלף שאינה במימון" </w:t>
      </w:r>
      <w:r>
        <w:rPr>
          <w:rStyle w:val="default"/>
          <w:rFonts w:cs="FrankRuehl"/>
          <w:rtl/>
        </w:rPr>
        <w:t>–</w:t>
      </w:r>
      <w:r>
        <w:rPr>
          <w:rStyle w:val="default"/>
          <w:rFonts w:cs="FrankRuehl" w:hint="cs"/>
          <w:rtl/>
        </w:rPr>
        <w:t xml:space="preserve"> כהגדרתה בתקנות השקעות משותפות בנאמנות (נכסים שמותר לקנות ולהחזיק בקרן ושיעוריהם המרביים), התשנ"ה-1994;</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"קרן חשיפה הפוכה" </w:t>
      </w:r>
      <w:r>
        <w:rPr>
          <w:rStyle w:val="default"/>
          <w:rFonts w:cs="FrankRuehl"/>
          <w:rtl/>
        </w:rPr>
        <w:t>–</w:t>
      </w:r>
      <w:r>
        <w:rPr>
          <w:rStyle w:val="default"/>
          <w:rFonts w:cs="FrankRuehl" w:hint="cs"/>
          <w:rtl/>
        </w:rPr>
        <w:t xml:space="preserve"> כהגדרתה בתקנות הסיווג;</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"קרן מחקה בחסר" </w:t>
      </w:r>
      <w:r>
        <w:rPr>
          <w:rStyle w:val="default"/>
          <w:rFonts w:cs="FrankRuehl"/>
          <w:rtl/>
        </w:rPr>
        <w:t>–</w:t>
      </w:r>
      <w:r>
        <w:rPr>
          <w:rStyle w:val="default"/>
          <w:rFonts w:cs="FrankRuehl" w:hint="cs"/>
          <w:rtl/>
        </w:rPr>
        <w:t xml:space="preserve"> קרן מחקה שהיא קרן חשיפה הפוכה;</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"קרן מחקה ממונפת" </w:t>
      </w:r>
      <w:r>
        <w:rPr>
          <w:rStyle w:val="default"/>
          <w:rFonts w:cs="FrankRuehl"/>
          <w:rtl/>
        </w:rPr>
        <w:t>–</w:t>
      </w:r>
      <w:r>
        <w:rPr>
          <w:rStyle w:val="default"/>
          <w:rFonts w:cs="FrankRuehl" w:hint="cs"/>
          <w:rtl/>
        </w:rPr>
        <w:t xml:space="preserve"> קרן מחקה שהיא קרן ממונפת כהגדרתה בתקנות האופציות;</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"שווי יחידה" </w:t>
      </w:r>
      <w:r>
        <w:rPr>
          <w:rStyle w:val="default"/>
          <w:rFonts w:cs="FrankRuehl"/>
          <w:rtl/>
        </w:rPr>
        <w:t>–</w:t>
      </w:r>
      <w:r>
        <w:rPr>
          <w:rStyle w:val="default"/>
          <w:rFonts w:cs="FrankRuehl" w:hint="cs"/>
          <w:rtl/>
        </w:rPr>
        <w:t xml:space="preserve"> כהגדרתו בסעיף 50(ב) לחוק;</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"תמהיל נכסים" </w:t>
      </w:r>
      <w:r>
        <w:rPr>
          <w:rStyle w:val="default"/>
          <w:rFonts w:cs="FrankRuehl"/>
          <w:rtl/>
        </w:rPr>
        <w:t>–</w:t>
      </w:r>
      <w:r>
        <w:rPr>
          <w:rStyle w:val="default"/>
          <w:rFonts w:cs="FrankRuehl" w:hint="cs"/>
          <w:rtl/>
        </w:rPr>
        <w:t xml:space="preserve"> נכסים המרכיבים את נכס המעקב בקרן סל לרבות נכסים אחרים היוצרים חשיפה לאותם נכסים, וכן מזומנים;</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חישוב" </w:t>
      </w:r>
      <w:r>
        <w:rPr>
          <w:rStyle w:val="default"/>
          <w:rFonts w:cs="FrankRuehl"/>
          <w:rtl/>
        </w:rPr>
        <w:t>–</w:t>
      </w:r>
      <w:r>
        <w:rPr>
          <w:rStyle w:val="default"/>
          <w:rFonts w:cs="FrankRuehl" w:hint="cs"/>
          <w:rtl/>
        </w:rPr>
        <w:t xml:space="preserve"> תקופה שמיום 31 בדצמבר של השנה הקודמת לשנה שבה חל יום חישוב המחירים, או יום הצעת יחידות הקרן לציבור לראשונה, המאוחר מביניהם, עד יום חישוב המחירים;</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האופציות" </w:t>
      </w:r>
      <w:r>
        <w:rPr>
          <w:rStyle w:val="default"/>
          <w:rFonts w:cs="FrankRuehl"/>
          <w:rtl/>
        </w:rPr>
        <w:t>–</w:t>
      </w:r>
      <w:r>
        <w:rPr>
          <w:rStyle w:val="default"/>
          <w:rFonts w:cs="FrankRuehl" w:hint="cs"/>
          <w:rtl/>
        </w:rPr>
        <w:t xml:space="preserve"> תקנות השקעות משותפות בנאמנות (אופציות, חוזים עתידים ומכירות בחסר), התשס"א-2001;</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הדוחות" </w:t>
      </w:r>
      <w:r>
        <w:rPr>
          <w:rStyle w:val="default"/>
          <w:rFonts w:cs="FrankRuehl"/>
          <w:rtl/>
        </w:rPr>
        <w:t>–</w:t>
      </w:r>
      <w:r>
        <w:rPr>
          <w:rStyle w:val="default"/>
          <w:rFonts w:cs="FrankRuehl" w:hint="cs"/>
          <w:rtl/>
        </w:rPr>
        <w:t xml:space="preserve"> תקנות השקעות משותפות בנאמנות (דוחות), התשנ"ה-1994;</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הנכסים" </w:t>
      </w:r>
      <w:r>
        <w:rPr>
          <w:rStyle w:val="default"/>
          <w:rFonts w:cs="FrankRuehl"/>
          <w:rtl/>
        </w:rPr>
        <w:t>–</w:t>
      </w:r>
      <w:r>
        <w:rPr>
          <w:rStyle w:val="default"/>
          <w:rFonts w:cs="FrankRuehl" w:hint="cs"/>
          <w:rtl/>
        </w:rPr>
        <w:t xml:space="preserve"> תקנות השקעות משותפות בנאמנות (נכסים שניתן לקנות ולהחזיק בקרן ושיעוריהם המרביים), התשנ"ה-1994;</w:t>
      </w:r>
    </w:p>
    <w:p w:rsidR="00E9630D" w:rsidRDefault="00E9630D" w:rsidP="00A1005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הסיווג" </w:t>
      </w:r>
      <w:r>
        <w:rPr>
          <w:rStyle w:val="default"/>
          <w:rFonts w:cs="FrankRuehl"/>
          <w:rtl/>
        </w:rPr>
        <w:t>–</w:t>
      </w:r>
      <w:r>
        <w:rPr>
          <w:rStyle w:val="default"/>
          <w:rFonts w:cs="FrankRuehl" w:hint="cs"/>
          <w:rtl/>
        </w:rPr>
        <w:t xml:space="preserve"> תקנות השקעות משותפות בנאמנות (סיווג קרנות לצורך פרסום), התשס"ח-2007;</w:t>
      </w:r>
    </w:p>
    <w:p w:rsidR="00E9630D" w:rsidRDefault="00E9630D" w:rsidP="00A1005E">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"תשואה" </w:t>
      </w:r>
      <w:r>
        <w:rPr>
          <w:rStyle w:val="default"/>
          <w:rFonts w:cs="FrankRuehl"/>
          <w:rtl/>
        </w:rPr>
        <w:t>–</w:t>
      </w:r>
      <w:r>
        <w:rPr>
          <w:rStyle w:val="default"/>
          <w:rFonts w:cs="FrankRuehl" w:hint="cs"/>
          <w:rtl/>
        </w:rPr>
        <w:t xml:space="preserve"> שחושבה בדרך הקבועה בתקנות השקעות משותפות בנאמנות (חישוב תשואה), התשנ"ה-1995.</w:t>
      </w:r>
    </w:p>
    <w:p w:rsidR="00A1005E" w:rsidRPr="00A1005E" w:rsidRDefault="00A1005E" w:rsidP="00A1005E">
      <w:pPr>
        <w:pStyle w:val="medium2-header"/>
        <w:keepLines w:val="0"/>
        <w:spacing w:before="72"/>
        <w:ind w:left="0" w:right="1134"/>
        <w:outlineLvl w:val="0"/>
        <w:rPr>
          <w:rFonts w:cs="FrankRuehl" w:hint="cs"/>
          <w:noProof/>
          <w:rtl/>
        </w:rPr>
      </w:pPr>
      <w:bookmarkStart w:id="2" w:name="med1"/>
      <w:bookmarkEnd w:id="2"/>
      <w:r w:rsidRPr="00A1005E">
        <w:rPr>
          <w:rFonts w:cs="FrankRuehl" w:hint="cs"/>
          <w:noProof/>
          <w:rtl/>
        </w:rPr>
        <w:t xml:space="preserve">פרק ב': </w:t>
      </w:r>
      <w:r w:rsidR="00E9630D">
        <w:rPr>
          <w:rFonts w:cs="FrankRuehl" w:hint="cs"/>
          <w:noProof/>
          <w:rtl/>
        </w:rPr>
        <w:t>תחולה</w:t>
      </w:r>
    </w:p>
    <w:p w:rsidR="00642120" w:rsidRDefault="00642120" w:rsidP="00A1005E">
      <w:pPr>
        <w:pStyle w:val="P00"/>
        <w:spacing w:before="72"/>
        <w:ind w:left="0" w:right="1134"/>
        <w:rPr>
          <w:rStyle w:val="default"/>
          <w:rFonts w:cs="FrankRuehl"/>
          <w:rtl/>
        </w:rPr>
      </w:pPr>
      <w:bookmarkStart w:id="3" w:name="Seif2"/>
      <w:bookmarkEnd w:id="3"/>
      <w:r>
        <w:rPr>
          <w:lang w:val="he-IL"/>
        </w:rPr>
        <w:pict>
          <v:rect id="_x0000_s1108" style="position:absolute;left:0;text-align:left;margin-left:464.5pt;margin-top:8.05pt;width:75.05pt;height:23.25pt;z-index:251650048" o:allowincell="f" filled="f" stroked="f" strokecolor="lime" strokeweight=".25pt">
            <v:textbox style="mso-next-textbox:#_x0000_s1108" inset="0,0,0,0">
              <w:txbxContent>
                <w:p w:rsidR="00A57AC2" w:rsidRDefault="00E9630D" w:rsidP="006A0AF5">
                  <w:pPr>
                    <w:spacing w:line="160" w:lineRule="exact"/>
                    <w:jc w:val="left"/>
                    <w:rPr>
                      <w:rFonts w:cs="Miriam" w:hint="cs"/>
                      <w:noProof/>
                      <w:sz w:val="18"/>
                      <w:szCs w:val="18"/>
                      <w:rtl/>
                    </w:rPr>
                  </w:pPr>
                  <w:r>
                    <w:rPr>
                      <w:rFonts w:cs="Miriam" w:hint="cs"/>
                      <w:sz w:val="18"/>
                      <w:szCs w:val="18"/>
                      <w:rtl/>
                    </w:rPr>
                    <w:t>תחולת החוק על הסדרים עוקבי מטבע</w:t>
                  </w:r>
                </w:p>
              </w:txbxContent>
            </v:textbox>
            <w10:anchorlock/>
          </v:rect>
        </w:pict>
      </w:r>
      <w:r w:rsidR="00955AC8">
        <w:rPr>
          <w:rStyle w:val="big-number"/>
          <w:rFonts w:cs="Miriam" w:hint="cs"/>
          <w:rtl/>
        </w:rPr>
        <w:t>2</w:t>
      </w:r>
      <w:r w:rsidRPr="0045552F">
        <w:rPr>
          <w:rStyle w:val="default"/>
          <w:rFonts w:cs="FrankRuehl"/>
          <w:rtl/>
        </w:rPr>
        <w:t>.</w:t>
      </w:r>
      <w:r w:rsidRPr="0045552F">
        <w:rPr>
          <w:rStyle w:val="default"/>
          <w:rFonts w:cs="FrankRuehl"/>
          <w:rtl/>
        </w:rPr>
        <w:tab/>
      </w:r>
      <w:r w:rsidR="00E9630D">
        <w:rPr>
          <w:rStyle w:val="default"/>
          <w:rFonts w:cs="FrankRuehl" w:hint="cs"/>
          <w:rtl/>
        </w:rPr>
        <w:t>החוק יחול על תעודת התחייבות, שהיא הסדר להשקעה משותפת שמטרתו השקעה במטבעות וקבלת תמורה הנגזרת ממחירם, שמקנה למחזיק בה זכות לקבלת תמורה הנגזרת ממחירם של מטבעות, אלא אם כן התקיימו בה כל אלה:</w:t>
      </w:r>
    </w:p>
    <w:p w:rsidR="00E9630D" w:rsidRDefault="00E9630D" w:rsidP="00E9630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הנכסים המגבים את ההתחייבות לפי התעודה הם פיקדונות בבנק בישראל או בבנק מחוץ לישראל בלבד;</w:t>
      </w:r>
    </w:p>
    <w:p w:rsidR="00E9630D" w:rsidRDefault="00E9630D" w:rsidP="00E9630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ניהול הנכסים המגבים את </w:t>
      </w:r>
      <w:r w:rsidR="004F6206">
        <w:rPr>
          <w:rStyle w:val="default"/>
          <w:rFonts w:cs="FrankRuehl" w:hint="cs"/>
          <w:rtl/>
        </w:rPr>
        <w:t>ההתחייבות לפי התעודה אינו כולל קבלת החלטות השקעה תוך הפעלת שיקול דעת שלא לפי כללים שנקבעו בתשקיף, ותחלופת הנכסים האמורים תהיה במועדים הנקובים בתשקיף ולפי כללים כאמור;</w:t>
      </w:r>
    </w:p>
    <w:p w:rsidR="004F6206" w:rsidRDefault="004F6206" w:rsidP="00E9630D">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265592">
        <w:rPr>
          <w:rStyle w:val="default"/>
          <w:rFonts w:cs="FrankRuehl" w:hint="cs"/>
          <w:rtl/>
        </w:rPr>
        <w:t>פדיון התעודות יהיה רק במועדי תחלופת הנכסים כאמור בפסקה (2).</w:t>
      </w:r>
    </w:p>
    <w:p w:rsidR="00DB723B" w:rsidRPr="00DB723B" w:rsidRDefault="00DB723B" w:rsidP="00DB723B">
      <w:pPr>
        <w:pStyle w:val="medium2-header"/>
        <w:keepLines w:val="0"/>
        <w:spacing w:before="72"/>
        <w:ind w:left="0" w:right="1134"/>
        <w:outlineLvl w:val="0"/>
        <w:rPr>
          <w:rFonts w:cs="FrankRuehl" w:hint="cs"/>
          <w:noProof/>
          <w:rtl/>
        </w:rPr>
      </w:pPr>
      <w:bookmarkStart w:id="4" w:name="med2"/>
      <w:bookmarkEnd w:id="4"/>
      <w:r w:rsidRPr="00DB723B">
        <w:rPr>
          <w:rFonts w:cs="FrankRuehl" w:hint="cs"/>
          <w:noProof/>
          <w:rtl/>
        </w:rPr>
        <w:t xml:space="preserve">פרק ג': </w:t>
      </w:r>
      <w:r w:rsidR="00265592">
        <w:rPr>
          <w:rFonts w:cs="FrankRuehl" w:hint="cs"/>
          <w:noProof/>
          <w:rtl/>
        </w:rPr>
        <w:t>עושה השוק</w:t>
      </w:r>
    </w:p>
    <w:p w:rsidR="009F35FF" w:rsidRDefault="009F35FF" w:rsidP="00DB723B">
      <w:pPr>
        <w:pStyle w:val="P00"/>
        <w:spacing w:before="72"/>
        <w:ind w:left="0" w:right="1134"/>
        <w:rPr>
          <w:rStyle w:val="default"/>
          <w:rFonts w:cs="FrankRuehl"/>
          <w:rtl/>
        </w:rPr>
      </w:pPr>
      <w:bookmarkStart w:id="5" w:name="Seif3"/>
      <w:bookmarkEnd w:id="5"/>
      <w:r>
        <w:rPr>
          <w:lang w:val="he-IL"/>
        </w:rPr>
        <w:pict>
          <v:rect id="_x0000_s1198" style="position:absolute;left:0;text-align:left;margin-left:464.5pt;margin-top:8.05pt;width:75.05pt;height:28.25pt;z-index:251651072" o:allowincell="f" filled="f" stroked="f" strokecolor="lime" strokeweight=".25pt">
            <v:textbox style="mso-next-textbox:#_x0000_s1198" inset="0,0,0,0">
              <w:txbxContent>
                <w:p w:rsidR="00A57AC2" w:rsidRDefault="00265592" w:rsidP="009F35FF">
                  <w:pPr>
                    <w:spacing w:line="160" w:lineRule="exact"/>
                    <w:jc w:val="left"/>
                    <w:rPr>
                      <w:rFonts w:cs="Miriam" w:hint="cs"/>
                      <w:noProof/>
                      <w:sz w:val="18"/>
                      <w:szCs w:val="18"/>
                      <w:rtl/>
                    </w:rPr>
                  </w:pPr>
                  <w:r>
                    <w:rPr>
                      <w:rFonts w:cs="Miriam" w:hint="cs"/>
                      <w:sz w:val="18"/>
                      <w:szCs w:val="18"/>
                      <w:rtl/>
                    </w:rPr>
                    <w:t>חובת מינוי עושה שוק ועשיית שוק ביחידות קרן סל</w:t>
                  </w:r>
                </w:p>
              </w:txbxContent>
            </v:textbox>
            <w10:anchorlock/>
          </v:rect>
        </w:pict>
      </w:r>
      <w:r>
        <w:rPr>
          <w:rStyle w:val="big-number"/>
          <w:rFonts w:cs="Miriam" w:hint="cs"/>
          <w:rtl/>
        </w:rPr>
        <w:t>3</w:t>
      </w:r>
      <w:r w:rsidRPr="00457607">
        <w:rPr>
          <w:rStyle w:val="default"/>
          <w:rFonts w:cs="FrankRuehl"/>
          <w:rtl/>
        </w:rPr>
        <w:t>.</w:t>
      </w:r>
      <w:r w:rsidRPr="00457607">
        <w:rPr>
          <w:rStyle w:val="default"/>
          <w:rFonts w:cs="FrankRuehl"/>
          <w:rtl/>
        </w:rPr>
        <w:tab/>
      </w:r>
      <w:r w:rsidR="00265592">
        <w:rPr>
          <w:rStyle w:val="default"/>
          <w:rFonts w:cs="FrankRuehl" w:hint="cs"/>
          <w:rtl/>
        </w:rPr>
        <w:t>(א)</w:t>
      </w:r>
      <w:r w:rsidR="00265592">
        <w:rPr>
          <w:rStyle w:val="default"/>
          <w:rFonts w:cs="FrankRuehl"/>
          <w:rtl/>
        </w:rPr>
        <w:tab/>
      </w:r>
      <w:r w:rsidR="00265592">
        <w:rPr>
          <w:rStyle w:val="default"/>
          <w:rFonts w:cs="FrankRuehl" w:hint="cs"/>
          <w:rtl/>
        </w:rPr>
        <w:t xml:space="preserve">מנהל קרן יתקשר </w:t>
      </w:r>
      <w:r w:rsidR="00CD4ACE">
        <w:rPr>
          <w:rStyle w:val="default"/>
          <w:rFonts w:cs="FrankRuehl" w:hint="cs"/>
          <w:rtl/>
        </w:rPr>
        <w:t>בהסכם עם חברה, כדי שתשמש בעבורו כעושה שוק ביחידות קרן סל שבניהולו; עושה שוק כאמור יהיה חברה שעיסוקה הבלעדי הוא פעילות עשיית שוק, והיא לא תהיה חברה שבשליטת מנהל הקרן או חברה השולטת בו</w:t>
      </w:r>
      <w:r w:rsidR="00DB723B">
        <w:rPr>
          <w:rStyle w:val="default"/>
          <w:rFonts w:cs="FrankRuehl" w:hint="cs"/>
          <w:rtl/>
        </w:rPr>
        <w:t>.</w:t>
      </w:r>
    </w:p>
    <w:p w:rsidR="00CD4ACE" w:rsidRDefault="00CD4ACE" w:rsidP="00DB723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הסכם כאמור בתקנת משנה (א) יחייב את עושה השוק לבצע פעילות עשיית שוק ביחידות הקרן בכל יום חישוב מחירים.</w:t>
      </w:r>
    </w:p>
    <w:p w:rsidR="00CD4ACE" w:rsidRDefault="00CD4ACE" w:rsidP="00DB723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עושה השוק לא יבצע עסקאות מתואמות ועסקאות מחוץ לבורסה ביחידות הקרן.</w:t>
      </w:r>
    </w:p>
    <w:p w:rsidR="00CD4ACE" w:rsidRDefault="00CD4ACE" w:rsidP="00DB723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035B38">
        <w:rPr>
          <w:rStyle w:val="default"/>
          <w:rFonts w:cs="FrankRuehl" w:hint="cs"/>
          <w:rtl/>
        </w:rPr>
        <w:t xml:space="preserve">על אף האמור בתקנת משנה (ג), עושה השוק, רשאי לבצע עסקה מתואמת ביחידות קרן סל עם מנהל כספי אחרים, ובלבד שמחיר העסקה כאמור, אינו נמוך מחצי מיליון שקלים חדשים, וכן רשאי לבצע עסקאות מחוץ לבורסה ובלבד שמחיר העסקה כאמור אינו נמוך מחמישה מיליון שקלים חדשים; בתקנת משנה זו, "עסקה מחוץ לבורסה" </w:t>
      </w:r>
      <w:r w:rsidR="00035B38">
        <w:rPr>
          <w:rStyle w:val="default"/>
          <w:rFonts w:cs="FrankRuehl"/>
          <w:rtl/>
        </w:rPr>
        <w:t>–</w:t>
      </w:r>
      <w:r w:rsidR="00035B38">
        <w:rPr>
          <w:rStyle w:val="default"/>
          <w:rFonts w:cs="FrankRuehl" w:hint="cs"/>
          <w:rtl/>
        </w:rPr>
        <w:t xml:space="preserve"> עסקה של עושה השוק עם מנהל כספי אחרים מוסדי שאינו מנהל קרן ובלבד שאם נכס המעקב של הקרן הוא מדד ניירות ערך ישראליים לצורך ביצוע אותה עסקה נדרש עושה השוק לרכוש ניירות ערך במהלך יום המסחר בבורסה, ומחיר העסקה יהיה לפי מחירי רכישות אלה.</w:t>
      </w:r>
    </w:p>
    <w:p w:rsidR="00035B38" w:rsidRDefault="00035B38" w:rsidP="00DB723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הבורסה תנטר אחר עמידתו של עושה השוק בכללים שקבעה בתקנות הבורסה ותדווח למנהל הקרן ולרשות על ממצאי בדיקתה.</w:t>
      </w:r>
    </w:p>
    <w:p w:rsidR="00035B38" w:rsidRPr="00035B38" w:rsidRDefault="00035B38" w:rsidP="00035B38">
      <w:pPr>
        <w:pStyle w:val="medium2-header"/>
        <w:keepLines w:val="0"/>
        <w:spacing w:before="72"/>
        <w:ind w:left="0" w:right="1134"/>
        <w:outlineLvl w:val="0"/>
        <w:rPr>
          <w:rFonts w:cs="FrankRuehl"/>
          <w:noProof/>
          <w:rtl/>
        </w:rPr>
      </w:pPr>
      <w:bookmarkStart w:id="6" w:name="med3"/>
      <w:bookmarkEnd w:id="6"/>
      <w:r w:rsidRPr="00035B38">
        <w:rPr>
          <w:rFonts w:cs="FrankRuehl" w:hint="cs"/>
          <w:noProof/>
          <w:rtl/>
        </w:rPr>
        <w:t>פרק ד': יצירה ופדיון</w:t>
      </w:r>
    </w:p>
    <w:p w:rsidR="00583639" w:rsidRDefault="00583639" w:rsidP="00DB723B">
      <w:pPr>
        <w:pStyle w:val="P00"/>
        <w:spacing w:before="72"/>
        <w:ind w:left="0" w:right="1134"/>
        <w:rPr>
          <w:rStyle w:val="default"/>
          <w:rFonts w:cs="FrankRuehl"/>
          <w:rtl/>
        </w:rPr>
      </w:pPr>
      <w:bookmarkStart w:id="7" w:name="Seif4"/>
      <w:bookmarkEnd w:id="7"/>
      <w:r>
        <w:rPr>
          <w:lang w:val="he-IL"/>
        </w:rPr>
        <w:pict>
          <v:rect id="_x0000_s1201" style="position:absolute;left:0;text-align:left;margin-left:471.25pt;margin-top:8.05pt;width:68.3pt;height:21.85pt;z-index:251652096" o:allowincell="f" filled="f" stroked="f" strokecolor="lime" strokeweight=".25pt">
            <v:textbox style="mso-next-textbox:#_x0000_s1201" inset="0,0,0,0">
              <w:txbxContent>
                <w:p w:rsidR="00A57AC2" w:rsidRDefault="00035B38" w:rsidP="00583639">
                  <w:pPr>
                    <w:spacing w:line="160" w:lineRule="exact"/>
                    <w:jc w:val="left"/>
                    <w:rPr>
                      <w:rFonts w:cs="Miriam" w:hint="cs"/>
                      <w:noProof/>
                      <w:sz w:val="18"/>
                      <w:szCs w:val="18"/>
                      <w:rtl/>
                    </w:rPr>
                  </w:pPr>
                  <w:r>
                    <w:rPr>
                      <w:rFonts w:cs="Miriam" w:hint="cs"/>
                      <w:sz w:val="18"/>
                      <w:szCs w:val="18"/>
                      <w:rtl/>
                    </w:rPr>
                    <w:t>הקצאת יחידות לקרן סל</w:t>
                  </w:r>
                </w:p>
              </w:txbxContent>
            </v:textbox>
            <w10:anchorlock/>
          </v:rect>
        </w:pict>
      </w:r>
      <w:r w:rsidR="006A75B5">
        <w:rPr>
          <w:rStyle w:val="big-number"/>
          <w:rFonts w:cs="Miriam" w:hint="cs"/>
          <w:rtl/>
        </w:rPr>
        <w:t>4</w:t>
      </w:r>
      <w:r w:rsidRPr="00457607">
        <w:rPr>
          <w:rStyle w:val="default"/>
          <w:rFonts w:cs="FrankRuehl"/>
          <w:rtl/>
        </w:rPr>
        <w:t>.</w:t>
      </w:r>
      <w:r w:rsidRPr="00457607">
        <w:rPr>
          <w:rStyle w:val="default"/>
          <w:rFonts w:cs="FrankRuehl"/>
          <w:rtl/>
        </w:rPr>
        <w:tab/>
      </w:r>
      <w:r w:rsidR="00DB723B">
        <w:rPr>
          <w:rStyle w:val="default"/>
          <w:rFonts w:cs="FrankRuehl" w:hint="cs"/>
          <w:rtl/>
        </w:rPr>
        <w:t xml:space="preserve">מנהל קרן </w:t>
      </w:r>
      <w:r w:rsidR="00035B38">
        <w:rPr>
          <w:rStyle w:val="default"/>
          <w:rFonts w:cs="FrankRuehl" w:hint="cs"/>
          <w:rtl/>
        </w:rPr>
        <w:t>רשאי להקצות יחידות של קרן סל שבניהולו לקרן, ובלבד שניתן אישור הבורסה לרישומן למסחר</w:t>
      </w:r>
      <w:r w:rsidR="00DB723B">
        <w:rPr>
          <w:rStyle w:val="default"/>
          <w:rFonts w:cs="FrankRuehl" w:hint="cs"/>
          <w:rtl/>
        </w:rPr>
        <w:t>.</w:t>
      </w:r>
    </w:p>
    <w:p w:rsidR="00583639" w:rsidRDefault="00583639" w:rsidP="00DB723B">
      <w:pPr>
        <w:pStyle w:val="P00"/>
        <w:spacing w:before="72"/>
        <w:ind w:left="0" w:right="1134"/>
        <w:rPr>
          <w:rStyle w:val="default"/>
          <w:rFonts w:cs="FrankRuehl"/>
          <w:rtl/>
        </w:rPr>
      </w:pPr>
      <w:bookmarkStart w:id="8" w:name="Seif5"/>
      <w:bookmarkEnd w:id="8"/>
      <w:r>
        <w:rPr>
          <w:lang w:val="he-IL"/>
        </w:rPr>
        <w:pict>
          <v:rect id="_x0000_s1202" style="position:absolute;left:0;text-align:left;margin-left:464.5pt;margin-top:8.05pt;width:75.05pt;height:29.05pt;z-index:251653120" o:allowincell="f" filled="f" stroked="f" strokecolor="lime" strokeweight=".25pt">
            <v:textbox style="mso-next-textbox:#_x0000_s1202" inset="0,0,0,0">
              <w:txbxContent>
                <w:p w:rsidR="00A57AC2" w:rsidRDefault="00035B38" w:rsidP="00583639">
                  <w:pPr>
                    <w:spacing w:line="160" w:lineRule="exact"/>
                    <w:jc w:val="left"/>
                    <w:rPr>
                      <w:rFonts w:cs="Miriam" w:hint="cs"/>
                      <w:noProof/>
                      <w:sz w:val="18"/>
                      <w:szCs w:val="18"/>
                      <w:rtl/>
                    </w:rPr>
                  </w:pPr>
                  <w:r>
                    <w:rPr>
                      <w:rFonts w:cs="Miriam" w:hint="cs"/>
                      <w:sz w:val="18"/>
                      <w:szCs w:val="18"/>
                      <w:rtl/>
                    </w:rPr>
                    <w:t>הזמנה והוראות לפדיון של יחידות קרן סל</w:t>
                  </w:r>
                </w:p>
              </w:txbxContent>
            </v:textbox>
            <w10:anchorlock/>
          </v:rect>
        </w:pict>
      </w:r>
      <w:r w:rsidR="006A75B5">
        <w:rPr>
          <w:rStyle w:val="big-number"/>
          <w:rFonts w:cs="Miriam" w:hint="cs"/>
          <w:rtl/>
        </w:rPr>
        <w:t>5</w:t>
      </w:r>
      <w:r w:rsidRPr="00457607">
        <w:rPr>
          <w:rStyle w:val="default"/>
          <w:rFonts w:cs="FrankRuehl"/>
          <w:rtl/>
        </w:rPr>
        <w:t>.</w:t>
      </w:r>
      <w:r w:rsidRPr="00457607">
        <w:rPr>
          <w:rStyle w:val="default"/>
          <w:rFonts w:cs="FrankRuehl"/>
          <w:rtl/>
        </w:rPr>
        <w:tab/>
      </w:r>
      <w:r w:rsidR="00035B38">
        <w:rPr>
          <w:rStyle w:val="default"/>
          <w:rFonts w:cs="FrankRuehl" w:hint="cs"/>
          <w:rtl/>
        </w:rPr>
        <w:t>(א)</w:t>
      </w:r>
      <w:r w:rsidR="00035B38">
        <w:rPr>
          <w:rStyle w:val="default"/>
          <w:rFonts w:cs="FrankRuehl"/>
          <w:rtl/>
        </w:rPr>
        <w:tab/>
      </w:r>
      <w:r w:rsidR="00035B38">
        <w:rPr>
          <w:rStyle w:val="default"/>
          <w:rFonts w:cs="FrankRuehl" w:hint="cs"/>
          <w:rtl/>
        </w:rPr>
        <w:t>הזמנות ליחידות של קרן סל והוראות לפדיונן יוגשו למפיץ; מפיץ לא יסרב להפיץ יחידות של קרן סל המוצעות לפי תשקיף שהרשות התירה את פרסומו מטעמים הקשורים בקרן או במנהל הקרן; הוראות סעיפים 44(ב) ו-(ג), 46(ג), ו-46(ז) עד (ט) לחוק יחולו, בשינויים המחויבים, על הזמנת יחידות והוראה לפדיון כאמור</w:t>
      </w:r>
      <w:r w:rsidR="00A935CA">
        <w:rPr>
          <w:rStyle w:val="default"/>
          <w:rFonts w:cs="FrankRuehl" w:hint="cs"/>
          <w:rtl/>
        </w:rPr>
        <w:t>.</w:t>
      </w:r>
    </w:p>
    <w:p w:rsidR="00035B38" w:rsidRDefault="00035B38" w:rsidP="00DB723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קרן ייענה להזמנת יחידה של קרן סל שבניהולו או יפדה יחידה כאמור, לפי הזמנה או הוראה שקיבל מהמפיץ, בכל יום חישוב מחירים.</w:t>
      </w:r>
    </w:p>
    <w:p w:rsidR="00035B38" w:rsidRDefault="00035B38" w:rsidP="00DB723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41BC5">
        <w:rPr>
          <w:rStyle w:val="default"/>
          <w:rFonts w:cs="FrankRuehl" w:hint="cs"/>
          <w:rtl/>
        </w:rPr>
        <w:t>מנהל קרן סל רשאי להודיע בתשקיף או בדוח כי לא יענה להזמנת יחידות בסכום העולה על סכום שהחליט.</w:t>
      </w:r>
    </w:p>
    <w:p w:rsidR="00A41BC5" w:rsidRDefault="00A41BC5" w:rsidP="00DB723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קרן סל רשאי להפסיק מזמן לזמן את הצעת היחידות לציבור ולחדשה, ובלבד שדיווח על כך לפי תקנה 20יד לתקנות הדוחות.</w:t>
      </w:r>
    </w:p>
    <w:p w:rsidR="00A41BC5" w:rsidRDefault="00A41BC5" w:rsidP="00DB723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סעיפים </w:t>
      </w:r>
      <w:r w:rsidR="00AA6C06">
        <w:rPr>
          <w:rStyle w:val="default"/>
          <w:rFonts w:cs="FrankRuehl" w:hint="cs"/>
          <w:rtl/>
        </w:rPr>
        <w:t>56</w:t>
      </w:r>
      <w:r>
        <w:rPr>
          <w:rStyle w:val="default"/>
          <w:rFonts w:cs="FrankRuehl" w:hint="cs"/>
          <w:rtl/>
        </w:rPr>
        <w:t>(ג) ו-(ד) לחוק לא יחולו על פדיון יחידות קרן סל.</w:t>
      </w:r>
    </w:p>
    <w:p w:rsidR="00583639" w:rsidRDefault="00583639" w:rsidP="00DB723B">
      <w:pPr>
        <w:pStyle w:val="P00"/>
        <w:spacing w:before="72"/>
        <w:ind w:left="0" w:right="1134"/>
        <w:rPr>
          <w:rStyle w:val="default"/>
          <w:rFonts w:cs="FrankRuehl"/>
          <w:rtl/>
        </w:rPr>
      </w:pPr>
      <w:bookmarkStart w:id="9" w:name="Seif6"/>
      <w:bookmarkEnd w:id="9"/>
      <w:r>
        <w:rPr>
          <w:lang w:val="he-IL"/>
        </w:rPr>
        <w:pict>
          <v:rect id="_x0000_s1203" style="position:absolute;left:0;text-align:left;margin-left:464.35pt;margin-top:7.1pt;width:75.05pt;height:14pt;z-index:251654144" o:allowincell="f" filled="f" stroked="f" strokecolor="lime" strokeweight=".25pt">
            <v:textbox style="mso-next-textbox:#_x0000_s1203" inset="0,0,0,0">
              <w:txbxContent>
                <w:p w:rsidR="00A57AC2" w:rsidRDefault="00A41BC5" w:rsidP="00DB723B">
                  <w:pPr>
                    <w:spacing w:line="160" w:lineRule="exact"/>
                    <w:jc w:val="left"/>
                    <w:rPr>
                      <w:rFonts w:cs="Miriam" w:hint="cs"/>
                      <w:noProof/>
                      <w:sz w:val="18"/>
                      <w:szCs w:val="18"/>
                      <w:rtl/>
                    </w:rPr>
                  </w:pPr>
                  <w:r>
                    <w:rPr>
                      <w:rFonts w:cs="Miriam" w:hint="cs"/>
                      <w:sz w:val="18"/>
                      <w:szCs w:val="18"/>
                      <w:rtl/>
                    </w:rPr>
                    <w:t>ניכוי עמלת פדיון</w:t>
                  </w:r>
                </w:p>
              </w:txbxContent>
            </v:textbox>
            <w10:anchorlock/>
          </v:rect>
        </w:pict>
      </w:r>
      <w:r w:rsidR="006A75B5">
        <w:rPr>
          <w:rStyle w:val="big-number"/>
          <w:rFonts w:cs="Miriam" w:hint="cs"/>
          <w:rtl/>
        </w:rPr>
        <w:t>6</w:t>
      </w:r>
      <w:r w:rsidRPr="0031108B">
        <w:rPr>
          <w:rStyle w:val="default"/>
          <w:rFonts w:cs="FrankRuehl"/>
          <w:rtl/>
        </w:rPr>
        <w:t>.</w:t>
      </w:r>
      <w:r w:rsidRPr="0031108B">
        <w:rPr>
          <w:rStyle w:val="default"/>
          <w:rFonts w:cs="FrankRuehl"/>
          <w:rtl/>
        </w:rPr>
        <w:tab/>
      </w:r>
      <w:r w:rsidR="00DB723B">
        <w:rPr>
          <w:rStyle w:val="default"/>
          <w:rFonts w:cs="FrankRuehl" w:hint="cs"/>
          <w:rtl/>
        </w:rPr>
        <w:t>(א)</w:t>
      </w:r>
      <w:r w:rsidR="00DB723B">
        <w:rPr>
          <w:rStyle w:val="default"/>
          <w:rFonts w:cs="FrankRuehl" w:hint="cs"/>
          <w:rtl/>
        </w:rPr>
        <w:tab/>
      </w:r>
      <w:r w:rsidR="00A41BC5">
        <w:rPr>
          <w:rStyle w:val="default"/>
          <w:rFonts w:cs="FrankRuehl" w:hint="cs"/>
          <w:rtl/>
        </w:rPr>
        <w:t>קיבל מנהל קרן הוראה לפדיון יחידה של קרן סל, יעביר מחשבון הקרן למפיץ באמצעות המסלקה, סכום במזומנים השווה למחיר הפדיון של היחידה שנפדתה בניכוי עמלת פדיון בשיעורים האלה:</w:t>
      </w:r>
    </w:p>
    <w:p w:rsidR="00A41BC5" w:rsidRDefault="00A41BC5" w:rsidP="004B125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872D3">
        <w:rPr>
          <w:rStyle w:val="default"/>
          <w:rFonts w:cs="FrankRuehl" w:hint="cs"/>
          <w:rtl/>
        </w:rPr>
        <w:t xml:space="preserve">בקרן סל ששיעור החשיפה הכולל שלה למדד איגרות חוב הנסחרות בבורסה בישראל, לרבות מלווה קצר מועד, ולמדד המורכב כולו ממניות הנסחרות בישראל שעלויות יצירת החשיפה אליו נמוכות, עולה על חמישים אחוזים משווי נכסי הקרן </w:t>
      </w:r>
      <w:r w:rsidR="00D872D3">
        <w:rPr>
          <w:rStyle w:val="default"/>
          <w:rFonts w:cs="FrankRuehl"/>
          <w:rtl/>
        </w:rPr>
        <w:t>–</w:t>
      </w:r>
      <w:r w:rsidR="00D872D3">
        <w:rPr>
          <w:rStyle w:val="default"/>
          <w:rFonts w:cs="FrankRuehl" w:hint="cs"/>
          <w:rtl/>
        </w:rPr>
        <w:t xml:space="preserve"> 0.1%;</w:t>
      </w:r>
    </w:p>
    <w:p w:rsidR="00D872D3" w:rsidRDefault="00D872D3" w:rsidP="004B125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בקרן סל ששיעור החשיפה שלה למדד המורכב כולו </w:t>
      </w:r>
      <w:r w:rsidR="004B1254">
        <w:rPr>
          <w:rStyle w:val="default"/>
          <w:rFonts w:cs="FrankRuehl" w:hint="cs"/>
          <w:rtl/>
        </w:rPr>
        <w:t xml:space="preserve">מנכסים הנסחרים מחוץ לישראל עולה על חמישים אחוזים משווי נכסיה או שהיא קרן שלא ניתן לקבוע לגביה רכיב דמי ניהול משתנים לפי תקנה 11(א) </w:t>
      </w:r>
      <w:r w:rsidR="004B1254">
        <w:rPr>
          <w:rStyle w:val="default"/>
          <w:rFonts w:cs="FrankRuehl"/>
          <w:rtl/>
        </w:rPr>
        <w:t>–</w:t>
      </w:r>
      <w:r w:rsidR="004B1254">
        <w:rPr>
          <w:rStyle w:val="default"/>
          <w:rFonts w:cs="FrankRuehl" w:hint="cs"/>
          <w:rtl/>
        </w:rPr>
        <w:t xml:space="preserve"> 0.3%;</w:t>
      </w:r>
    </w:p>
    <w:p w:rsidR="004B1254" w:rsidRDefault="004B1254" w:rsidP="004B125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בקרן סל שאינה כאמור בפסקאות (1) או (2) </w:t>
      </w:r>
      <w:r>
        <w:rPr>
          <w:rStyle w:val="default"/>
          <w:rFonts w:cs="FrankRuehl"/>
          <w:rtl/>
        </w:rPr>
        <w:t>–</w:t>
      </w:r>
      <w:r>
        <w:rPr>
          <w:rStyle w:val="default"/>
          <w:rFonts w:cs="FrankRuehl" w:hint="cs"/>
          <w:rtl/>
        </w:rPr>
        <w:t xml:space="preserve"> 0.2%.</w:t>
      </w:r>
    </w:p>
    <w:p w:rsidR="004B1254" w:rsidRDefault="004B1254" w:rsidP="00DB723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תנוכה עמלת פדיון ממחיר הפדיון </w:t>
      </w:r>
      <w:r>
        <w:rPr>
          <w:rStyle w:val="default"/>
          <w:rFonts w:cs="FrankRuehl"/>
          <w:rtl/>
        </w:rPr>
        <w:t>–</w:t>
      </w:r>
    </w:p>
    <w:p w:rsidR="004B1254" w:rsidRDefault="004B1254" w:rsidP="004B125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בפדיון יחידות קרן סל בפירוק;</w:t>
      </w:r>
    </w:p>
    <w:p w:rsidR="004B1254" w:rsidRDefault="004B1254" w:rsidP="004B125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לאחר תום התקופה להגשת הזמנות לפי סעיף 32 לחוק;</w:t>
      </w:r>
    </w:p>
    <w:p w:rsidR="004B1254" w:rsidRDefault="004B1254" w:rsidP="004B125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ביום שבו הפסיק מנהל הקרן את הצעת היחידות.</w:t>
      </w:r>
    </w:p>
    <w:p w:rsidR="0031108B" w:rsidRDefault="0031108B" w:rsidP="00DB723B">
      <w:pPr>
        <w:pStyle w:val="P00"/>
        <w:spacing w:before="72"/>
        <w:ind w:left="0" w:right="1134"/>
        <w:rPr>
          <w:rStyle w:val="default"/>
          <w:rFonts w:cs="FrankRuehl"/>
          <w:rtl/>
        </w:rPr>
      </w:pPr>
      <w:bookmarkStart w:id="10" w:name="Seif7"/>
      <w:bookmarkEnd w:id="10"/>
      <w:r>
        <w:rPr>
          <w:lang w:val="he-IL"/>
        </w:rPr>
        <w:pict>
          <v:rect id="_x0000_s1292" style="position:absolute;left:0;text-align:left;margin-left:464.35pt;margin-top:7.1pt;width:75.05pt;height:14.2pt;z-index:251655168" o:allowincell="f" filled="f" stroked="f" strokecolor="lime" strokeweight=".25pt">
            <v:textbox style="mso-next-textbox:#_x0000_s1292" inset="0,0,0,0">
              <w:txbxContent>
                <w:p w:rsidR="00A57AC2" w:rsidRDefault="004B1254" w:rsidP="0031108B">
                  <w:pPr>
                    <w:spacing w:line="160" w:lineRule="exact"/>
                    <w:jc w:val="left"/>
                    <w:rPr>
                      <w:rFonts w:cs="Miriam" w:hint="cs"/>
                      <w:noProof/>
                      <w:sz w:val="18"/>
                      <w:szCs w:val="18"/>
                      <w:rtl/>
                    </w:rPr>
                  </w:pPr>
                  <w:r>
                    <w:rPr>
                      <w:rFonts w:cs="Miriam" w:hint="cs"/>
                      <w:sz w:val="18"/>
                      <w:szCs w:val="18"/>
                      <w:rtl/>
                    </w:rPr>
                    <w:t>הוספת עמלת יצירה</w:t>
                  </w:r>
                </w:p>
              </w:txbxContent>
            </v:textbox>
            <w10:anchorlock/>
          </v:rect>
        </w:pict>
      </w:r>
      <w:r w:rsidR="00B43F37">
        <w:rPr>
          <w:rStyle w:val="big-number"/>
          <w:rFonts w:cs="Miriam" w:hint="cs"/>
          <w:rtl/>
        </w:rPr>
        <w:t>7</w:t>
      </w:r>
      <w:r w:rsidRPr="0031108B">
        <w:rPr>
          <w:rStyle w:val="default"/>
          <w:rFonts w:cs="FrankRuehl"/>
          <w:rtl/>
        </w:rPr>
        <w:t>.</w:t>
      </w:r>
      <w:r w:rsidRPr="0031108B">
        <w:rPr>
          <w:rStyle w:val="default"/>
          <w:rFonts w:cs="FrankRuehl"/>
          <w:rtl/>
        </w:rPr>
        <w:tab/>
      </w:r>
      <w:r w:rsidR="004B1254">
        <w:rPr>
          <w:rStyle w:val="default"/>
          <w:rFonts w:cs="FrankRuehl" w:hint="cs"/>
          <w:rtl/>
        </w:rPr>
        <w:t>נמכרה יחידת קרן סל, יעביר המפיץ לחשבון הקרן באמצעות המסלקה סכום במזומנים השווה למחיר היחידה בתוספת עמלת יצירה בשיעור זהה לעמלת הפדיון הקבועה לאותה קרן כאמור בתקנה 6.</w:t>
      </w:r>
    </w:p>
    <w:p w:rsidR="0031108B" w:rsidRDefault="0031108B" w:rsidP="00276379">
      <w:pPr>
        <w:pStyle w:val="P00"/>
        <w:spacing w:before="72"/>
        <w:ind w:left="0" w:right="1134"/>
        <w:rPr>
          <w:rStyle w:val="default"/>
          <w:rFonts w:cs="FrankRuehl"/>
          <w:rtl/>
        </w:rPr>
      </w:pPr>
      <w:bookmarkStart w:id="11" w:name="Seif8"/>
      <w:bookmarkEnd w:id="11"/>
      <w:r>
        <w:rPr>
          <w:lang w:val="he-IL"/>
        </w:rPr>
        <w:pict>
          <v:rect id="_x0000_s1293" style="position:absolute;left:0;text-align:left;margin-left:460pt;margin-top:7.1pt;width:79.4pt;height:29.6pt;z-index:251656192" o:allowincell="f" filled="f" stroked="f" strokecolor="lime" strokeweight=".25pt">
            <v:textbox style="mso-next-textbox:#_x0000_s1293" inset="0,0,0,0">
              <w:txbxContent>
                <w:p w:rsidR="00A57AC2" w:rsidRDefault="004B1254" w:rsidP="0031108B">
                  <w:pPr>
                    <w:spacing w:line="160" w:lineRule="exact"/>
                    <w:jc w:val="left"/>
                    <w:rPr>
                      <w:rFonts w:cs="Miriam" w:hint="cs"/>
                      <w:noProof/>
                      <w:sz w:val="18"/>
                      <w:szCs w:val="18"/>
                      <w:rtl/>
                    </w:rPr>
                  </w:pPr>
                  <w:r>
                    <w:rPr>
                      <w:rFonts w:cs="Miriam" w:hint="cs"/>
                      <w:sz w:val="18"/>
                      <w:szCs w:val="18"/>
                      <w:rtl/>
                    </w:rPr>
                    <w:t>עסקאות יצירה או פדיון לפי הזמנה או הוראה של עושה השוק</w:t>
                  </w:r>
                </w:p>
              </w:txbxContent>
            </v:textbox>
            <w10:anchorlock/>
          </v:rect>
        </w:pict>
      </w:r>
      <w:r w:rsidR="00D20F62">
        <w:rPr>
          <w:rStyle w:val="big-number"/>
          <w:rFonts w:cs="Miriam" w:hint="cs"/>
          <w:rtl/>
        </w:rPr>
        <w:t>8</w:t>
      </w:r>
      <w:r w:rsidRPr="0031108B">
        <w:rPr>
          <w:rStyle w:val="default"/>
          <w:rFonts w:cs="FrankRuehl"/>
          <w:rtl/>
        </w:rPr>
        <w:t>.</w:t>
      </w:r>
      <w:r w:rsidRPr="0031108B">
        <w:rPr>
          <w:rStyle w:val="default"/>
          <w:rFonts w:cs="FrankRuehl"/>
          <w:rtl/>
        </w:rPr>
        <w:tab/>
      </w:r>
      <w:r w:rsidR="004B1254">
        <w:rPr>
          <w:rStyle w:val="default"/>
          <w:rFonts w:cs="FrankRuehl" w:hint="cs"/>
          <w:rtl/>
        </w:rPr>
        <w:t>(א)</w:t>
      </w:r>
      <w:r w:rsidR="004B1254">
        <w:rPr>
          <w:rStyle w:val="default"/>
          <w:rFonts w:cs="FrankRuehl"/>
          <w:rtl/>
        </w:rPr>
        <w:tab/>
      </w:r>
      <w:r w:rsidR="004B1254">
        <w:rPr>
          <w:rStyle w:val="default"/>
          <w:rFonts w:cs="FrankRuehl" w:hint="cs"/>
          <w:rtl/>
        </w:rPr>
        <w:t>על אף האמור בתקנה 5 ובסעיף 46(ג) לחוק, התקבלה אצל מנהל הקרן הזמנה ליצירה או הוראה לפדיון שהגיש עושה השוק לאחר השעה הייעודה אך לא יאוחר מאשר מיד לאחר תום המסחר לאותו יום, יבצעה מנהל הקרן כאילו התקבלה אצלו באותו יום חישוב מחירים</w:t>
      </w:r>
      <w:r w:rsidR="00276379">
        <w:rPr>
          <w:rStyle w:val="default"/>
          <w:rFonts w:cs="FrankRuehl" w:hint="cs"/>
          <w:rtl/>
        </w:rPr>
        <w:t>.</w:t>
      </w:r>
    </w:p>
    <w:p w:rsidR="004B1254" w:rsidRDefault="004B1254" w:rsidP="0027637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93FA7">
        <w:rPr>
          <w:rStyle w:val="default"/>
          <w:rFonts w:cs="FrankRuehl" w:hint="cs"/>
          <w:rtl/>
        </w:rPr>
        <w:t>על אף האמור בתקנות 6 ו-7, רשאי מנהל קרן לבצע יצירה או פדיון של יחידות קרן סל שבניהולו לפי הזמנה או הוראה של עושה השוק בתמורה לתמהיל נכסים.</w:t>
      </w:r>
    </w:p>
    <w:p w:rsidR="00593FA7" w:rsidRDefault="00593FA7" w:rsidP="0027637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בחישוב מחיר היחידה ומחיר פדיון בתמורה לתשלום בתמהיל נכסים לא תתווסף עמלת יצירה ולא תנוכה עמלת פדיון.</w:t>
      </w:r>
    </w:p>
    <w:p w:rsidR="00593FA7" w:rsidRDefault="00593FA7" w:rsidP="0027637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בתקנת משנה (ג), בחישוב מחיר הפדיון בפדיון כנגד תמהיל נכסים תנוכה העמלה שצפויה להיפרע מנכסי הקרן, בעקבות פדיון יחידות כאמור, בשל סיום עסקת החלף שאינה במימון טרם מועד סיומה.</w:t>
      </w:r>
    </w:p>
    <w:p w:rsidR="0031108B" w:rsidRDefault="0031108B" w:rsidP="00276379">
      <w:pPr>
        <w:pStyle w:val="P00"/>
        <w:spacing w:before="72"/>
        <w:ind w:left="0" w:right="1134"/>
        <w:rPr>
          <w:rStyle w:val="default"/>
          <w:rFonts w:cs="FrankRuehl"/>
          <w:rtl/>
        </w:rPr>
      </w:pPr>
      <w:bookmarkStart w:id="12" w:name="Seif9"/>
      <w:bookmarkEnd w:id="12"/>
      <w:r>
        <w:rPr>
          <w:lang w:val="he-IL"/>
        </w:rPr>
        <w:pict>
          <v:rect id="_x0000_s1294" style="position:absolute;left:0;text-align:left;margin-left:464.35pt;margin-top:7.1pt;width:75.05pt;height:14.8pt;z-index:251657216" o:allowincell="f" filled="f" stroked="f" strokecolor="lime" strokeweight=".25pt">
            <v:textbox style="mso-next-textbox:#_x0000_s1294" inset="0,0,0,0">
              <w:txbxContent>
                <w:p w:rsidR="00A57AC2" w:rsidRDefault="00593FA7" w:rsidP="0031108B">
                  <w:pPr>
                    <w:spacing w:line="160" w:lineRule="exact"/>
                    <w:jc w:val="left"/>
                    <w:rPr>
                      <w:rFonts w:cs="Miriam" w:hint="cs"/>
                      <w:noProof/>
                      <w:sz w:val="18"/>
                      <w:szCs w:val="18"/>
                      <w:rtl/>
                    </w:rPr>
                  </w:pPr>
                  <w:r>
                    <w:rPr>
                      <w:rFonts w:cs="Miriam" w:hint="cs"/>
                      <w:sz w:val="18"/>
                      <w:szCs w:val="18"/>
                      <w:rtl/>
                    </w:rPr>
                    <w:t>רישום כיחידה רדומה</w:t>
                  </w:r>
                </w:p>
              </w:txbxContent>
            </v:textbox>
            <w10:anchorlock/>
          </v:rect>
        </w:pict>
      </w:r>
      <w:r w:rsidR="00D20F62">
        <w:rPr>
          <w:rStyle w:val="big-number"/>
          <w:rFonts w:cs="Miriam" w:hint="cs"/>
          <w:rtl/>
        </w:rPr>
        <w:t>9</w:t>
      </w:r>
      <w:r w:rsidRPr="0031108B">
        <w:rPr>
          <w:rStyle w:val="default"/>
          <w:rFonts w:cs="FrankRuehl"/>
          <w:rtl/>
        </w:rPr>
        <w:t>.</w:t>
      </w:r>
      <w:r w:rsidRPr="0031108B">
        <w:rPr>
          <w:rStyle w:val="default"/>
          <w:rFonts w:cs="FrankRuehl"/>
          <w:rtl/>
        </w:rPr>
        <w:tab/>
      </w:r>
      <w:r w:rsidR="00593FA7">
        <w:rPr>
          <w:rStyle w:val="default"/>
          <w:rFonts w:cs="FrankRuehl" w:hint="cs"/>
          <w:rtl/>
        </w:rPr>
        <w:t>קיבל מנהל קרן הוראה לפדיון יחידה בקרן סל שבניהולו, ירשום אותה כיחידה רדומה במרשם היחידות ולא יבטלה</w:t>
      </w:r>
      <w:r w:rsidR="00D20F62">
        <w:rPr>
          <w:rStyle w:val="default"/>
          <w:rFonts w:cs="FrankRuehl" w:hint="cs"/>
          <w:rtl/>
        </w:rPr>
        <w:t>.</w:t>
      </w:r>
    </w:p>
    <w:p w:rsidR="0031108B" w:rsidRDefault="0031108B" w:rsidP="00276379">
      <w:pPr>
        <w:pStyle w:val="P00"/>
        <w:spacing w:before="72"/>
        <w:ind w:left="0" w:right="1134"/>
        <w:rPr>
          <w:rStyle w:val="default"/>
          <w:rFonts w:cs="FrankRuehl"/>
          <w:rtl/>
        </w:rPr>
      </w:pPr>
      <w:bookmarkStart w:id="13" w:name="Seif10"/>
      <w:bookmarkEnd w:id="13"/>
      <w:r>
        <w:rPr>
          <w:lang w:val="he-IL"/>
        </w:rPr>
        <w:pict>
          <v:rect id="_x0000_s1295" style="position:absolute;left:0;text-align:left;margin-left:467.1pt;margin-top:7.1pt;width:72.3pt;height:20.7pt;z-index:251658240" o:allowincell="f" filled="f" stroked="f" strokecolor="lime" strokeweight=".25pt">
            <v:textbox style="mso-next-textbox:#_x0000_s1295" inset="0,0,0,0">
              <w:txbxContent>
                <w:p w:rsidR="00A57AC2" w:rsidRDefault="00593FA7" w:rsidP="0031108B">
                  <w:pPr>
                    <w:spacing w:line="160" w:lineRule="exact"/>
                    <w:jc w:val="left"/>
                    <w:rPr>
                      <w:rFonts w:cs="Miriam" w:hint="cs"/>
                      <w:noProof/>
                      <w:sz w:val="18"/>
                      <w:szCs w:val="18"/>
                      <w:rtl/>
                    </w:rPr>
                  </w:pPr>
                  <w:r>
                    <w:rPr>
                      <w:rFonts w:cs="Miriam" w:hint="cs"/>
                      <w:sz w:val="18"/>
                      <w:szCs w:val="18"/>
                      <w:rtl/>
                    </w:rPr>
                    <w:t>פרסום מחירים על ידי מנהל הקרן</w:t>
                  </w:r>
                </w:p>
              </w:txbxContent>
            </v:textbox>
            <w10:anchorlock/>
          </v:rect>
        </w:pict>
      </w:r>
      <w:r>
        <w:rPr>
          <w:rStyle w:val="big-number"/>
          <w:rFonts w:cs="Miriam" w:hint="cs"/>
          <w:rtl/>
        </w:rPr>
        <w:t>10</w:t>
      </w:r>
      <w:r w:rsidRPr="0031108B">
        <w:rPr>
          <w:rStyle w:val="default"/>
          <w:rFonts w:cs="FrankRuehl"/>
          <w:rtl/>
        </w:rPr>
        <w:t>.</w:t>
      </w:r>
      <w:r w:rsidRPr="0031108B">
        <w:rPr>
          <w:rStyle w:val="default"/>
          <w:rFonts w:cs="FrankRuehl"/>
          <w:rtl/>
        </w:rPr>
        <w:tab/>
      </w:r>
      <w:r w:rsidR="00593FA7">
        <w:rPr>
          <w:rStyle w:val="default"/>
          <w:rFonts w:cs="FrankRuehl" w:hint="cs"/>
          <w:rtl/>
        </w:rPr>
        <w:t>מנהל קרן יפרסם לגבי יחידת קרן סל שבניהולו את שווייה, את מחירה בתוספת עמלת יצירה ואת מחיר הפדיון שלה בניכוי עמלת פדיון, סמוך לאחר שהתקבל אצלו המידע המאפשר לו לחשב נתונים אלה; לשם פרסום כאמור יעביר מנהל הקרן את שווי היחידה</w:t>
      </w:r>
      <w:r w:rsidR="006C0B97">
        <w:rPr>
          <w:rStyle w:val="default"/>
          <w:rFonts w:cs="FrankRuehl" w:hint="cs"/>
          <w:rtl/>
        </w:rPr>
        <w:t xml:space="preserve"> ואת מחיריה כאמור לבורסה, בדרך שהבורסה הורתה עליה ושעליה תדווח לרשות</w:t>
      </w:r>
      <w:r w:rsidR="00D20F62">
        <w:rPr>
          <w:rStyle w:val="default"/>
          <w:rFonts w:cs="FrankRuehl" w:hint="cs"/>
          <w:rtl/>
        </w:rPr>
        <w:t>.</w:t>
      </w:r>
    </w:p>
    <w:p w:rsidR="00A57AC2" w:rsidRPr="00A57AC2" w:rsidRDefault="00A57AC2" w:rsidP="00A57AC2">
      <w:pPr>
        <w:pStyle w:val="medium2-header"/>
        <w:keepLines w:val="0"/>
        <w:spacing w:before="72"/>
        <w:ind w:left="0" w:right="1134"/>
        <w:outlineLvl w:val="0"/>
        <w:rPr>
          <w:rFonts w:cs="FrankRuehl" w:hint="cs"/>
          <w:noProof/>
          <w:rtl/>
        </w:rPr>
      </w:pPr>
      <w:bookmarkStart w:id="14" w:name="med4"/>
      <w:bookmarkEnd w:id="14"/>
      <w:r w:rsidRPr="00A57AC2">
        <w:rPr>
          <w:rFonts w:cs="FrankRuehl" w:hint="cs"/>
          <w:noProof/>
          <w:rtl/>
        </w:rPr>
        <w:t xml:space="preserve">פרק </w:t>
      </w:r>
      <w:r w:rsidR="006C0B97">
        <w:rPr>
          <w:rFonts w:cs="FrankRuehl" w:hint="cs"/>
          <w:noProof/>
          <w:rtl/>
        </w:rPr>
        <w:t>ה': דמי ניהול משתנים</w:t>
      </w:r>
    </w:p>
    <w:p w:rsidR="0031108B" w:rsidRDefault="0031108B" w:rsidP="00A57AC2">
      <w:pPr>
        <w:pStyle w:val="P00"/>
        <w:spacing w:before="72"/>
        <w:ind w:left="0" w:right="1134"/>
        <w:rPr>
          <w:rStyle w:val="default"/>
          <w:rFonts w:cs="FrankRuehl"/>
          <w:rtl/>
        </w:rPr>
      </w:pPr>
      <w:bookmarkStart w:id="15" w:name="Seif11"/>
      <w:bookmarkEnd w:id="15"/>
      <w:r>
        <w:rPr>
          <w:lang w:val="he-IL"/>
        </w:rPr>
        <w:pict>
          <v:rect id="_x0000_s1296" style="position:absolute;left:0;text-align:left;margin-left:464.35pt;margin-top:7.1pt;width:75.05pt;height:12.55pt;z-index:251659264" o:allowincell="f" filled="f" stroked="f" strokecolor="lime" strokeweight=".25pt">
            <v:textbox style="mso-next-textbox:#_x0000_s1296" inset="0,0,0,0">
              <w:txbxContent>
                <w:p w:rsidR="00A57AC2" w:rsidRDefault="006C0B97" w:rsidP="0031108B">
                  <w:pPr>
                    <w:spacing w:line="160" w:lineRule="exact"/>
                    <w:jc w:val="left"/>
                    <w:rPr>
                      <w:rFonts w:cs="Miriam" w:hint="cs"/>
                      <w:noProof/>
                      <w:sz w:val="18"/>
                      <w:szCs w:val="18"/>
                      <w:rtl/>
                    </w:rPr>
                  </w:pPr>
                  <w:r>
                    <w:rPr>
                      <w:rFonts w:cs="Miriam" w:hint="cs"/>
                      <w:sz w:val="18"/>
                      <w:szCs w:val="18"/>
                      <w:rtl/>
                    </w:rPr>
                    <w:t>דמי ניהול משתנים</w:t>
                  </w:r>
                </w:p>
              </w:txbxContent>
            </v:textbox>
            <w10:anchorlock/>
          </v:rect>
        </w:pict>
      </w:r>
      <w:r>
        <w:rPr>
          <w:rStyle w:val="big-number"/>
          <w:rFonts w:cs="Miriam" w:hint="cs"/>
          <w:rtl/>
        </w:rPr>
        <w:t>1</w:t>
      </w:r>
      <w:r w:rsidR="00D20F62">
        <w:rPr>
          <w:rStyle w:val="big-number"/>
          <w:rFonts w:cs="Miriam" w:hint="cs"/>
          <w:rtl/>
        </w:rPr>
        <w:t>1</w:t>
      </w:r>
      <w:r w:rsidRPr="0031108B">
        <w:rPr>
          <w:rStyle w:val="default"/>
          <w:rFonts w:cs="FrankRuehl"/>
          <w:rtl/>
        </w:rPr>
        <w:t>.</w:t>
      </w:r>
      <w:r w:rsidRPr="0031108B">
        <w:rPr>
          <w:rStyle w:val="default"/>
          <w:rFonts w:cs="FrankRuehl"/>
          <w:rtl/>
        </w:rPr>
        <w:tab/>
      </w:r>
      <w:r w:rsidR="00A57AC2">
        <w:rPr>
          <w:rStyle w:val="default"/>
          <w:rFonts w:cs="FrankRuehl" w:hint="cs"/>
          <w:rtl/>
        </w:rPr>
        <w:t>(א)</w:t>
      </w:r>
      <w:r w:rsidR="00A57AC2">
        <w:rPr>
          <w:rStyle w:val="default"/>
          <w:rFonts w:cs="FrankRuehl" w:hint="cs"/>
          <w:rtl/>
        </w:rPr>
        <w:tab/>
        <w:t xml:space="preserve">מנהל קרן רשאי </w:t>
      </w:r>
      <w:r w:rsidR="006C0B97">
        <w:rPr>
          <w:rStyle w:val="default"/>
          <w:rFonts w:cs="FrankRuehl" w:hint="cs"/>
          <w:rtl/>
        </w:rPr>
        <w:t>לפרסם בתשקיף או בדוח של קרן מחקה שבניהולו, שאינה קרן מחקה ממונפת או קרן מחקה בחסר, כי שכרו יכלול נוסף על דמי הניהול הקבועים גם רכיב של דמי ניהול משתנים, בהתקיים כל אלה:</w:t>
      </w:r>
    </w:p>
    <w:p w:rsidR="006C0B97" w:rsidRDefault="006C0B97" w:rsidP="006C0B9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מנהל הקרן העמיד ערבות בנקאית אוטונומית לטובת הנאמן לקרן להבטחת זכויות בעלי היחידות בקרן, בסכום שלא יפחת מהסכום הקבוע בתקנת משנה (ב), או הפקיד פיקדון בסכום האמור בחשבון חופשי משעבוד, עיקול, עכבון או כל זכות אחרת של צד שלישי, ושלנאמן זכות חתימה בלעדית בו;</w:t>
      </w:r>
    </w:p>
    <w:p w:rsidR="006C0B97" w:rsidRDefault="006C0B97" w:rsidP="006C0B9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מנהל הקרן התחייב כי מקום שהפרש העקיבה שלילי, הוא יחזיר לקרן דמי ניהול שליליים.</w:t>
      </w:r>
    </w:p>
    <w:p w:rsidR="006C0B97" w:rsidRDefault="006C0B97" w:rsidP="00A57AC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2F1EBA">
        <w:rPr>
          <w:rStyle w:val="default"/>
          <w:rFonts w:cs="FrankRuehl" w:hint="cs"/>
          <w:rtl/>
        </w:rPr>
        <w:t>סכום הערבות שיעמיד מנהל הקרן או הפיקדון שיפקיד כאמור בתקנת משנה (א), לא יפחת בכל עת מסכום השווה למכפלת השווי הנקי של נכסי הקרן בשיעור דמי הניהול השליליים שמנהל הקרן עשוי להיות מחויב לשלם לקרן בהתחשב בשיעור דמי הניהול המשתנים שאותם פרסם, דמי הניהול השליליים שהחזיר לקרן בתקופת חישוב, וסכום דמי הניהול הקבועים והמשתנים שהוא זכאי לפרוע וטרם פרע.</w:t>
      </w:r>
    </w:p>
    <w:p w:rsidR="0031108B" w:rsidRDefault="0031108B" w:rsidP="00A57AC2">
      <w:pPr>
        <w:pStyle w:val="P00"/>
        <w:spacing w:before="72"/>
        <w:ind w:left="0" w:right="1134"/>
        <w:rPr>
          <w:rStyle w:val="default"/>
          <w:rFonts w:cs="FrankRuehl"/>
          <w:rtl/>
        </w:rPr>
      </w:pPr>
      <w:bookmarkStart w:id="16" w:name="Seif12"/>
      <w:bookmarkEnd w:id="16"/>
      <w:r>
        <w:rPr>
          <w:lang w:val="he-IL"/>
        </w:rPr>
        <w:pict>
          <v:rect id="_x0000_s1297" style="position:absolute;left:0;text-align:left;margin-left:464.35pt;margin-top:7.1pt;width:75.05pt;height:17.2pt;z-index:251660288" o:allowincell="f" filled="f" stroked="f" strokecolor="lime" strokeweight=".25pt">
            <v:textbox style="mso-next-textbox:#_x0000_s1297" inset="0,0,0,0">
              <w:txbxContent>
                <w:p w:rsidR="00A57AC2" w:rsidRDefault="002F1EBA" w:rsidP="0031108B">
                  <w:pPr>
                    <w:spacing w:line="160" w:lineRule="exact"/>
                    <w:jc w:val="left"/>
                    <w:rPr>
                      <w:rFonts w:cs="Miriam" w:hint="cs"/>
                      <w:noProof/>
                      <w:sz w:val="18"/>
                      <w:szCs w:val="18"/>
                      <w:rtl/>
                    </w:rPr>
                  </w:pPr>
                  <w:r>
                    <w:rPr>
                      <w:rFonts w:cs="Miriam" w:hint="cs"/>
                      <w:sz w:val="18"/>
                      <w:szCs w:val="18"/>
                      <w:rtl/>
                    </w:rPr>
                    <w:t>הוראות בעניין דמי ניהול משתנים</w:t>
                  </w:r>
                </w:p>
              </w:txbxContent>
            </v:textbox>
            <w10:anchorlock/>
          </v:rect>
        </w:pict>
      </w:r>
      <w:r>
        <w:rPr>
          <w:rStyle w:val="big-number"/>
          <w:rFonts w:cs="Miriam" w:hint="cs"/>
          <w:rtl/>
        </w:rPr>
        <w:t>1</w:t>
      </w:r>
      <w:r w:rsidR="00D20F62">
        <w:rPr>
          <w:rStyle w:val="big-number"/>
          <w:rFonts w:cs="Miriam" w:hint="cs"/>
          <w:rtl/>
        </w:rPr>
        <w:t>2</w:t>
      </w:r>
      <w:r w:rsidRPr="0031108B">
        <w:rPr>
          <w:rStyle w:val="default"/>
          <w:rFonts w:cs="FrankRuehl"/>
          <w:rtl/>
        </w:rPr>
        <w:t>.</w:t>
      </w:r>
      <w:r w:rsidRPr="0031108B">
        <w:rPr>
          <w:rStyle w:val="default"/>
          <w:rFonts w:cs="FrankRuehl"/>
          <w:rtl/>
        </w:rPr>
        <w:tab/>
      </w:r>
      <w:r w:rsidR="002F1EBA">
        <w:rPr>
          <w:rStyle w:val="default"/>
          <w:rFonts w:cs="FrankRuehl" w:hint="cs"/>
          <w:rtl/>
        </w:rPr>
        <w:t>פרסם מנהל הקרן כי שכרו יכלול דמי ניהול משתנים כאמור בתקנה 11, יחולו הוראות אלה</w:t>
      </w:r>
      <w:r w:rsidR="00A57AC2">
        <w:rPr>
          <w:rStyle w:val="default"/>
          <w:rFonts w:cs="FrankRuehl" w:hint="cs"/>
          <w:rtl/>
        </w:rPr>
        <w:t>:</w:t>
      </w:r>
    </w:p>
    <w:p w:rsidR="002F1EBA" w:rsidRDefault="002F1EBA" w:rsidP="002F1EB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שיעור דמי הניהול המשתנים שיפרע מנהל קרן מנכסי הקרן או ישלם לקרן כדמי ניהול שליליים, לפי העניין, בתקופת חישוב, לא יעלה בערכו המוחלט על שיעור עמלת היצירה והפדיון בהתאם לסוג הקרן, כאמור בתקנה 6(א);</w:t>
      </w:r>
    </w:p>
    <w:p w:rsidR="002F1EBA" w:rsidRDefault="002F1EBA" w:rsidP="002F1EB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הפרש העקיבה בקרן לסוף יום מסחר שלילי </w:t>
      </w:r>
      <w:r w:rsidR="000B5689">
        <w:rPr>
          <w:rStyle w:val="default"/>
          <w:rFonts w:cs="FrankRuehl"/>
          <w:rtl/>
        </w:rPr>
        <w:t>–</w:t>
      </w:r>
      <w:r w:rsidR="000B5689">
        <w:rPr>
          <w:rStyle w:val="default"/>
          <w:rFonts w:cs="FrankRuehl" w:hint="cs"/>
          <w:rtl/>
        </w:rPr>
        <w:t xml:space="preserve"> ישלם מנהל הקרן לקרן את סכום דמי הניהול השליליים לפי השיעור שפרסם בתוך יום עסקים אחד;</w:t>
      </w:r>
    </w:p>
    <w:p w:rsidR="000B5689" w:rsidRDefault="000B5689" w:rsidP="002F1EB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פחת סכום הערבות או סכום הפיקדון כאמור בתקנה 11(א)(1) מהסכום הנדרש לפי תקנה 11(ב), יגדילו מנהל הקרן בתוך שלושה ימי עסקים;</w:t>
      </w:r>
    </w:p>
    <w:p w:rsidR="000B5689" w:rsidRDefault="000B5689" w:rsidP="002F1EB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נדרש מנהל הקרן להחזיר לקרן דמי ניהול שליליים ולא שילם לקרן את הסכום הנדרש, יחולו הוראות אלה:</w:t>
      </w:r>
    </w:p>
    <w:p w:rsidR="000B5689" w:rsidRDefault="000B5689" w:rsidP="00C2629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476319">
        <w:rPr>
          <w:rStyle w:val="default"/>
          <w:rFonts w:cs="FrankRuehl" w:hint="cs"/>
          <w:rtl/>
        </w:rPr>
        <w:t>הפקיד מנהל הקרן פיקדון כאמור</w:t>
      </w:r>
      <w:r w:rsidR="00C2629B">
        <w:rPr>
          <w:rStyle w:val="default"/>
          <w:rFonts w:cs="FrankRuehl" w:hint="cs"/>
          <w:rtl/>
        </w:rPr>
        <w:t xml:space="preserve"> בתקנה 11(א)(1), יעביר הנאמן לקרן בעצמו את הסכום האמור מתוך חשבון הפיקדון לחשבון הקרן לא יאוחר מיום העסקים הראשון שלאחר היום שבו היה על מנהל הקרן להעביר את סכום האמור;</w:t>
      </w:r>
    </w:p>
    <w:p w:rsidR="00C2629B" w:rsidRDefault="00C2629B" w:rsidP="00C2629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העמיד מנהל הקרן ערבות כאמור בתקנה 11(א)(1) וחלפו שלושה ימי עסקים מיום שנדרש לשלם את הסכום הנדרש, יגיש מנהל הקרן דוח לרשות ולנאמן בדבר התקיימות נסיבות אלה ועל המועד שבו ישלם לקרן את הסכום הנדרש; יושב ראש הרשות רשאי להורות לנאמן לחלט את הערבות הבנקאית בגובה הסכום הנדרש;</w:t>
      </w:r>
    </w:p>
    <w:p w:rsidR="00C2629B" w:rsidRDefault="00C2629B" w:rsidP="002F1EB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מנהל קרן יפרע דמי ניהול משתנים שהוא זכאי להם פעם אחת ברבעון, ביום חישוב המחירים הראשון שלאחר תום הרבעון לתקופת החישוב שהסתיימה בתום הרבעון, לאחר שהנאמן אישר כי הוא זכאי לסכום;</w:t>
      </w:r>
    </w:p>
    <w:p w:rsidR="00C2629B" w:rsidRDefault="00C2629B" w:rsidP="002F1EBA">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מנהל הקרן רשאי לשנות את שיעור דמי הניהול המשתנים ב-1 בינואר בכל שנה.</w:t>
      </w:r>
    </w:p>
    <w:p w:rsidR="00C2629B" w:rsidRPr="00C2629B" w:rsidRDefault="00C2629B" w:rsidP="00C2629B">
      <w:pPr>
        <w:pStyle w:val="medium2-header"/>
        <w:keepLines w:val="0"/>
        <w:spacing w:before="72"/>
        <w:ind w:left="0" w:right="1134"/>
        <w:outlineLvl w:val="0"/>
        <w:rPr>
          <w:rFonts w:cs="FrankRuehl"/>
          <w:noProof/>
          <w:rtl/>
        </w:rPr>
      </w:pPr>
      <w:bookmarkStart w:id="17" w:name="med5"/>
      <w:bookmarkEnd w:id="17"/>
      <w:r w:rsidRPr="00C2629B">
        <w:rPr>
          <w:rFonts w:cs="FrankRuehl" w:hint="cs"/>
          <w:noProof/>
          <w:rtl/>
        </w:rPr>
        <w:t>פרק ו': תנאים בהם רשאי מנהל קרן מחקה לשלם תשלום למי שמחזיק יחידות של קרן שבניהולו</w:t>
      </w:r>
    </w:p>
    <w:p w:rsidR="0031108B" w:rsidRDefault="0031108B" w:rsidP="00CD7BD5">
      <w:pPr>
        <w:pStyle w:val="P00"/>
        <w:spacing w:before="72"/>
        <w:ind w:left="0" w:right="1134"/>
        <w:rPr>
          <w:rStyle w:val="default"/>
          <w:rFonts w:cs="FrankRuehl"/>
          <w:rtl/>
        </w:rPr>
      </w:pPr>
      <w:bookmarkStart w:id="18" w:name="Seif13"/>
      <w:bookmarkEnd w:id="18"/>
      <w:r>
        <w:rPr>
          <w:lang w:val="he-IL"/>
        </w:rPr>
        <w:pict>
          <v:rect id="_x0000_s1298" style="position:absolute;left:0;text-align:left;margin-left:464.35pt;margin-top:7.1pt;width:75.05pt;height:35.7pt;z-index:251661312" o:allowincell="f" filled="f" stroked="f" strokecolor="lime" strokeweight=".25pt">
            <v:textbox style="mso-next-textbox:#_x0000_s1298" inset="0,0,0,0">
              <w:txbxContent>
                <w:p w:rsidR="00A57AC2" w:rsidRDefault="00C2629B" w:rsidP="0031108B">
                  <w:pPr>
                    <w:spacing w:line="160" w:lineRule="exact"/>
                    <w:jc w:val="left"/>
                    <w:rPr>
                      <w:rFonts w:cs="Miriam" w:hint="cs"/>
                      <w:noProof/>
                      <w:sz w:val="18"/>
                      <w:szCs w:val="18"/>
                      <w:rtl/>
                    </w:rPr>
                  </w:pPr>
                  <w:r>
                    <w:rPr>
                      <w:rFonts w:cs="Miriam" w:hint="cs"/>
                      <w:sz w:val="18"/>
                      <w:szCs w:val="18"/>
                      <w:rtl/>
                    </w:rPr>
                    <w:t>תשלום למי שמחזיק יחידות של קרן מחקה שבניהולו של מנהל הקרן</w:t>
                  </w:r>
                </w:p>
              </w:txbxContent>
            </v:textbox>
            <w10:anchorlock/>
          </v:rect>
        </w:pict>
      </w:r>
      <w:r>
        <w:rPr>
          <w:rStyle w:val="big-number"/>
          <w:rFonts w:cs="Miriam" w:hint="cs"/>
          <w:rtl/>
        </w:rPr>
        <w:t>1</w:t>
      </w:r>
      <w:r w:rsidR="00482F21">
        <w:rPr>
          <w:rStyle w:val="big-number"/>
          <w:rFonts w:cs="Miriam" w:hint="cs"/>
          <w:rtl/>
        </w:rPr>
        <w:t>3</w:t>
      </w:r>
      <w:r w:rsidRPr="0031108B">
        <w:rPr>
          <w:rStyle w:val="default"/>
          <w:rFonts w:cs="FrankRuehl"/>
          <w:rtl/>
        </w:rPr>
        <w:t>.</w:t>
      </w:r>
      <w:r w:rsidRPr="0031108B">
        <w:rPr>
          <w:rStyle w:val="default"/>
          <w:rFonts w:cs="FrankRuehl"/>
          <w:rtl/>
        </w:rPr>
        <w:tab/>
      </w:r>
      <w:r w:rsidR="00C2629B">
        <w:rPr>
          <w:rStyle w:val="default"/>
          <w:rFonts w:cs="FrankRuehl" w:hint="cs"/>
          <w:rtl/>
        </w:rPr>
        <w:t>מנהל קרן מחקה רשאי לשלם החזר דמי ניהול, לבעל יחידה שהוא מנהל כספי אחרים מוסדי, ובלבד ששיעור החזר דמי הניהול לא ישתנה עקב כך שהיחידות מוחזקות בידי מנהל כספי אחרים מוסדיים שונים; החזר כאמור יושב למי שנשא בו בפועל.</w:t>
      </w:r>
    </w:p>
    <w:p w:rsidR="00EB3ABC" w:rsidRPr="00CD7BD5" w:rsidRDefault="00EB3ABC" w:rsidP="00EB3ABC">
      <w:pPr>
        <w:pStyle w:val="medium2-header"/>
        <w:keepLines w:val="0"/>
        <w:spacing w:before="72"/>
        <w:ind w:left="0" w:right="1134"/>
        <w:outlineLvl w:val="0"/>
        <w:rPr>
          <w:rFonts w:cs="FrankRuehl" w:hint="cs"/>
          <w:noProof/>
          <w:rtl/>
        </w:rPr>
      </w:pPr>
      <w:bookmarkStart w:id="19" w:name="med6"/>
      <w:bookmarkEnd w:id="19"/>
      <w:r w:rsidRPr="00CD7BD5">
        <w:rPr>
          <w:rFonts w:cs="FrankRuehl" w:hint="cs"/>
          <w:noProof/>
          <w:rtl/>
        </w:rPr>
        <w:t xml:space="preserve">פרק </w:t>
      </w:r>
      <w:r w:rsidR="00C2629B">
        <w:rPr>
          <w:rFonts w:cs="FrankRuehl" w:hint="cs"/>
          <w:noProof/>
          <w:rtl/>
        </w:rPr>
        <w:t>ז': השתתפות מנהל קרן באסיפת מחזיקים</w:t>
      </w:r>
    </w:p>
    <w:p w:rsidR="0031108B" w:rsidRDefault="0031108B" w:rsidP="00CD7BD5">
      <w:pPr>
        <w:pStyle w:val="P00"/>
        <w:spacing w:before="72"/>
        <w:ind w:left="0" w:right="1134"/>
        <w:rPr>
          <w:rStyle w:val="default"/>
          <w:rFonts w:cs="FrankRuehl"/>
          <w:rtl/>
        </w:rPr>
      </w:pPr>
      <w:bookmarkStart w:id="20" w:name="Seif14"/>
      <w:bookmarkEnd w:id="20"/>
      <w:r>
        <w:rPr>
          <w:lang w:val="he-IL"/>
        </w:rPr>
        <w:pict>
          <v:rect id="_x0000_s1299" style="position:absolute;left:0;text-align:left;margin-left:464.35pt;margin-top:7.1pt;width:75.05pt;height:21.05pt;z-index:251662336" o:allowincell="f" filled="f" stroked="f" strokecolor="lime" strokeweight=".25pt">
            <v:textbox style="mso-next-textbox:#_x0000_s1299" inset="0,0,0,0">
              <w:txbxContent>
                <w:p w:rsidR="00A57AC2" w:rsidRDefault="00A046E5" w:rsidP="0031108B">
                  <w:pPr>
                    <w:spacing w:line="160" w:lineRule="exact"/>
                    <w:jc w:val="left"/>
                    <w:rPr>
                      <w:rFonts w:cs="Miriam" w:hint="cs"/>
                      <w:noProof/>
                      <w:sz w:val="18"/>
                      <w:szCs w:val="18"/>
                      <w:rtl/>
                    </w:rPr>
                  </w:pPr>
                  <w:r>
                    <w:rPr>
                      <w:rFonts w:cs="Miriam" w:hint="cs"/>
                      <w:sz w:val="18"/>
                      <w:szCs w:val="18"/>
                      <w:rtl/>
                    </w:rPr>
                    <w:t>השתתפות באסיפות מחזיקים</w:t>
                  </w:r>
                </w:p>
              </w:txbxContent>
            </v:textbox>
            <w10:anchorlock/>
          </v:rect>
        </w:pict>
      </w:r>
      <w:r>
        <w:rPr>
          <w:rStyle w:val="big-number"/>
          <w:rFonts w:cs="Miriam" w:hint="cs"/>
          <w:rtl/>
        </w:rPr>
        <w:t>1</w:t>
      </w:r>
      <w:r w:rsidR="00482F21">
        <w:rPr>
          <w:rStyle w:val="big-number"/>
          <w:rFonts w:cs="Miriam" w:hint="cs"/>
          <w:rtl/>
        </w:rPr>
        <w:t>4</w:t>
      </w:r>
      <w:r w:rsidRPr="0031108B">
        <w:rPr>
          <w:rStyle w:val="default"/>
          <w:rFonts w:cs="FrankRuehl"/>
          <w:rtl/>
        </w:rPr>
        <w:t>.</w:t>
      </w:r>
      <w:r w:rsidRPr="0031108B">
        <w:rPr>
          <w:rStyle w:val="default"/>
          <w:rFonts w:cs="FrankRuehl"/>
          <w:rtl/>
        </w:rPr>
        <w:tab/>
      </w:r>
      <w:r w:rsidR="00A046E5">
        <w:rPr>
          <w:rStyle w:val="default"/>
          <w:rFonts w:cs="FrankRuehl" w:hint="cs"/>
          <w:rtl/>
        </w:rPr>
        <w:t>מנהל קרן ישתתף ויצביע באסיפות מחזיקים כאמור בסעיף 77 לחוק, לגבי ניירות ערך המוחזקים בקרנות מחקות שבניהולו, ובלבד שניירות ערך אלה מוחזקים במועד הקובע גם בקרנות שאינן קרנות מחקות שבניהולו</w:t>
      </w:r>
      <w:r w:rsidR="00CD7BD5">
        <w:rPr>
          <w:rStyle w:val="default"/>
          <w:rFonts w:cs="FrankRuehl" w:hint="cs"/>
          <w:rtl/>
        </w:rPr>
        <w:t>.</w:t>
      </w:r>
    </w:p>
    <w:p w:rsidR="00EB3ABC" w:rsidRPr="00CD7BD5" w:rsidRDefault="00EB3ABC" w:rsidP="00EB3ABC">
      <w:pPr>
        <w:pStyle w:val="medium2-header"/>
        <w:keepLines w:val="0"/>
        <w:spacing w:before="72"/>
        <w:ind w:left="0" w:right="1134"/>
        <w:outlineLvl w:val="0"/>
        <w:rPr>
          <w:rFonts w:cs="FrankRuehl" w:hint="cs"/>
          <w:noProof/>
          <w:rtl/>
        </w:rPr>
      </w:pPr>
      <w:bookmarkStart w:id="21" w:name="med7"/>
      <w:bookmarkEnd w:id="21"/>
      <w:r w:rsidRPr="00CD7BD5">
        <w:rPr>
          <w:rFonts w:cs="FrankRuehl" w:hint="cs"/>
          <w:noProof/>
          <w:rtl/>
        </w:rPr>
        <w:t xml:space="preserve">פרק ח': </w:t>
      </w:r>
      <w:r w:rsidR="00A046E5">
        <w:rPr>
          <w:rFonts w:cs="FrankRuehl" w:hint="cs"/>
          <w:noProof/>
          <w:rtl/>
        </w:rPr>
        <w:t>פירוק קרן סל</w:t>
      </w:r>
    </w:p>
    <w:p w:rsidR="00530682" w:rsidRDefault="00530682" w:rsidP="00CD7BD5">
      <w:pPr>
        <w:pStyle w:val="P00"/>
        <w:spacing w:before="72"/>
        <w:ind w:left="0" w:right="1134"/>
        <w:rPr>
          <w:rStyle w:val="default"/>
          <w:rFonts w:cs="FrankRuehl"/>
          <w:rtl/>
        </w:rPr>
      </w:pPr>
      <w:bookmarkStart w:id="22" w:name="Seif15"/>
      <w:bookmarkEnd w:id="22"/>
      <w:r>
        <w:rPr>
          <w:lang w:val="he-IL"/>
        </w:rPr>
        <w:pict>
          <v:rect id="_x0000_s1315" style="position:absolute;left:0;text-align:left;margin-left:464.35pt;margin-top:7.1pt;width:75.05pt;height:12.8pt;z-index:251663360" o:allowincell="f" filled="f" stroked="f" strokecolor="lime" strokeweight=".25pt">
            <v:textbox style="mso-next-textbox:#_x0000_s1315" inset="0,0,0,0">
              <w:txbxContent>
                <w:p w:rsidR="00A57AC2" w:rsidRDefault="00F62D64" w:rsidP="00530682">
                  <w:pPr>
                    <w:spacing w:line="160" w:lineRule="exact"/>
                    <w:jc w:val="left"/>
                    <w:rPr>
                      <w:rFonts w:cs="Miriam" w:hint="cs"/>
                      <w:noProof/>
                      <w:sz w:val="18"/>
                      <w:szCs w:val="18"/>
                      <w:rtl/>
                    </w:rPr>
                  </w:pPr>
                  <w:r>
                    <w:rPr>
                      <w:rFonts w:cs="Miriam" w:hint="cs"/>
                      <w:sz w:val="18"/>
                      <w:szCs w:val="18"/>
                      <w:rtl/>
                    </w:rPr>
                    <w:t>פירוק קרן סל</w:t>
                  </w:r>
                </w:p>
              </w:txbxContent>
            </v:textbox>
            <w10:anchorlock/>
          </v:rect>
        </w:pict>
      </w:r>
      <w:r>
        <w:rPr>
          <w:rStyle w:val="big-number"/>
          <w:rFonts w:cs="Miriam" w:hint="cs"/>
          <w:rtl/>
        </w:rPr>
        <w:t>1</w:t>
      </w:r>
      <w:r w:rsidR="00CD7BD5">
        <w:rPr>
          <w:rStyle w:val="big-number"/>
          <w:rFonts w:cs="Miriam" w:hint="cs"/>
          <w:rtl/>
        </w:rPr>
        <w:t>5</w:t>
      </w:r>
      <w:r w:rsidRPr="0031108B">
        <w:rPr>
          <w:rStyle w:val="default"/>
          <w:rFonts w:cs="FrankRuehl"/>
          <w:rtl/>
        </w:rPr>
        <w:t>.</w:t>
      </w:r>
      <w:r w:rsidRPr="0031108B">
        <w:rPr>
          <w:rStyle w:val="default"/>
          <w:rFonts w:cs="FrankRuehl"/>
          <w:rtl/>
        </w:rPr>
        <w:tab/>
      </w:r>
      <w:r w:rsidR="00F62D64">
        <w:rPr>
          <w:rStyle w:val="default"/>
          <w:rFonts w:cs="FrankRuehl" w:hint="cs"/>
          <w:rtl/>
        </w:rPr>
        <w:t>(א)</w:t>
      </w:r>
      <w:r w:rsidR="00F62D64">
        <w:rPr>
          <w:rStyle w:val="default"/>
          <w:rFonts w:cs="FrankRuehl"/>
          <w:rtl/>
        </w:rPr>
        <w:tab/>
      </w:r>
      <w:r w:rsidR="00F62D64">
        <w:rPr>
          <w:rStyle w:val="default"/>
          <w:rFonts w:cs="FrankRuehl" w:hint="cs"/>
          <w:rtl/>
        </w:rPr>
        <w:t>על אף האמור בסעיף 106(א) לחוק, הודעה על פירוק קרן סל תינתן לא יאוחר משלושים ימים לפני מועד הפירוק, ובקרן סל שהיא קרן חשיפה הפוכה לפי הסכם הקרן לעניין זה; נקבע לפי תקנת משנה (ג)(2) כי מועד הפירוק יחול בחלוף פחות משלושים ימים מיום ההחלטה יודיע המפרק על פירוק הקרן וישלח את ההודעה כאמור בסעיף 106(ב) לחוק.</w:t>
      </w:r>
    </w:p>
    <w:p w:rsidR="00F62D64" w:rsidRDefault="00F62D64" w:rsidP="00CD7BD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106(ג) לחוק, התקבלה הודעה על פירוק קרן סל, תמחק הבורסה את יחידות הקרן מהרישום למסחר בבורסה ומנהל הקרן או מפרק הקרן יפסיק מאותו מועד גם את הצעתן לפי תקנה 5; בהודעה שישלח מפרק הקרן כאמור בסעיף 106(ב) לחוק תצוין העובדה כי יחידות הקרן יימחקו מן המסחר והמועד שבו הן צפויות להימחק לפי תקנון הבורסה.</w:t>
      </w:r>
    </w:p>
    <w:p w:rsidR="00F62D64" w:rsidRDefault="00F62D64" w:rsidP="00CD7BD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037E9">
        <w:rPr>
          <w:rStyle w:val="default"/>
          <w:rFonts w:cs="FrankRuehl" w:hint="cs"/>
          <w:rtl/>
        </w:rPr>
        <w:t xml:space="preserve">מועד הפירוק של קרן סל שלא לפי צו בית משפט יהיה </w:t>
      </w:r>
      <w:r w:rsidR="003037E9">
        <w:rPr>
          <w:rStyle w:val="default"/>
          <w:rFonts w:cs="FrankRuehl"/>
          <w:rtl/>
        </w:rPr>
        <w:t>–</w:t>
      </w:r>
    </w:p>
    <w:p w:rsidR="003037E9" w:rsidRDefault="003037E9" w:rsidP="003037E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בפירוק לפי סעיף 103(2) לחוק </w:t>
      </w:r>
      <w:r>
        <w:rPr>
          <w:rStyle w:val="default"/>
          <w:rFonts w:cs="FrankRuehl"/>
          <w:rtl/>
        </w:rPr>
        <w:t>–</w:t>
      </w:r>
      <w:r>
        <w:rPr>
          <w:rStyle w:val="default"/>
          <w:rFonts w:cs="FrankRuehl" w:hint="cs"/>
          <w:rtl/>
        </w:rPr>
        <w:t xml:space="preserve"> לא יאוחר מתום שלושים ימים ממועד ההודעה על הפירוק;</w:t>
      </w:r>
    </w:p>
    <w:p w:rsidR="003037E9" w:rsidRDefault="003037E9" w:rsidP="003037E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בפירוק לפי סעיף 103(4) לחוק </w:t>
      </w:r>
      <w:r>
        <w:rPr>
          <w:rStyle w:val="default"/>
          <w:rFonts w:cs="FrankRuehl"/>
          <w:rtl/>
        </w:rPr>
        <w:t>–</w:t>
      </w:r>
      <w:r>
        <w:rPr>
          <w:rStyle w:val="default"/>
          <w:rFonts w:cs="FrankRuehl" w:hint="cs"/>
          <w:rtl/>
        </w:rPr>
        <w:t xml:space="preserve"> לא יאוחר מתום שלושים ימים מיום מחיקת היחידות מן המסחר בבורסה;</w:t>
      </w:r>
    </w:p>
    <w:p w:rsidR="003037E9" w:rsidRDefault="003037E9" w:rsidP="003037E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בפירוק לפי סעיף 104א לחוק </w:t>
      </w:r>
      <w:r>
        <w:rPr>
          <w:rStyle w:val="default"/>
          <w:rFonts w:cs="FrankRuehl"/>
          <w:rtl/>
        </w:rPr>
        <w:t>–</w:t>
      </w:r>
      <w:r>
        <w:rPr>
          <w:rStyle w:val="default"/>
          <w:rFonts w:cs="FrankRuehl" w:hint="cs"/>
          <w:rtl/>
        </w:rPr>
        <w:t xml:space="preserve"> לא יאוחר מתום שלושים ימים ממועד ההודעה על הפירוק.</w:t>
      </w:r>
    </w:p>
    <w:p w:rsidR="00530682" w:rsidRDefault="00530682" w:rsidP="00A41E4C">
      <w:pPr>
        <w:pStyle w:val="P00"/>
        <w:spacing w:before="72"/>
        <w:ind w:left="0" w:right="1134"/>
        <w:rPr>
          <w:rStyle w:val="default"/>
          <w:rFonts w:cs="FrankRuehl"/>
          <w:rtl/>
        </w:rPr>
      </w:pPr>
      <w:bookmarkStart w:id="23" w:name="Seif16"/>
      <w:bookmarkEnd w:id="23"/>
      <w:r>
        <w:rPr>
          <w:lang w:val="he-IL"/>
        </w:rPr>
        <w:pict>
          <v:rect id="_x0000_s1316" style="position:absolute;left:0;text-align:left;margin-left:464.35pt;margin-top:7.1pt;width:75.05pt;height:19.55pt;z-index:251664384" o:allowincell="f" filled="f" stroked="f" strokecolor="lime" strokeweight=".25pt">
            <v:textbox style="mso-next-textbox:#_x0000_s1316" inset="0,0,0,0">
              <w:txbxContent>
                <w:p w:rsidR="00A57AC2" w:rsidRDefault="003037E9" w:rsidP="00530682">
                  <w:pPr>
                    <w:spacing w:line="160" w:lineRule="exact"/>
                    <w:jc w:val="left"/>
                    <w:rPr>
                      <w:rFonts w:cs="Miriam" w:hint="cs"/>
                      <w:noProof/>
                      <w:sz w:val="18"/>
                      <w:szCs w:val="18"/>
                      <w:rtl/>
                    </w:rPr>
                  </w:pPr>
                  <w:r>
                    <w:rPr>
                      <w:rFonts w:cs="Miriam" w:hint="cs"/>
                      <w:sz w:val="18"/>
                      <w:szCs w:val="18"/>
                      <w:rtl/>
                    </w:rPr>
                    <w:t>דמי ניהול משתנים בקרן בפירוק</w:t>
                  </w:r>
                </w:p>
              </w:txbxContent>
            </v:textbox>
            <w10:anchorlock/>
          </v:rect>
        </w:pict>
      </w:r>
      <w:r>
        <w:rPr>
          <w:rStyle w:val="big-number"/>
          <w:rFonts w:cs="Miriam" w:hint="cs"/>
          <w:rtl/>
        </w:rPr>
        <w:t>1</w:t>
      </w:r>
      <w:r w:rsidR="00A41E4C">
        <w:rPr>
          <w:rStyle w:val="big-number"/>
          <w:rFonts w:cs="Miriam" w:hint="cs"/>
          <w:rtl/>
        </w:rPr>
        <w:t>6</w:t>
      </w:r>
      <w:r w:rsidRPr="0031108B">
        <w:rPr>
          <w:rStyle w:val="default"/>
          <w:rFonts w:cs="FrankRuehl"/>
          <w:rtl/>
        </w:rPr>
        <w:t>.</w:t>
      </w:r>
      <w:r w:rsidRPr="0031108B">
        <w:rPr>
          <w:rStyle w:val="default"/>
          <w:rFonts w:cs="FrankRuehl"/>
          <w:rtl/>
        </w:rPr>
        <w:tab/>
      </w:r>
      <w:r w:rsidR="003037E9">
        <w:rPr>
          <w:rStyle w:val="default"/>
          <w:rFonts w:cs="FrankRuehl" w:hint="cs"/>
          <w:rtl/>
        </w:rPr>
        <w:t>נתן מנהל קרן או מפרק לקרן הודעה על פירוק קרן סל, שלגביה פרסם מנהל הקרן כי שכרו יכלול נוסף על דמי ניהול קבועים גם דמי ניהול משתנים, לא יהיה זכאי מנהל הקרן או המפרק לפרוע דמי ניהול משתנים מנכסי הקרן ולא יידרש לשלם לקרן דמי ניהול משתנים שליליים, מהיום שלמחרת היום שבו ניתנה ההודעה כאמור</w:t>
      </w:r>
      <w:r w:rsidR="00A41E4C">
        <w:rPr>
          <w:rStyle w:val="default"/>
          <w:rFonts w:cs="FrankRuehl" w:hint="cs"/>
          <w:rtl/>
        </w:rPr>
        <w:t>.</w:t>
      </w:r>
    </w:p>
    <w:p w:rsidR="003037E9" w:rsidRPr="003037E9" w:rsidRDefault="003037E9" w:rsidP="003037E9">
      <w:pPr>
        <w:pStyle w:val="medium2-header"/>
        <w:keepLines w:val="0"/>
        <w:spacing w:before="72"/>
        <w:ind w:left="0" w:right="1134"/>
        <w:outlineLvl w:val="0"/>
        <w:rPr>
          <w:rFonts w:cs="FrankRuehl"/>
          <w:noProof/>
          <w:rtl/>
        </w:rPr>
      </w:pPr>
      <w:bookmarkStart w:id="24" w:name="med8"/>
      <w:bookmarkEnd w:id="24"/>
      <w:r w:rsidRPr="003037E9">
        <w:rPr>
          <w:rFonts w:cs="FrankRuehl" w:hint="cs"/>
          <w:noProof/>
          <w:rtl/>
        </w:rPr>
        <w:t>פרק ט': תחילה והוראת מעבר</w:t>
      </w:r>
    </w:p>
    <w:p w:rsidR="00530682" w:rsidRDefault="00530682" w:rsidP="00A41E4C">
      <w:pPr>
        <w:pStyle w:val="P00"/>
        <w:spacing w:before="72"/>
        <w:ind w:left="0" w:right="1134"/>
        <w:rPr>
          <w:rStyle w:val="default"/>
          <w:rFonts w:cs="FrankRuehl"/>
          <w:rtl/>
        </w:rPr>
      </w:pPr>
      <w:bookmarkStart w:id="25" w:name="Seif17"/>
      <w:bookmarkEnd w:id="25"/>
      <w:r>
        <w:rPr>
          <w:lang w:val="he-IL"/>
        </w:rPr>
        <w:pict>
          <v:rect id="_x0000_s1317" style="position:absolute;left:0;text-align:left;margin-left:464.35pt;margin-top:7.1pt;width:75.05pt;height:12.6pt;z-index:251665408" o:allowincell="f" filled="f" stroked="f" strokecolor="lime" strokeweight=".25pt">
            <v:textbox style="mso-next-textbox:#_x0000_s1317" inset="0,0,0,0">
              <w:txbxContent>
                <w:p w:rsidR="00A57AC2" w:rsidRDefault="003037E9" w:rsidP="00530682">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A41E4C">
        <w:rPr>
          <w:rStyle w:val="big-number"/>
          <w:rFonts w:cs="Miriam" w:hint="cs"/>
          <w:rtl/>
        </w:rPr>
        <w:t>7</w:t>
      </w:r>
      <w:r w:rsidRPr="0031108B">
        <w:rPr>
          <w:rStyle w:val="default"/>
          <w:rFonts w:cs="FrankRuehl"/>
          <w:rtl/>
        </w:rPr>
        <w:t>.</w:t>
      </w:r>
      <w:r w:rsidRPr="0031108B">
        <w:rPr>
          <w:rStyle w:val="default"/>
          <w:rFonts w:cs="FrankRuehl"/>
          <w:rtl/>
        </w:rPr>
        <w:tab/>
      </w:r>
      <w:r w:rsidR="003037E9">
        <w:rPr>
          <w:rStyle w:val="default"/>
          <w:rFonts w:cs="FrankRuehl" w:hint="cs"/>
          <w:rtl/>
        </w:rPr>
        <w:t xml:space="preserve">תחילתן של תקנות אלה ביום כ"ג באלול התשע"ח (3 באוקטובר 2018) (להלן </w:t>
      </w:r>
      <w:r w:rsidR="003037E9">
        <w:rPr>
          <w:rStyle w:val="default"/>
          <w:rFonts w:cs="FrankRuehl"/>
          <w:rtl/>
        </w:rPr>
        <w:t>–</w:t>
      </w:r>
      <w:r w:rsidR="003037E9">
        <w:rPr>
          <w:rStyle w:val="default"/>
          <w:rFonts w:cs="FrankRuehl" w:hint="cs"/>
          <w:rtl/>
        </w:rPr>
        <w:t xml:space="preserve"> יום התחילה)</w:t>
      </w:r>
      <w:r w:rsidR="00A41E4C">
        <w:rPr>
          <w:rStyle w:val="default"/>
          <w:rFonts w:cs="FrankRuehl" w:hint="cs"/>
          <w:rtl/>
        </w:rPr>
        <w:t>.</w:t>
      </w:r>
    </w:p>
    <w:p w:rsidR="00530682" w:rsidRDefault="00530682" w:rsidP="007019EF">
      <w:pPr>
        <w:pStyle w:val="P00"/>
        <w:spacing w:before="72"/>
        <w:ind w:left="0" w:right="1134"/>
        <w:rPr>
          <w:rStyle w:val="default"/>
          <w:rFonts w:cs="FrankRuehl"/>
          <w:rtl/>
        </w:rPr>
      </w:pPr>
      <w:bookmarkStart w:id="26" w:name="Seif18"/>
      <w:bookmarkEnd w:id="26"/>
      <w:r>
        <w:rPr>
          <w:lang w:val="he-IL"/>
        </w:rPr>
        <w:pict>
          <v:rect id="_x0000_s1318" style="position:absolute;left:0;text-align:left;margin-left:464.35pt;margin-top:7.1pt;width:75.05pt;height:12.25pt;z-index:251666432" o:allowincell="f" filled="f" stroked="f" strokecolor="lime" strokeweight=".25pt">
            <v:textbox style="mso-next-textbox:#_x0000_s1318" inset="0,0,0,0">
              <w:txbxContent>
                <w:p w:rsidR="00A57AC2" w:rsidRDefault="003037E9" w:rsidP="00530682">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w:t>
      </w:r>
      <w:r w:rsidR="00A41E4C">
        <w:rPr>
          <w:rStyle w:val="big-number"/>
          <w:rFonts w:cs="Miriam" w:hint="cs"/>
          <w:rtl/>
        </w:rPr>
        <w:t>8</w:t>
      </w:r>
      <w:r w:rsidRPr="0031108B">
        <w:rPr>
          <w:rStyle w:val="default"/>
          <w:rFonts w:cs="FrankRuehl"/>
          <w:rtl/>
        </w:rPr>
        <w:t>.</w:t>
      </w:r>
      <w:r w:rsidRPr="0031108B">
        <w:rPr>
          <w:rStyle w:val="default"/>
          <w:rFonts w:cs="FrankRuehl"/>
          <w:rtl/>
        </w:rPr>
        <w:tab/>
      </w:r>
      <w:r w:rsidR="003037E9">
        <w:rPr>
          <w:rStyle w:val="default"/>
          <w:rFonts w:cs="FrankRuehl" w:hint="cs"/>
          <w:rtl/>
        </w:rPr>
        <w:t>(א)</w:t>
      </w:r>
      <w:r w:rsidR="003037E9">
        <w:rPr>
          <w:rStyle w:val="default"/>
          <w:rFonts w:cs="FrankRuehl"/>
          <w:rtl/>
        </w:rPr>
        <w:tab/>
      </w:r>
      <w:r w:rsidR="003037E9">
        <w:rPr>
          <w:rStyle w:val="default"/>
          <w:rFonts w:cs="FrankRuehl" w:hint="cs"/>
          <w:rtl/>
        </w:rPr>
        <w:t>מי שכיהן ערב יום התחילה כדירקטור חיצוני בחברה שהנפיקה ערב יום התחילה תעודות סל, רשאי לכהן עד תום תקופת כהונתו כדירקטור חיצוני במנהל קרן בשליטת בעל השליטה בחברה שאליה עברה פעילות תעודות הסל של החברה וכן במנהל קרן נוסף בשליטת בעל השליטה בחברה, ובלבד ששני מנהל הקרנות כאמור מנהלים קרנות בעלות מאפיינים שונים, ולא יראו בכל אחת מהכהונות כאמור כזיקה כמשמעותה</w:t>
      </w:r>
      <w:r w:rsidR="00717403">
        <w:rPr>
          <w:rStyle w:val="default"/>
          <w:rFonts w:cs="FrankRuehl" w:hint="cs"/>
          <w:rtl/>
        </w:rPr>
        <w:t xml:space="preserve"> בסעיף 240(ב) לחוק החברות לעניין הכהונה האחרת; בתקנה זו, "תעודות סל" </w:t>
      </w:r>
      <w:r w:rsidR="00717403">
        <w:rPr>
          <w:rStyle w:val="default"/>
          <w:rFonts w:cs="FrankRuehl"/>
          <w:rtl/>
        </w:rPr>
        <w:t>–</w:t>
      </w:r>
      <w:r w:rsidR="00717403">
        <w:rPr>
          <w:rStyle w:val="default"/>
          <w:rFonts w:cs="FrankRuehl" w:hint="cs"/>
          <w:rtl/>
        </w:rPr>
        <w:t xml:space="preserve"> כהגדרתן בסעיף 33(א) לתיקון 28</w:t>
      </w:r>
      <w:r w:rsidR="007019EF">
        <w:rPr>
          <w:rStyle w:val="default"/>
          <w:rFonts w:cs="FrankRuehl" w:hint="cs"/>
          <w:rtl/>
        </w:rPr>
        <w:t>.</w:t>
      </w:r>
    </w:p>
    <w:p w:rsidR="00717403" w:rsidRDefault="00717403" w:rsidP="007019E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הפכה קרן מחקה לקרן סל, לא תוצג בפרסום או בדוח תשואת הקרן לתקופה הקודמת למועד הקובע, ויראו את המועד הקובע לעניין תחילתה של תקופת חישוב תשואה כמועד שבו הוצעו יחידות הקרן לציבור לראשונה.</w:t>
      </w:r>
    </w:p>
    <w:p w:rsidR="00717403" w:rsidRDefault="00717403" w:rsidP="007019E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התשקיף העיקרי הראשון שפרסם מנהל קרן לאחר יום התחילה יחולו הוראות אלה:</w:t>
      </w:r>
    </w:p>
    <w:p w:rsidR="00717403" w:rsidRDefault="00717403" w:rsidP="005378D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8C0894">
        <w:rPr>
          <w:rStyle w:val="default"/>
          <w:rFonts w:cs="FrankRuehl" w:hint="cs"/>
          <w:rtl/>
        </w:rPr>
        <w:t>יושב ראש הרשות או עובד שהוא הסמיך לכך רשאים להאריך או לקצר את תקופת התשקיף ליחידות המוצעות לפי התשקיף העיקרי הראשון שפרסם מנהל קרן לאחר יום התחילה, או לפי תשקיף קרן חדשה שפורסם בתקופה שלאחר פרסום התשקיף העיקרי כאמור עד תום תקופתו;</w:t>
      </w:r>
    </w:p>
    <w:p w:rsidR="008C0894" w:rsidRDefault="008C0894" w:rsidP="005378D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הוארכה תקופת התשקיף לתקופה נוספת כאמור בפסקה (1), ישלם מנהל הקרן לרשות את החלק היחסי של הסכום הקבוע של אגרת בקשה למתן היתר לפרסום תשקיף לתקופה זו;</w:t>
      </w:r>
    </w:p>
    <w:p w:rsidR="008C0894" w:rsidRDefault="008C0894" w:rsidP="005378D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קוצרה תקופת התשקיף כאמור בפסקה (1) יוחזר למנהל הקרן החלק היחסי של הסכום הקבוע של אגרת בקשה למתן היתר לפרסום תשקיף לתקופה זו;</w:t>
      </w:r>
    </w:p>
    <w:p w:rsidR="008C0894" w:rsidRDefault="008C0894" w:rsidP="005378D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E934E3">
        <w:rPr>
          <w:rStyle w:val="default"/>
          <w:rFonts w:cs="FrankRuehl" w:hint="cs"/>
          <w:rtl/>
        </w:rPr>
        <w:t xml:space="preserve">בתקנה זו </w:t>
      </w:r>
      <w:r w:rsidR="00E934E3">
        <w:rPr>
          <w:rStyle w:val="default"/>
          <w:rFonts w:cs="FrankRuehl"/>
          <w:rtl/>
        </w:rPr>
        <w:t>–</w:t>
      </w:r>
    </w:p>
    <w:p w:rsidR="00E934E3" w:rsidRDefault="00E934E3" w:rsidP="005378D3">
      <w:pPr>
        <w:pStyle w:val="P00"/>
        <w:spacing w:before="72"/>
        <w:ind w:left="1021" w:right="1134"/>
        <w:rPr>
          <w:rStyle w:val="default"/>
          <w:rFonts w:cs="FrankRuehl"/>
          <w:rtl/>
        </w:rPr>
      </w:pPr>
      <w:r>
        <w:rPr>
          <w:rStyle w:val="default"/>
          <w:rFonts w:cs="FrankRuehl" w:hint="cs"/>
          <w:rtl/>
        </w:rPr>
        <w:t xml:space="preserve">"המועד הקובע" </w:t>
      </w:r>
      <w:r>
        <w:rPr>
          <w:rStyle w:val="default"/>
          <w:rFonts w:cs="FrankRuehl"/>
          <w:rtl/>
        </w:rPr>
        <w:t>–</w:t>
      </w:r>
      <w:r>
        <w:rPr>
          <w:rStyle w:val="default"/>
          <w:rFonts w:cs="FrankRuehl" w:hint="cs"/>
          <w:rtl/>
        </w:rPr>
        <w:t xml:space="preserve"> כמשמעותו בסעיף 33(ב) לחוק השקעות משותפות בנאמנות (תיקון מס' 28), התשע"ז-2017 (בפרק זה </w:t>
      </w:r>
      <w:r>
        <w:rPr>
          <w:rStyle w:val="default"/>
          <w:rFonts w:cs="FrankRuehl"/>
          <w:rtl/>
        </w:rPr>
        <w:t>–</w:t>
      </w:r>
      <w:r>
        <w:rPr>
          <w:rStyle w:val="default"/>
          <w:rFonts w:cs="FrankRuehl" w:hint="cs"/>
          <w:rtl/>
        </w:rPr>
        <w:t xml:space="preserve"> תיקון 28);</w:t>
      </w:r>
    </w:p>
    <w:p w:rsidR="00E934E3" w:rsidRDefault="00E934E3" w:rsidP="005378D3">
      <w:pPr>
        <w:pStyle w:val="P00"/>
        <w:spacing w:before="72"/>
        <w:ind w:left="1021" w:right="1134"/>
        <w:rPr>
          <w:rStyle w:val="default"/>
          <w:rFonts w:cs="FrankRuehl"/>
          <w:rtl/>
        </w:rPr>
      </w:pPr>
      <w:r>
        <w:rPr>
          <w:rStyle w:val="default"/>
          <w:rFonts w:cs="FrankRuehl" w:hint="cs"/>
          <w:rtl/>
        </w:rPr>
        <w:t xml:space="preserve">"הסכום הקבוע" </w:t>
      </w:r>
      <w:r>
        <w:rPr>
          <w:rStyle w:val="default"/>
          <w:rFonts w:cs="FrankRuehl"/>
          <w:rtl/>
        </w:rPr>
        <w:t>–</w:t>
      </w:r>
      <w:r>
        <w:rPr>
          <w:rStyle w:val="default"/>
          <w:rFonts w:cs="FrankRuehl" w:hint="cs"/>
          <w:rtl/>
        </w:rPr>
        <w:t xml:space="preserve"> כמשמעותו בתקנה 2 לתקנות ניירות ערך (אגרת בקשה למתן היתר לפרסום תשקיף), התשנ"ה-1995;</w:t>
      </w:r>
    </w:p>
    <w:p w:rsidR="00E934E3" w:rsidRDefault="00E934E3" w:rsidP="005378D3">
      <w:pPr>
        <w:pStyle w:val="P00"/>
        <w:spacing w:before="72"/>
        <w:ind w:left="1021" w:right="1134"/>
        <w:rPr>
          <w:rStyle w:val="default"/>
          <w:rFonts w:cs="FrankRuehl"/>
          <w:rtl/>
        </w:rPr>
      </w:pPr>
      <w:r>
        <w:rPr>
          <w:rStyle w:val="default"/>
          <w:rFonts w:cs="FrankRuehl" w:hint="cs"/>
          <w:rtl/>
        </w:rPr>
        <w:t xml:space="preserve">"חלק יחסי" </w:t>
      </w:r>
      <w:r>
        <w:rPr>
          <w:rStyle w:val="default"/>
          <w:rFonts w:cs="FrankRuehl"/>
          <w:rtl/>
        </w:rPr>
        <w:t>–</w:t>
      </w:r>
      <w:r>
        <w:rPr>
          <w:rStyle w:val="default"/>
          <w:rFonts w:cs="FrankRuehl" w:hint="cs"/>
          <w:rtl/>
        </w:rPr>
        <w:t xml:space="preserve"> לפי היחס שבין משך התקופה שנוספה או נוכתה לתקופת התשקיף, לפי פסקה (1) לבין שנים עשר חודשים;</w:t>
      </w:r>
    </w:p>
    <w:p w:rsidR="00E934E3" w:rsidRDefault="00E934E3" w:rsidP="005378D3">
      <w:pPr>
        <w:pStyle w:val="P00"/>
        <w:spacing w:before="72"/>
        <w:ind w:left="1021" w:right="1134"/>
        <w:rPr>
          <w:rStyle w:val="default"/>
          <w:rFonts w:cs="FrankRuehl"/>
          <w:rtl/>
        </w:rPr>
      </w:pPr>
      <w:r>
        <w:rPr>
          <w:rStyle w:val="default"/>
          <w:rFonts w:cs="FrankRuehl" w:hint="cs"/>
          <w:rtl/>
        </w:rPr>
        <w:t xml:space="preserve">"תקופת התשקיף" </w:t>
      </w:r>
      <w:r>
        <w:rPr>
          <w:rStyle w:val="default"/>
          <w:rFonts w:cs="FrankRuehl"/>
          <w:rtl/>
        </w:rPr>
        <w:t>–</w:t>
      </w:r>
      <w:r>
        <w:rPr>
          <w:rStyle w:val="default"/>
          <w:rFonts w:cs="FrankRuehl" w:hint="cs"/>
          <w:rtl/>
        </w:rPr>
        <w:t xml:space="preserve"> כהגדרתה בתקנות פרטי תשקיף;</w:t>
      </w:r>
    </w:p>
    <w:p w:rsidR="00E934E3" w:rsidRDefault="00E934E3" w:rsidP="005378D3">
      <w:pPr>
        <w:pStyle w:val="P00"/>
        <w:spacing w:before="72"/>
        <w:ind w:left="1021" w:right="1134"/>
        <w:rPr>
          <w:rStyle w:val="default"/>
          <w:rFonts w:cs="FrankRuehl"/>
          <w:rtl/>
        </w:rPr>
      </w:pPr>
      <w:r>
        <w:rPr>
          <w:rStyle w:val="default"/>
          <w:rFonts w:cs="FrankRuehl" w:hint="cs"/>
          <w:rtl/>
        </w:rPr>
        <w:t xml:space="preserve">"תקנות פרטי תשקיף" </w:t>
      </w:r>
      <w:r>
        <w:rPr>
          <w:rStyle w:val="default"/>
          <w:rFonts w:cs="FrankRuehl"/>
          <w:rtl/>
        </w:rPr>
        <w:t>–</w:t>
      </w:r>
      <w:r>
        <w:rPr>
          <w:rStyle w:val="default"/>
          <w:rFonts w:cs="FrankRuehl" w:hint="cs"/>
          <w:rtl/>
        </w:rPr>
        <w:t xml:space="preserve"> תקנות השקעות משותפות בנאמנות (פרטי </w:t>
      </w:r>
      <w:r w:rsidR="005378D3">
        <w:rPr>
          <w:rStyle w:val="default"/>
          <w:rFonts w:cs="FrankRuehl" w:hint="cs"/>
          <w:rtl/>
        </w:rPr>
        <w:t>תשקיף של קרן, מבנהו וצורתו), התש"ע-2009;</w:t>
      </w:r>
    </w:p>
    <w:p w:rsidR="005378D3" w:rsidRDefault="005378D3" w:rsidP="005378D3">
      <w:pPr>
        <w:pStyle w:val="P00"/>
        <w:spacing w:before="72"/>
        <w:ind w:left="1021" w:right="1134"/>
        <w:rPr>
          <w:rStyle w:val="default"/>
          <w:rFonts w:cs="FrankRuehl" w:hint="cs"/>
          <w:rtl/>
        </w:rPr>
      </w:pPr>
      <w:r>
        <w:rPr>
          <w:rStyle w:val="default"/>
          <w:rFonts w:cs="FrankRuehl" w:hint="cs"/>
          <w:rtl/>
        </w:rPr>
        <w:t xml:space="preserve">"תשקיף עיקרי" ו"תשקיף קרן חדשה" </w:t>
      </w:r>
      <w:r>
        <w:rPr>
          <w:rStyle w:val="default"/>
          <w:rFonts w:cs="FrankRuehl"/>
          <w:rtl/>
        </w:rPr>
        <w:t>–</w:t>
      </w:r>
      <w:r>
        <w:rPr>
          <w:rStyle w:val="default"/>
          <w:rFonts w:cs="FrankRuehl" w:hint="cs"/>
          <w:rtl/>
        </w:rPr>
        <w:t xml:space="preserve"> כהגדרתם בפסקאות (1) ו-(2) להגדרה "תשקיף" בתקנות פרטי תשקיף.</w:t>
      </w:r>
    </w:p>
    <w:p w:rsidR="00EB3ABC" w:rsidRDefault="00EB3ABC" w:rsidP="00431CAA">
      <w:pPr>
        <w:pStyle w:val="P00"/>
        <w:spacing w:before="72"/>
        <w:ind w:left="0" w:right="1134"/>
        <w:rPr>
          <w:rStyle w:val="default"/>
          <w:rFonts w:cs="FrankRuehl"/>
          <w:rtl/>
        </w:rPr>
      </w:pPr>
    </w:p>
    <w:p w:rsidR="00EB3ABC" w:rsidRDefault="00EB3ABC" w:rsidP="00431CAA">
      <w:pPr>
        <w:pStyle w:val="P00"/>
        <w:spacing w:before="72"/>
        <w:ind w:left="0" w:right="1134"/>
        <w:rPr>
          <w:rStyle w:val="default"/>
          <w:rFonts w:cs="FrankRuehl" w:hint="cs"/>
          <w:rtl/>
        </w:rPr>
      </w:pPr>
    </w:p>
    <w:p w:rsidR="00715FE6" w:rsidRDefault="005378D3" w:rsidP="00D21918">
      <w:pPr>
        <w:pStyle w:val="sig-0"/>
        <w:tabs>
          <w:tab w:val="clear" w:pos="4820"/>
          <w:tab w:val="center" w:pos="5670"/>
        </w:tabs>
        <w:spacing w:before="72"/>
        <w:ind w:left="0" w:right="1134"/>
        <w:rPr>
          <w:rFonts w:cs="FrankRuehl" w:hint="cs"/>
          <w:sz w:val="26"/>
          <w:rtl/>
        </w:rPr>
      </w:pPr>
      <w:r>
        <w:rPr>
          <w:rFonts w:cs="FrankRuehl" w:hint="cs"/>
          <w:sz w:val="26"/>
          <w:rtl/>
        </w:rPr>
        <w:t>י"ד בתמוז התשע"ח (27 ביוני 2018</w:t>
      </w:r>
      <w:r w:rsidR="00715FE6">
        <w:rPr>
          <w:rFonts w:cs="FrankRuehl" w:hint="cs"/>
          <w:sz w:val="26"/>
          <w:rtl/>
        </w:rPr>
        <w:t>)</w:t>
      </w:r>
      <w:r w:rsidR="00715FE6">
        <w:rPr>
          <w:rFonts w:cs="FrankRuehl" w:hint="cs"/>
          <w:sz w:val="26"/>
          <w:rtl/>
        </w:rPr>
        <w:tab/>
      </w:r>
      <w:r w:rsidR="00992F68">
        <w:rPr>
          <w:rFonts w:cs="FrankRuehl" w:hint="cs"/>
          <w:sz w:val="26"/>
          <w:rtl/>
        </w:rPr>
        <w:t>משה כחלון</w:t>
      </w:r>
    </w:p>
    <w:p w:rsidR="00715FE6" w:rsidRDefault="00715FE6" w:rsidP="00992F68">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371ACE">
        <w:rPr>
          <w:rFonts w:cs="FrankRuehl" w:hint="cs"/>
          <w:sz w:val="22"/>
          <w:rtl/>
        </w:rPr>
        <w:t>שר האוצר</w:t>
      </w:r>
    </w:p>
    <w:p w:rsidR="00D01419" w:rsidRDefault="00D01419" w:rsidP="00927A15">
      <w:pPr>
        <w:pStyle w:val="P00"/>
        <w:spacing w:before="72"/>
        <w:ind w:left="0" w:right="1134"/>
        <w:rPr>
          <w:rStyle w:val="default"/>
          <w:rFonts w:cs="FrankRuehl"/>
          <w:rtl/>
        </w:rPr>
      </w:pPr>
    </w:p>
    <w:p w:rsidR="007316F6" w:rsidRDefault="007316F6" w:rsidP="00927A15">
      <w:pPr>
        <w:pStyle w:val="P00"/>
        <w:spacing w:before="72"/>
        <w:ind w:left="0" w:right="1134"/>
        <w:rPr>
          <w:rStyle w:val="default"/>
          <w:rFonts w:cs="FrankRuehl"/>
          <w:rtl/>
        </w:rPr>
      </w:pPr>
    </w:p>
    <w:p w:rsidR="007A5FEF" w:rsidRDefault="007A5FEF" w:rsidP="00927A15">
      <w:pPr>
        <w:pStyle w:val="P00"/>
        <w:spacing w:before="72"/>
        <w:ind w:left="0" w:right="1134"/>
        <w:rPr>
          <w:rStyle w:val="default"/>
          <w:rFonts w:cs="FrankRuehl"/>
          <w:rtl/>
        </w:rPr>
      </w:pPr>
    </w:p>
    <w:p w:rsidR="007A5FEF" w:rsidRDefault="007A5FEF" w:rsidP="00927A15">
      <w:pPr>
        <w:pStyle w:val="P00"/>
        <w:spacing w:before="72"/>
        <w:ind w:left="0" w:right="1134"/>
        <w:rPr>
          <w:rStyle w:val="default"/>
          <w:rFonts w:cs="FrankRuehl"/>
          <w:rtl/>
        </w:rPr>
      </w:pPr>
    </w:p>
    <w:p w:rsidR="007A5FEF" w:rsidRDefault="007A5FEF" w:rsidP="007A5FEF">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7316F6" w:rsidRPr="007A5FEF" w:rsidRDefault="007316F6" w:rsidP="007A5FEF">
      <w:pPr>
        <w:pStyle w:val="P00"/>
        <w:spacing w:before="72"/>
        <w:ind w:left="0" w:right="1134"/>
        <w:jc w:val="center"/>
        <w:rPr>
          <w:rStyle w:val="default"/>
          <w:rFonts w:cs="David"/>
          <w:color w:val="0000FF"/>
          <w:szCs w:val="24"/>
          <w:u w:val="single"/>
          <w:rtl/>
        </w:rPr>
      </w:pPr>
    </w:p>
    <w:sectPr w:rsidR="007316F6" w:rsidRPr="007A5FEF"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61FD" w:rsidRDefault="006C61FD">
      <w:r>
        <w:separator/>
      </w:r>
    </w:p>
  </w:endnote>
  <w:endnote w:type="continuationSeparator" w:id="0">
    <w:p w:rsidR="006C61FD" w:rsidRDefault="006C6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AC2" w:rsidRDefault="00A57AC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57AC2" w:rsidRDefault="00A57A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7AC2" w:rsidRDefault="00A57A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AC2" w:rsidRDefault="00A57AC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5FEF">
      <w:rPr>
        <w:rFonts w:hAnsi="FrankRuehl" w:cs="FrankRuehl"/>
        <w:noProof/>
        <w:sz w:val="24"/>
        <w:szCs w:val="24"/>
        <w:rtl/>
      </w:rPr>
      <w:t>7</w:t>
    </w:r>
    <w:r>
      <w:rPr>
        <w:rFonts w:hAnsi="FrankRuehl" w:cs="FrankRuehl"/>
        <w:sz w:val="24"/>
        <w:szCs w:val="24"/>
        <w:rtl/>
      </w:rPr>
      <w:fldChar w:fldCharType="end"/>
    </w:r>
  </w:p>
  <w:p w:rsidR="00A57AC2" w:rsidRDefault="00A57A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7AC2" w:rsidRDefault="00A57A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61FD" w:rsidRDefault="006C61FD" w:rsidP="007C57AA">
      <w:pPr>
        <w:spacing w:before="60" w:line="240" w:lineRule="auto"/>
        <w:ind w:right="1134"/>
      </w:pPr>
      <w:r>
        <w:separator/>
      </w:r>
    </w:p>
  </w:footnote>
  <w:footnote w:type="continuationSeparator" w:id="0">
    <w:p w:rsidR="006C61FD" w:rsidRDefault="006C61FD">
      <w:pPr>
        <w:spacing w:before="60"/>
        <w:ind w:right="1134"/>
      </w:pPr>
      <w:r>
        <w:separator/>
      </w:r>
    </w:p>
  </w:footnote>
  <w:footnote w:id="1">
    <w:p w:rsidR="00533BAA" w:rsidRDefault="00A57AC2" w:rsidP="00533B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33BAA">
          <w:rPr>
            <w:rStyle w:val="Hyperlink"/>
            <w:rFonts w:cs="FrankRuehl" w:hint="cs"/>
            <w:rtl/>
          </w:rPr>
          <w:t>ק"ת תשע"</w:t>
        </w:r>
        <w:r w:rsidR="001521DE" w:rsidRPr="00533BAA">
          <w:rPr>
            <w:rStyle w:val="Hyperlink"/>
            <w:rFonts w:cs="FrankRuehl" w:hint="cs"/>
            <w:rtl/>
          </w:rPr>
          <w:t>ח</w:t>
        </w:r>
        <w:r w:rsidRPr="00533BAA">
          <w:rPr>
            <w:rStyle w:val="Hyperlink"/>
            <w:rFonts w:cs="FrankRuehl" w:hint="cs"/>
            <w:rtl/>
          </w:rPr>
          <w:t xml:space="preserve"> מס' </w:t>
        </w:r>
        <w:r w:rsidR="001521DE" w:rsidRPr="00533BAA">
          <w:rPr>
            <w:rStyle w:val="Hyperlink"/>
            <w:rFonts w:cs="FrankRuehl" w:hint="cs"/>
            <w:rtl/>
          </w:rPr>
          <w:t>8038</w:t>
        </w:r>
      </w:hyperlink>
      <w:r>
        <w:rPr>
          <w:rFonts w:cs="FrankRuehl" w:hint="cs"/>
          <w:rtl/>
        </w:rPr>
        <w:t xml:space="preserve"> מיום </w:t>
      </w:r>
      <w:r w:rsidR="001521DE">
        <w:rPr>
          <w:rFonts w:cs="FrankRuehl" w:hint="cs"/>
          <w:rtl/>
        </w:rPr>
        <w:t>12.7.2018</w:t>
      </w:r>
      <w:r>
        <w:rPr>
          <w:rFonts w:cs="FrankRuehl" w:hint="cs"/>
          <w:rtl/>
        </w:rPr>
        <w:t xml:space="preserve"> עמ' </w:t>
      </w:r>
      <w:r w:rsidR="001521DE">
        <w:rPr>
          <w:rFonts w:cs="FrankRuehl" w:hint="cs"/>
          <w:rtl/>
        </w:rPr>
        <w:t>2394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AC2" w:rsidRDefault="00A57AC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57AC2" w:rsidRDefault="00A57AC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7AC2" w:rsidRDefault="00A57AC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AC2" w:rsidRDefault="00A57AC2" w:rsidP="0053068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השקעות משותפות בנאמנות (</w:t>
    </w:r>
    <w:r w:rsidR="001521DE">
      <w:rPr>
        <w:rFonts w:hAnsi="FrankRuehl" w:cs="FrankRuehl" w:hint="cs"/>
        <w:color w:val="000000"/>
        <w:sz w:val="28"/>
        <w:szCs w:val="28"/>
        <w:rtl/>
      </w:rPr>
      <w:t>קרנות מחקות), תשע"ח-2018</w:t>
    </w:r>
  </w:p>
  <w:p w:rsidR="00A57AC2" w:rsidRDefault="00A57AC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7AC2" w:rsidRDefault="00A57AC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0752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2631"/>
    <w:rsid w:val="000146A6"/>
    <w:rsid w:val="000201C8"/>
    <w:rsid w:val="00035B38"/>
    <w:rsid w:val="000377F5"/>
    <w:rsid w:val="00046B7F"/>
    <w:rsid w:val="000619D9"/>
    <w:rsid w:val="00062C31"/>
    <w:rsid w:val="00064468"/>
    <w:rsid w:val="00064C99"/>
    <w:rsid w:val="00077801"/>
    <w:rsid w:val="00083670"/>
    <w:rsid w:val="00084C95"/>
    <w:rsid w:val="0008783E"/>
    <w:rsid w:val="00091B8B"/>
    <w:rsid w:val="000924D1"/>
    <w:rsid w:val="000948CA"/>
    <w:rsid w:val="00094DD9"/>
    <w:rsid w:val="000A234A"/>
    <w:rsid w:val="000B5689"/>
    <w:rsid w:val="000B65C0"/>
    <w:rsid w:val="000B7169"/>
    <w:rsid w:val="000C145C"/>
    <w:rsid w:val="000C2548"/>
    <w:rsid w:val="000C7AA4"/>
    <w:rsid w:val="000D1348"/>
    <w:rsid w:val="000D7097"/>
    <w:rsid w:val="000D7FBE"/>
    <w:rsid w:val="000E25AA"/>
    <w:rsid w:val="000E283F"/>
    <w:rsid w:val="000E38D9"/>
    <w:rsid w:val="000E3FCB"/>
    <w:rsid w:val="000E4FDD"/>
    <w:rsid w:val="000E54C3"/>
    <w:rsid w:val="000E6E54"/>
    <w:rsid w:val="000E7C2E"/>
    <w:rsid w:val="001001D1"/>
    <w:rsid w:val="00102B63"/>
    <w:rsid w:val="0010406E"/>
    <w:rsid w:val="001045B9"/>
    <w:rsid w:val="00106DC5"/>
    <w:rsid w:val="0010753D"/>
    <w:rsid w:val="00112119"/>
    <w:rsid w:val="00122668"/>
    <w:rsid w:val="00122C2E"/>
    <w:rsid w:val="0012665B"/>
    <w:rsid w:val="001275F0"/>
    <w:rsid w:val="00131FDC"/>
    <w:rsid w:val="00133E83"/>
    <w:rsid w:val="001349BE"/>
    <w:rsid w:val="001370C7"/>
    <w:rsid w:val="00142298"/>
    <w:rsid w:val="001521DE"/>
    <w:rsid w:val="001615C2"/>
    <w:rsid w:val="00186445"/>
    <w:rsid w:val="001B05AB"/>
    <w:rsid w:val="001B6783"/>
    <w:rsid w:val="001C4AB6"/>
    <w:rsid w:val="001C7073"/>
    <w:rsid w:val="001D6CC8"/>
    <w:rsid w:val="001E0FA8"/>
    <w:rsid w:val="00201476"/>
    <w:rsid w:val="002216B6"/>
    <w:rsid w:val="00224535"/>
    <w:rsid w:val="002471C0"/>
    <w:rsid w:val="002538D4"/>
    <w:rsid w:val="00265592"/>
    <w:rsid w:val="00266016"/>
    <w:rsid w:val="002719A9"/>
    <w:rsid w:val="00273A1A"/>
    <w:rsid w:val="00273C7A"/>
    <w:rsid w:val="00275506"/>
    <w:rsid w:val="00276379"/>
    <w:rsid w:val="002835DF"/>
    <w:rsid w:val="002908D6"/>
    <w:rsid w:val="002A38D8"/>
    <w:rsid w:val="002B683C"/>
    <w:rsid w:val="002C7187"/>
    <w:rsid w:val="002C7B4F"/>
    <w:rsid w:val="002D5870"/>
    <w:rsid w:val="002E3E60"/>
    <w:rsid w:val="002E473B"/>
    <w:rsid w:val="002F1EBA"/>
    <w:rsid w:val="002F76E8"/>
    <w:rsid w:val="003037E9"/>
    <w:rsid w:val="0030618C"/>
    <w:rsid w:val="0031108B"/>
    <w:rsid w:val="003114D6"/>
    <w:rsid w:val="0032640C"/>
    <w:rsid w:val="003304A8"/>
    <w:rsid w:val="0033109A"/>
    <w:rsid w:val="00333313"/>
    <w:rsid w:val="0033559B"/>
    <w:rsid w:val="00342C78"/>
    <w:rsid w:val="00343C9A"/>
    <w:rsid w:val="003528CA"/>
    <w:rsid w:val="0036085C"/>
    <w:rsid w:val="0036193A"/>
    <w:rsid w:val="00371ACE"/>
    <w:rsid w:val="00373ACB"/>
    <w:rsid w:val="0037705A"/>
    <w:rsid w:val="00387B86"/>
    <w:rsid w:val="00390B22"/>
    <w:rsid w:val="00391D0A"/>
    <w:rsid w:val="003A23D8"/>
    <w:rsid w:val="003A46B0"/>
    <w:rsid w:val="003B4C6D"/>
    <w:rsid w:val="003B69A2"/>
    <w:rsid w:val="003C08EF"/>
    <w:rsid w:val="003C5080"/>
    <w:rsid w:val="003C6DF3"/>
    <w:rsid w:val="003D5BB0"/>
    <w:rsid w:val="003D600F"/>
    <w:rsid w:val="003E10E3"/>
    <w:rsid w:val="003E17A4"/>
    <w:rsid w:val="003E74D6"/>
    <w:rsid w:val="003E7AA0"/>
    <w:rsid w:val="003F43BD"/>
    <w:rsid w:val="003F5C71"/>
    <w:rsid w:val="0040021A"/>
    <w:rsid w:val="00407722"/>
    <w:rsid w:val="004112F3"/>
    <w:rsid w:val="004120DC"/>
    <w:rsid w:val="00413F14"/>
    <w:rsid w:val="0041737A"/>
    <w:rsid w:val="004204BE"/>
    <w:rsid w:val="00421409"/>
    <w:rsid w:val="00431CAA"/>
    <w:rsid w:val="00432406"/>
    <w:rsid w:val="004340B4"/>
    <w:rsid w:val="004355B4"/>
    <w:rsid w:val="0044105C"/>
    <w:rsid w:val="0044263A"/>
    <w:rsid w:val="0044445E"/>
    <w:rsid w:val="00445514"/>
    <w:rsid w:val="004456FF"/>
    <w:rsid w:val="0045078F"/>
    <w:rsid w:val="00454064"/>
    <w:rsid w:val="00454F98"/>
    <w:rsid w:val="0045552F"/>
    <w:rsid w:val="004555FD"/>
    <w:rsid w:val="00457607"/>
    <w:rsid w:val="00460066"/>
    <w:rsid w:val="00460500"/>
    <w:rsid w:val="0047103A"/>
    <w:rsid w:val="00475BF0"/>
    <w:rsid w:val="00476319"/>
    <w:rsid w:val="00482F21"/>
    <w:rsid w:val="00484974"/>
    <w:rsid w:val="00490D4B"/>
    <w:rsid w:val="0049129C"/>
    <w:rsid w:val="00496121"/>
    <w:rsid w:val="004A2A23"/>
    <w:rsid w:val="004A64CC"/>
    <w:rsid w:val="004A7635"/>
    <w:rsid w:val="004B1254"/>
    <w:rsid w:val="004B615C"/>
    <w:rsid w:val="004C1D5F"/>
    <w:rsid w:val="004C3C1F"/>
    <w:rsid w:val="004C4E16"/>
    <w:rsid w:val="004C6EB2"/>
    <w:rsid w:val="004C755C"/>
    <w:rsid w:val="004D539F"/>
    <w:rsid w:val="004D6C06"/>
    <w:rsid w:val="004F31AA"/>
    <w:rsid w:val="004F32A4"/>
    <w:rsid w:val="004F4329"/>
    <w:rsid w:val="004F512C"/>
    <w:rsid w:val="004F6206"/>
    <w:rsid w:val="00521DE5"/>
    <w:rsid w:val="00530682"/>
    <w:rsid w:val="0053081B"/>
    <w:rsid w:val="00533BAA"/>
    <w:rsid w:val="005378D3"/>
    <w:rsid w:val="00537CD1"/>
    <w:rsid w:val="005416A0"/>
    <w:rsid w:val="005453FC"/>
    <w:rsid w:val="00553571"/>
    <w:rsid w:val="005607E7"/>
    <w:rsid w:val="00562D3A"/>
    <w:rsid w:val="00572D30"/>
    <w:rsid w:val="00574BC7"/>
    <w:rsid w:val="00576752"/>
    <w:rsid w:val="00581F51"/>
    <w:rsid w:val="00583639"/>
    <w:rsid w:val="005921B5"/>
    <w:rsid w:val="00593F5E"/>
    <w:rsid w:val="00593FA7"/>
    <w:rsid w:val="005A0EA6"/>
    <w:rsid w:val="005A4835"/>
    <w:rsid w:val="005B30BE"/>
    <w:rsid w:val="005C13E4"/>
    <w:rsid w:val="005C17DB"/>
    <w:rsid w:val="005C6342"/>
    <w:rsid w:val="005D72E7"/>
    <w:rsid w:val="005E00B5"/>
    <w:rsid w:val="005E3B35"/>
    <w:rsid w:val="005E67B1"/>
    <w:rsid w:val="005E7167"/>
    <w:rsid w:val="005F1762"/>
    <w:rsid w:val="005F3D19"/>
    <w:rsid w:val="005F559B"/>
    <w:rsid w:val="006054F3"/>
    <w:rsid w:val="00612941"/>
    <w:rsid w:val="00614CD9"/>
    <w:rsid w:val="00617252"/>
    <w:rsid w:val="0062009E"/>
    <w:rsid w:val="00620D54"/>
    <w:rsid w:val="00630F20"/>
    <w:rsid w:val="00634371"/>
    <w:rsid w:val="00635CB5"/>
    <w:rsid w:val="00640B97"/>
    <w:rsid w:val="00642120"/>
    <w:rsid w:val="00646B5F"/>
    <w:rsid w:val="00647F96"/>
    <w:rsid w:val="00650A46"/>
    <w:rsid w:val="0065191D"/>
    <w:rsid w:val="006618EF"/>
    <w:rsid w:val="00670051"/>
    <w:rsid w:val="00671878"/>
    <w:rsid w:val="00672071"/>
    <w:rsid w:val="006741BB"/>
    <w:rsid w:val="00677514"/>
    <w:rsid w:val="00680706"/>
    <w:rsid w:val="00684080"/>
    <w:rsid w:val="006849D8"/>
    <w:rsid w:val="00687666"/>
    <w:rsid w:val="00697D24"/>
    <w:rsid w:val="006A0AF5"/>
    <w:rsid w:val="006A4259"/>
    <w:rsid w:val="006A6733"/>
    <w:rsid w:val="006A75B5"/>
    <w:rsid w:val="006A7DDF"/>
    <w:rsid w:val="006B204F"/>
    <w:rsid w:val="006B37C4"/>
    <w:rsid w:val="006B4FC9"/>
    <w:rsid w:val="006B5390"/>
    <w:rsid w:val="006C0B97"/>
    <w:rsid w:val="006C17D8"/>
    <w:rsid w:val="006C3F12"/>
    <w:rsid w:val="006C61FD"/>
    <w:rsid w:val="006C7167"/>
    <w:rsid w:val="006C7C6F"/>
    <w:rsid w:val="006E1EDA"/>
    <w:rsid w:val="006E2FDE"/>
    <w:rsid w:val="006E7627"/>
    <w:rsid w:val="006F080F"/>
    <w:rsid w:val="006F787A"/>
    <w:rsid w:val="006F7A08"/>
    <w:rsid w:val="00700FF2"/>
    <w:rsid w:val="007019EF"/>
    <w:rsid w:val="007035D6"/>
    <w:rsid w:val="00712978"/>
    <w:rsid w:val="00715FE6"/>
    <w:rsid w:val="00716074"/>
    <w:rsid w:val="00716DEE"/>
    <w:rsid w:val="00717403"/>
    <w:rsid w:val="00720039"/>
    <w:rsid w:val="00722104"/>
    <w:rsid w:val="00722F74"/>
    <w:rsid w:val="00726659"/>
    <w:rsid w:val="007270FE"/>
    <w:rsid w:val="0073144C"/>
    <w:rsid w:val="007316F6"/>
    <w:rsid w:val="00743F56"/>
    <w:rsid w:val="00751097"/>
    <w:rsid w:val="00752BF0"/>
    <w:rsid w:val="007550E1"/>
    <w:rsid w:val="00757461"/>
    <w:rsid w:val="00757C9E"/>
    <w:rsid w:val="0076088F"/>
    <w:rsid w:val="0076254E"/>
    <w:rsid w:val="00765B73"/>
    <w:rsid w:val="0076748E"/>
    <w:rsid w:val="00772CD8"/>
    <w:rsid w:val="0078071F"/>
    <w:rsid w:val="00782DC3"/>
    <w:rsid w:val="00784C86"/>
    <w:rsid w:val="00785BE6"/>
    <w:rsid w:val="00790D9E"/>
    <w:rsid w:val="00790E79"/>
    <w:rsid w:val="00793D11"/>
    <w:rsid w:val="00796AF7"/>
    <w:rsid w:val="007A1FF2"/>
    <w:rsid w:val="007A3993"/>
    <w:rsid w:val="007A412F"/>
    <w:rsid w:val="007A5FEF"/>
    <w:rsid w:val="007A74CA"/>
    <w:rsid w:val="007B248A"/>
    <w:rsid w:val="007B6045"/>
    <w:rsid w:val="007C0B21"/>
    <w:rsid w:val="007C1804"/>
    <w:rsid w:val="007C57AA"/>
    <w:rsid w:val="007D32F5"/>
    <w:rsid w:val="007D6765"/>
    <w:rsid w:val="007D73DF"/>
    <w:rsid w:val="007E29B7"/>
    <w:rsid w:val="007F0616"/>
    <w:rsid w:val="008058EC"/>
    <w:rsid w:val="008159FF"/>
    <w:rsid w:val="008162C9"/>
    <w:rsid w:val="00821E51"/>
    <w:rsid w:val="00827B84"/>
    <w:rsid w:val="00830129"/>
    <w:rsid w:val="00841A08"/>
    <w:rsid w:val="008502EE"/>
    <w:rsid w:val="00852A6C"/>
    <w:rsid w:val="0085655A"/>
    <w:rsid w:val="0086107A"/>
    <w:rsid w:val="0086366E"/>
    <w:rsid w:val="0087771D"/>
    <w:rsid w:val="008820F5"/>
    <w:rsid w:val="00884B6C"/>
    <w:rsid w:val="00892B71"/>
    <w:rsid w:val="00894C01"/>
    <w:rsid w:val="008973B2"/>
    <w:rsid w:val="0089792E"/>
    <w:rsid w:val="008A2722"/>
    <w:rsid w:val="008A28E9"/>
    <w:rsid w:val="008A638E"/>
    <w:rsid w:val="008C0451"/>
    <w:rsid w:val="008C0894"/>
    <w:rsid w:val="008C2526"/>
    <w:rsid w:val="008C5B96"/>
    <w:rsid w:val="008C7D26"/>
    <w:rsid w:val="008D03EF"/>
    <w:rsid w:val="008D08AB"/>
    <w:rsid w:val="008D5DE2"/>
    <w:rsid w:val="008D769B"/>
    <w:rsid w:val="008E0EC9"/>
    <w:rsid w:val="008E367E"/>
    <w:rsid w:val="008E36CB"/>
    <w:rsid w:val="008E73A8"/>
    <w:rsid w:val="00902390"/>
    <w:rsid w:val="00904EEA"/>
    <w:rsid w:val="00906581"/>
    <w:rsid w:val="00911822"/>
    <w:rsid w:val="00923E55"/>
    <w:rsid w:val="00924A7C"/>
    <w:rsid w:val="0092503F"/>
    <w:rsid w:val="00927A15"/>
    <w:rsid w:val="009309D7"/>
    <w:rsid w:val="009335B5"/>
    <w:rsid w:val="00934563"/>
    <w:rsid w:val="00937C57"/>
    <w:rsid w:val="00940601"/>
    <w:rsid w:val="00947DE7"/>
    <w:rsid w:val="00954A48"/>
    <w:rsid w:val="00955412"/>
    <w:rsid w:val="00955564"/>
    <w:rsid w:val="00955AC8"/>
    <w:rsid w:val="009572D1"/>
    <w:rsid w:val="0096403F"/>
    <w:rsid w:val="00974306"/>
    <w:rsid w:val="00977ED9"/>
    <w:rsid w:val="00992F68"/>
    <w:rsid w:val="0099490C"/>
    <w:rsid w:val="009C2916"/>
    <w:rsid w:val="009C519A"/>
    <w:rsid w:val="009C5B73"/>
    <w:rsid w:val="009D4499"/>
    <w:rsid w:val="009D50CE"/>
    <w:rsid w:val="009E2AAC"/>
    <w:rsid w:val="009E7FC2"/>
    <w:rsid w:val="009F01BD"/>
    <w:rsid w:val="009F35FF"/>
    <w:rsid w:val="009F61AB"/>
    <w:rsid w:val="00A046E5"/>
    <w:rsid w:val="00A0666F"/>
    <w:rsid w:val="00A1005E"/>
    <w:rsid w:val="00A10AE2"/>
    <w:rsid w:val="00A141C3"/>
    <w:rsid w:val="00A14F70"/>
    <w:rsid w:val="00A22051"/>
    <w:rsid w:val="00A227D9"/>
    <w:rsid w:val="00A24813"/>
    <w:rsid w:val="00A308E0"/>
    <w:rsid w:val="00A416ED"/>
    <w:rsid w:val="00A41BC5"/>
    <w:rsid w:val="00A41E4C"/>
    <w:rsid w:val="00A42C95"/>
    <w:rsid w:val="00A53F3B"/>
    <w:rsid w:val="00A55D15"/>
    <w:rsid w:val="00A57AC2"/>
    <w:rsid w:val="00A60C5B"/>
    <w:rsid w:val="00A630ED"/>
    <w:rsid w:val="00A658E8"/>
    <w:rsid w:val="00A6616F"/>
    <w:rsid w:val="00A66F20"/>
    <w:rsid w:val="00A701D9"/>
    <w:rsid w:val="00A71DAC"/>
    <w:rsid w:val="00A71F31"/>
    <w:rsid w:val="00A730D6"/>
    <w:rsid w:val="00A75B9F"/>
    <w:rsid w:val="00A77084"/>
    <w:rsid w:val="00A87C1B"/>
    <w:rsid w:val="00A9239A"/>
    <w:rsid w:val="00A935CA"/>
    <w:rsid w:val="00AA6C06"/>
    <w:rsid w:val="00AB116A"/>
    <w:rsid w:val="00AB345A"/>
    <w:rsid w:val="00AB4991"/>
    <w:rsid w:val="00AB7815"/>
    <w:rsid w:val="00AB7FCA"/>
    <w:rsid w:val="00AC5875"/>
    <w:rsid w:val="00AC6EF5"/>
    <w:rsid w:val="00AC7B1B"/>
    <w:rsid w:val="00AD2483"/>
    <w:rsid w:val="00AD5876"/>
    <w:rsid w:val="00AE4A4F"/>
    <w:rsid w:val="00AF36BF"/>
    <w:rsid w:val="00AF7048"/>
    <w:rsid w:val="00B005C1"/>
    <w:rsid w:val="00B0106C"/>
    <w:rsid w:val="00B12F53"/>
    <w:rsid w:val="00B173CC"/>
    <w:rsid w:val="00B17AF7"/>
    <w:rsid w:val="00B218F8"/>
    <w:rsid w:val="00B21DBE"/>
    <w:rsid w:val="00B273CF"/>
    <w:rsid w:val="00B43F37"/>
    <w:rsid w:val="00B459E4"/>
    <w:rsid w:val="00B60441"/>
    <w:rsid w:val="00B620DE"/>
    <w:rsid w:val="00B62BCF"/>
    <w:rsid w:val="00B64186"/>
    <w:rsid w:val="00B73316"/>
    <w:rsid w:val="00B8400A"/>
    <w:rsid w:val="00B84C6D"/>
    <w:rsid w:val="00B870A0"/>
    <w:rsid w:val="00B87DA4"/>
    <w:rsid w:val="00BB6FFF"/>
    <w:rsid w:val="00BB7408"/>
    <w:rsid w:val="00BC2E38"/>
    <w:rsid w:val="00BC76FB"/>
    <w:rsid w:val="00BD1625"/>
    <w:rsid w:val="00BD51F7"/>
    <w:rsid w:val="00BD57BF"/>
    <w:rsid w:val="00BE03B7"/>
    <w:rsid w:val="00BE37D5"/>
    <w:rsid w:val="00BE7477"/>
    <w:rsid w:val="00BF580C"/>
    <w:rsid w:val="00BF6122"/>
    <w:rsid w:val="00BF78AB"/>
    <w:rsid w:val="00BF7CD7"/>
    <w:rsid w:val="00C02D8E"/>
    <w:rsid w:val="00C0712A"/>
    <w:rsid w:val="00C07231"/>
    <w:rsid w:val="00C13DC1"/>
    <w:rsid w:val="00C14B1A"/>
    <w:rsid w:val="00C17A30"/>
    <w:rsid w:val="00C2629B"/>
    <w:rsid w:val="00C34AA6"/>
    <w:rsid w:val="00C41D00"/>
    <w:rsid w:val="00C473A0"/>
    <w:rsid w:val="00C53230"/>
    <w:rsid w:val="00C55FF6"/>
    <w:rsid w:val="00C6067A"/>
    <w:rsid w:val="00C85F20"/>
    <w:rsid w:val="00C90BBE"/>
    <w:rsid w:val="00C922FD"/>
    <w:rsid w:val="00C9259B"/>
    <w:rsid w:val="00C949BF"/>
    <w:rsid w:val="00C96BD2"/>
    <w:rsid w:val="00CA174A"/>
    <w:rsid w:val="00CA32CD"/>
    <w:rsid w:val="00CB0CE1"/>
    <w:rsid w:val="00CC2D58"/>
    <w:rsid w:val="00CC2E3C"/>
    <w:rsid w:val="00CC7FEC"/>
    <w:rsid w:val="00CD4ACE"/>
    <w:rsid w:val="00CD6719"/>
    <w:rsid w:val="00CD6F99"/>
    <w:rsid w:val="00CD7BD5"/>
    <w:rsid w:val="00CE1F5F"/>
    <w:rsid w:val="00CF4B69"/>
    <w:rsid w:val="00D01419"/>
    <w:rsid w:val="00D10BBD"/>
    <w:rsid w:val="00D160F4"/>
    <w:rsid w:val="00D17B23"/>
    <w:rsid w:val="00D20F62"/>
    <w:rsid w:val="00D21193"/>
    <w:rsid w:val="00D21918"/>
    <w:rsid w:val="00D22FCB"/>
    <w:rsid w:val="00D23847"/>
    <w:rsid w:val="00D2420C"/>
    <w:rsid w:val="00D258FB"/>
    <w:rsid w:val="00D25D5C"/>
    <w:rsid w:val="00D26AA4"/>
    <w:rsid w:val="00D3243E"/>
    <w:rsid w:val="00D32591"/>
    <w:rsid w:val="00D33D4D"/>
    <w:rsid w:val="00D4012B"/>
    <w:rsid w:val="00D4088D"/>
    <w:rsid w:val="00D42D38"/>
    <w:rsid w:val="00D50C5F"/>
    <w:rsid w:val="00D5121D"/>
    <w:rsid w:val="00D55EBB"/>
    <w:rsid w:val="00D5641C"/>
    <w:rsid w:val="00D56430"/>
    <w:rsid w:val="00D6337B"/>
    <w:rsid w:val="00D65098"/>
    <w:rsid w:val="00D7134C"/>
    <w:rsid w:val="00D714B8"/>
    <w:rsid w:val="00D84B8C"/>
    <w:rsid w:val="00D872D3"/>
    <w:rsid w:val="00D908D6"/>
    <w:rsid w:val="00D909F6"/>
    <w:rsid w:val="00D91151"/>
    <w:rsid w:val="00DA1B2B"/>
    <w:rsid w:val="00DA5B69"/>
    <w:rsid w:val="00DA7204"/>
    <w:rsid w:val="00DB7031"/>
    <w:rsid w:val="00DB723B"/>
    <w:rsid w:val="00DC4F86"/>
    <w:rsid w:val="00DD4EE1"/>
    <w:rsid w:val="00DD6D56"/>
    <w:rsid w:val="00DF0302"/>
    <w:rsid w:val="00DF1462"/>
    <w:rsid w:val="00DF2216"/>
    <w:rsid w:val="00DF2FA9"/>
    <w:rsid w:val="00DF712A"/>
    <w:rsid w:val="00E00AF2"/>
    <w:rsid w:val="00E023AF"/>
    <w:rsid w:val="00E03E0A"/>
    <w:rsid w:val="00E123C1"/>
    <w:rsid w:val="00E326F5"/>
    <w:rsid w:val="00E4409A"/>
    <w:rsid w:val="00E44F20"/>
    <w:rsid w:val="00E52872"/>
    <w:rsid w:val="00E52B3A"/>
    <w:rsid w:val="00E5473A"/>
    <w:rsid w:val="00E61DBD"/>
    <w:rsid w:val="00E64D00"/>
    <w:rsid w:val="00E71BEA"/>
    <w:rsid w:val="00E726F2"/>
    <w:rsid w:val="00E7431C"/>
    <w:rsid w:val="00E80DF4"/>
    <w:rsid w:val="00E81B00"/>
    <w:rsid w:val="00E934E3"/>
    <w:rsid w:val="00E9389D"/>
    <w:rsid w:val="00E9630D"/>
    <w:rsid w:val="00E967BF"/>
    <w:rsid w:val="00EB2FD0"/>
    <w:rsid w:val="00EB3ABC"/>
    <w:rsid w:val="00EB4F2E"/>
    <w:rsid w:val="00EC0A07"/>
    <w:rsid w:val="00EC16B8"/>
    <w:rsid w:val="00EC18C0"/>
    <w:rsid w:val="00EC3173"/>
    <w:rsid w:val="00ED2D71"/>
    <w:rsid w:val="00ED444E"/>
    <w:rsid w:val="00ED50FD"/>
    <w:rsid w:val="00EE3056"/>
    <w:rsid w:val="00EE528E"/>
    <w:rsid w:val="00EE5387"/>
    <w:rsid w:val="00EE70B6"/>
    <w:rsid w:val="00EF1C64"/>
    <w:rsid w:val="00EF49BE"/>
    <w:rsid w:val="00F01A87"/>
    <w:rsid w:val="00F11821"/>
    <w:rsid w:val="00F1368B"/>
    <w:rsid w:val="00F22ACA"/>
    <w:rsid w:val="00F23AB6"/>
    <w:rsid w:val="00F3309B"/>
    <w:rsid w:val="00F3616C"/>
    <w:rsid w:val="00F45347"/>
    <w:rsid w:val="00F6069E"/>
    <w:rsid w:val="00F6207C"/>
    <w:rsid w:val="00F62D64"/>
    <w:rsid w:val="00F6318D"/>
    <w:rsid w:val="00F67F6D"/>
    <w:rsid w:val="00F72FE7"/>
    <w:rsid w:val="00F7320C"/>
    <w:rsid w:val="00F732C8"/>
    <w:rsid w:val="00F80BB9"/>
    <w:rsid w:val="00F810E4"/>
    <w:rsid w:val="00F8576B"/>
    <w:rsid w:val="00F85A27"/>
    <w:rsid w:val="00F87401"/>
    <w:rsid w:val="00F87D85"/>
    <w:rsid w:val="00F952EE"/>
    <w:rsid w:val="00F97493"/>
    <w:rsid w:val="00F97644"/>
    <w:rsid w:val="00F978B2"/>
    <w:rsid w:val="00FA1FFE"/>
    <w:rsid w:val="00FA7979"/>
    <w:rsid w:val="00FB27A7"/>
    <w:rsid w:val="00FC2F84"/>
    <w:rsid w:val="00FC4D18"/>
    <w:rsid w:val="00FC69F0"/>
    <w:rsid w:val="00FD3CF5"/>
    <w:rsid w:val="00FD42AE"/>
    <w:rsid w:val="00FD516D"/>
    <w:rsid w:val="00FE1699"/>
    <w:rsid w:val="00FE7F3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5B41017-DE38-434E-81B9-452C4A51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0126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17119</CharactersWithSpaces>
  <SharedDoc>false</SharedDoc>
  <HLinks>
    <vt:vector size="174" baseType="variant">
      <vt:variant>
        <vt:i4>393283</vt:i4>
      </vt:variant>
      <vt:variant>
        <vt:i4>162</vt:i4>
      </vt:variant>
      <vt:variant>
        <vt:i4>0</vt:i4>
      </vt:variant>
      <vt:variant>
        <vt:i4>5</vt:i4>
      </vt:variant>
      <vt:variant>
        <vt:lpwstr>http://www.nevo.co.il/advertisements/nevo-100.doc</vt:lpwstr>
      </vt:variant>
      <vt:variant>
        <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6094857</vt:i4>
      </vt:variant>
      <vt:variant>
        <vt:i4>144</vt:i4>
      </vt:variant>
      <vt:variant>
        <vt:i4>0</vt:i4>
      </vt:variant>
      <vt:variant>
        <vt:i4>5</vt:i4>
      </vt:variant>
      <vt:variant>
        <vt:lpwstr/>
      </vt:variant>
      <vt:variant>
        <vt:lpwstr>med8</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5373961</vt:i4>
      </vt:variant>
      <vt:variant>
        <vt:i4>126</vt:i4>
      </vt:variant>
      <vt:variant>
        <vt:i4>0</vt:i4>
      </vt:variant>
      <vt:variant>
        <vt:i4>5</vt:i4>
      </vt:variant>
      <vt:variant>
        <vt:lpwstr/>
      </vt:variant>
      <vt:variant>
        <vt:lpwstr>med7</vt:lpwstr>
      </vt:variant>
      <vt:variant>
        <vt:i4>3604523</vt:i4>
      </vt:variant>
      <vt:variant>
        <vt:i4>120</vt:i4>
      </vt:variant>
      <vt:variant>
        <vt:i4>0</vt:i4>
      </vt:variant>
      <vt:variant>
        <vt:i4>5</vt:i4>
      </vt:variant>
      <vt:variant>
        <vt:lpwstr/>
      </vt:variant>
      <vt:variant>
        <vt:lpwstr>Seif14</vt:lpwstr>
      </vt:variant>
      <vt:variant>
        <vt:i4>5439497</vt:i4>
      </vt:variant>
      <vt:variant>
        <vt:i4>114</vt:i4>
      </vt:variant>
      <vt:variant>
        <vt:i4>0</vt:i4>
      </vt:variant>
      <vt:variant>
        <vt:i4>5</vt:i4>
      </vt:variant>
      <vt:variant>
        <vt:lpwstr/>
      </vt:variant>
      <vt:variant>
        <vt:lpwstr>med6</vt:lpwstr>
      </vt:variant>
      <vt:variant>
        <vt:i4>3145771</vt:i4>
      </vt:variant>
      <vt:variant>
        <vt:i4>108</vt:i4>
      </vt:variant>
      <vt:variant>
        <vt:i4>0</vt:i4>
      </vt:variant>
      <vt:variant>
        <vt:i4>5</vt:i4>
      </vt:variant>
      <vt:variant>
        <vt:lpwstr/>
      </vt:variant>
      <vt:variant>
        <vt:lpwstr>Seif13</vt:lpwstr>
      </vt:variant>
      <vt:variant>
        <vt:i4>5242889</vt:i4>
      </vt:variant>
      <vt:variant>
        <vt:i4>102</vt:i4>
      </vt:variant>
      <vt:variant>
        <vt:i4>0</vt:i4>
      </vt:variant>
      <vt:variant>
        <vt:i4>5</vt:i4>
      </vt:variant>
      <vt:variant>
        <vt:lpwstr/>
      </vt:variant>
      <vt:variant>
        <vt:lpwstr>med5</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5308425</vt:i4>
      </vt:variant>
      <vt:variant>
        <vt:i4>84</vt:i4>
      </vt:variant>
      <vt:variant>
        <vt:i4>0</vt:i4>
      </vt:variant>
      <vt:variant>
        <vt:i4>5</vt:i4>
      </vt:variant>
      <vt:variant>
        <vt:lpwstr/>
      </vt:variant>
      <vt:variant>
        <vt:lpwstr>med4</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5636105</vt:i4>
      </vt:variant>
      <vt:variant>
        <vt:i4>36</vt:i4>
      </vt:variant>
      <vt:variant>
        <vt:i4>0</vt:i4>
      </vt:variant>
      <vt:variant>
        <vt:i4>5</vt:i4>
      </vt:variant>
      <vt:variant>
        <vt:lpwstr/>
      </vt:variant>
      <vt:variant>
        <vt:lpwstr>med3</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7471104</vt:i4>
      </vt:variant>
      <vt:variant>
        <vt:i4>0</vt:i4>
      </vt:variant>
      <vt:variant>
        <vt:i4>0</vt:i4>
      </vt:variant>
      <vt:variant>
        <vt:i4>5</vt:i4>
      </vt:variant>
      <vt:variant>
        <vt:lpwstr>http://www.nevo.co.il/Law_word/law06/TAK-8038.pdf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השקעות משותפות בנאמנות (קרנות מחקות), תשע"ח-2018</vt:lpwstr>
  </property>
  <property fmtid="{D5CDD505-2E9C-101B-9397-08002B2CF9AE}" pid="4" name="LAWNUMBER">
    <vt:lpwstr>0900</vt:lpwstr>
  </property>
  <property fmtid="{D5CDD505-2E9C-101B-9397-08002B2CF9AE}" pid="5" name="TYPE">
    <vt:lpwstr>01</vt:lpwstr>
  </property>
  <property fmtid="{D5CDD505-2E9C-101B-9397-08002B2CF9AE}" pid="6" name="CHNAME">
    <vt:lpwstr>השקעות משותפות בנאמנות</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תאגידים וניירות ערך</vt:lpwstr>
  </property>
  <property fmtid="{D5CDD505-2E9C-101B-9397-08002B2CF9AE}" pid="23" name="NOSE31">
    <vt:lpwstr>השק' משותפות בנאמנות</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כספים</vt:lpwstr>
  </property>
  <property fmtid="{D5CDD505-2E9C-101B-9397-08002B2CF9AE}" pid="27" name="NOSE32">
    <vt:lpwstr>השקעות </vt:lpwstr>
  </property>
  <property fmtid="{D5CDD505-2E9C-101B-9397-08002B2CF9AE}" pid="28" name="NOSE42">
    <vt:lpwstr>השק' משותפות בנאמנות</vt:lpwstr>
  </property>
  <property fmtid="{D5CDD505-2E9C-101B-9397-08002B2CF9AE}" pid="29" name="NOSE13">
    <vt:lpwstr>משפט פרטי וכלכלה</vt:lpwstr>
  </property>
  <property fmtid="{D5CDD505-2E9C-101B-9397-08002B2CF9AE}" pid="30" name="NOSE23">
    <vt:lpwstr>חיובים</vt:lpwstr>
  </property>
  <property fmtid="{D5CDD505-2E9C-101B-9397-08002B2CF9AE}" pid="31" name="NOSE33">
    <vt:lpwstr>נאמנות</vt:lpwstr>
  </property>
  <property fmtid="{D5CDD505-2E9C-101B-9397-08002B2CF9AE}" pid="32" name="NOSE43">
    <vt:lpwstr>השק' משותפות בנאמנות</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LINKK3">
    <vt:lpwstr/>
  </property>
  <property fmtid="{D5CDD505-2E9C-101B-9397-08002B2CF9AE}" pid="63" name="MEKOR_NAME1">
    <vt:lpwstr>חוק השקעות משותפות בנאמנות</vt:lpwstr>
  </property>
  <property fmtid="{D5CDD505-2E9C-101B-9397-08002B2CF9AE}" pid="64" name="MEKOR_SAIF1">
    <vt:lpwstr>2XאX;50XבX;50XגX;54אX</vt:lpwstr>
  </property>
  <property fmtid="{D5CDD505-2E9C-101B-9397-08002B2CF9AE}" pid="65" name="MEKOR_NAME2">
    <vt:lpwstr>חוק השקעות משותפות בנאמנות</vt:lpwstr>
  </property>
  <property fmtid="{D5CDD505-2E9C-101B-9397-08002B2CF9AE}" pid="66" name="MEKOR_SAIF2">
    <vt:lpwstr>56Xא1X;56XבX;56XזX;57X</vt:lpwstr>
  </property>
  <property fmtid="{D5CDD505-2E9C-101B-9397-08002B2CF9AE}" pid="67" name="MEKOR_NAME3">
    <vt:lpwstr>חוק השקעות משותפות בנאמנות</vt:lpwstr>
  </property>
  <property fmtid="{D5CDD505-2E9C-101B-9397-08002B2CF9AE}" pid="68" name="MEKOR_SAIF3">
    <vt:lpwstr>61XבX;73XבX1X;73Xג1X;77X</vt:lpwstr>
  </property>
  <property fmtid="{D5CDD505-2E9C-101B-9397-08002B2CF9AE}" pid="69" name="MEKOR_NAME4">
    <vt:lpwstr>חוק השקעות משותפות בנאמנות</vt:lpwstr>
  </property>
  <property fmtid="{D5CDD505-2E9C-101B-9397-08002B2CF9AE}" pid="70" name="MEKOR_SAIF4">
    <vt:lpwstr>80Xא1X;82XאX7X;107אX;131X</vt:lpwstr>
  </property>
  <property fmtid="{D5CDD505-2E9C-101B-9397-08002B2CF9AE}" pid="71" name="LINKK1">
    <vt:lpwstr>http://www.nevo.co.il/Law_word/law06/TAK-8038.pdf;‎רשומות - תקנות כלליות#פורסמו ק"ת תשע"ח ‏מס' 8038 #מיום 12.7.2018 עמ' 2394‏</vt:lpwstr>
  </property>
</Properties>
</file>