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367F" w14:textId="77777777" w:rsidR="001C1C24" w:rsidRDefault="001C1C24">
      <w:pPr>
        <w:pStyle w:val="big-header"/>
        <w:ind w:left="0" w:right="1134"/>
        <w:rPr>
          <w:rFonts w:cs="FrankRuehl" w:hint="cs"/>
          <w:sz w:val="32"/>
          <w:rtl/>
        </w:rPr>
      </w:pPr>
      <w:r>
        <w:rPr>
          <w:rFonts w:cs="FrankRuehl"/>
          <w:sz w:val="32"/>
          <w:rtl/>
        </w:rPr>
        <w:t xml:space="preserve">תקנות התגמולים לנפגעי פעולות איבה (מועדים להגשת תובענות), </w:t>
      </w:r>
      <w:r>
        <w:rPr>
          <w:rFonts w:cs="FrankRuehl" w:hint="cs"/>
          <w:sz w:val="32"/>
          <w:rtl/>
        </w:rPr>
        <w:br/>
      </w:r>
      <w:r>
        <w:rPr>
          <w:rFonts w:cs="FrankRuehl"/>
          <w:sz w:val="32"/>
          <w:rtl/>
        </w:rPr>
        <w:t>תשנ"ו</w:t>
      </w:r>
      <w:r>
        <w:rPr>
          <w:rFonts w:cs="FrankRuehl" w:hint="cs"/>
          <w:sz w:val="32"/>
          <w:rtl/>
        </w:rPr>
        <w:t>-</w:t>
      </w:r>
      <w:r>
        <w:rPr>
          <w:rFonts w:cs="FrankRuehl"/>
          <w:sz w:val="32"/>
          <w:rtl/>
        </w:rPr>
        <w:t>1996</w:t>
      </w:r>
    </w:p>
    <w:p w14:paraId="257B915C" w14:textId="77777777" w:rsidR="00BB5886" w:rsidRPr="00BB5886" w:rsidRDefault="00BB5886" w:rsidP="00BB5886">
      <w:pPr>
        <w:spacing w:line="320" w:lineRule="auto"/>
        <w:jc w:val="left"/>
        <w:rPr>
          <w:rFonts w:cs="FrankRuehl"/>
          <w:szCs w:val="26"/>
          <w:rtl/>
        </w:rPr>
      </w:pPr>
    </w:p>
    <w:p w14:paraId="10844D7E" w14:textId="77777777" w:rsidR="00BB5886" w:rsidRDefault="00BB5886" w:rsidP="00BB5886">
      <w:pPr>
        <w:spacing w:line="320" w:lineRule="auto"/>
        <w:jc w:val="left"/>
        <w:rPr>
          <w:rFonts w:cs="Miriam"/>
          <w:szCs w:val="22"/>
          <w:rtl/>
        </w:rPr>
      </w:pPr>
      <w:r w:rsidRPr="00BB5886">
        <w:rPr>
          <w:rFonts w:cs="Miriam"/>
          <w:szCs w:val="22"/>
          <w:rtl/>
        </w:rPr>
        <w:t>בטחון</w:t>
      </w:r>
      <w:r w:rsidRPr="00BB5886">
        <w:rPr>
          <w:rFonts w:cs="FrankRuehl"/>
          <w:szCs w:val="26"/>
          <w:rtl/>
        </w:rPr>
        <w:t xml:space="preserve"> – נפגעי פעולות איבה</w:t>
      </w:r>
    </w:p>
    <w:p w14:paraId="3E9D90CC" w14:textId="77777777" w:rsidR="00BB5886" w:rsidRPr="00BB5886" w:rsidRDefault="00BB5886" w:rsidP="00BB5886">
      <w:pPr>
        <w:spacing w:line="320" w:lineRule="auto"/>
        <w:jc w:val="left"/>
        <w:rPr>
          <w:rFonts w:cs="Miriam" w:hint="cs"/>
          <w:szCs w:val="22"/>
          <w:rtl/>
        </w:rPr>
      </w:pPr>
      <w:r w:rsidRPr="00BB5886">
        <w:rPr>
          <w:rFonts w:cs="Miriam"/>
          <w:szCs w:val="22"/>
          <w:rtl/>
        </w:rPr>
        <w:t>ביטוח</w:t>
      </w:r>
      <w:r w:rsidRPr="00BB5886">
        <w:rPr>
          <w:rFonts w:cs="FrankRuehl"/>
          <w:szCs w:val="26"/>
          <w:rtl/>
        </w:rPr>
        <w:t xml:space="preserve"> – ביטוח לאומי – תגמולים – נפגעי פעולות איבה</w:t>
      </w:r>
    </w:p>
    <w:p w14:paraId="3DC8BA86" w14:textId="77777777" w:rsidR="001C1C24" w:rsidRDefault="001C1C2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C1C24" w14:paraId="0CCB71C0" w14:textId="77777777">
        <w:tblPrEx>
          <w:tblCellMar>
            <w:top w:w="0" w:type="dxa"/>
            <w:bottom w:w="0" w:type="dxa"/>
          </w:tblCellMar>
        </w:tblPrEx>
        <w:tc>
          <w:tcPr>
            <w:tcW w:w="850" w:type="dxa"/>
          </w:tcPr>
          <w:p w14:paraId="58A88D68" w14:textId="77777777" w:rsidR="001C1C24" w:rsidRDefault="001C1C2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545A9BE" w14:textId="77777777" w:rsidR="001C1C24" w:rsidRDefault="001C1C24">
            <w:pPr>
              <w:spacing w:line="240" w:lineRule="auto"/>
              <w:rPr>
                <w:sz w:val="24"/>
              </w:rPr>
            </w:pPr>
            <w:hyperlink w:anchor="Seif0" w:tooltip="קביעת מועדים להגשת תובענות" w:history="1">
              <w:r>
                <w:rPr>
                  <w:rStyle w:val="Hyperlink"/>
                </w:rPr>
                <w:t>Go</w:t>
              </w:r>
            </w:hyperlink>
          </w:p>
        </w:tc>
        <w:tc>
          <w:tcPr>
            <w:tcW w:w="5669" w:type="dxa"/>
          </w:tcPr>
          <w:p w14:paraId="6C8DCB7E" w14:textId="77777777" w:rsidR="001C1C24" w:rsidRDefault="001C1C24">
            <w:pPr>
              <w:spacing w:line="240" w:lineRule="auto"/>
              <w:rPr>
                <w:sz w:val="24"/>
                <w:rtl/>
              </w:rPr>
            </w:pPr>
            <w:r>
              <w:rPr>
                <w:sz w:val="24"/>
                <w:rtl/>
              </w:rPr>
              <w:t>קביעת מועדים להגשת תובענות</w:t>
            </w:r>
          </w:p>
        </w:tc>
        <w:tc>
          <w:tcPr>
            <w:tcW w:w="1247" w:type="dxa"/>
          </w:tcPr>
          <w:p w14:paraId="16C48914" w14:textId="77777777" w:rsidR="001C1C24" w:rsidRDefault="001C1C24">
            <w:pPr>
              <w:spacing w:line="240" w:lineRule="auto"/>
              <w:rPr>
                <w:sz w:val="24"/>
              </w:rPr>
            </w:pPr>
            <w:r>
              <w:rPr>
                <w:sz w:val="24"/>
                <w:rtl/>
              </w:rPr>
              <w:t xml:space="preserve">סעיף 1 </w:t>
            </w:r>
          </w:p>
        </w:tc>
      </w:tr>
      <w:tr w:rsidR="001C1C24" w14:paraId="111ED948" w14:textId="77777777">
        <w:tblPrEx>
          <w:tblCellMar>
            <w:top w:w="0" w:type="dxa"/>
            <w:bottom w:w="0" w:type="dxa"/>
          </w:tblCellMar>
        </w:tblPrEx>
        <w:tc>
          <w:tcPr>
            <w:tcW w:w="850" w:type="dxa"/>
          </w:tcPr>
          <w:p w14:paraId="73D7900A" w14:textId="77777777" w:rsidR="001C1C24" w:rsidRDefault="001C1C2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BDBFCD" w14:textId="77777777" w:rsidR="001C1C24" w:rsidRDefault="001C1C24">
            <w:pPr>
              <w:spacing w:line="240" w:lineRule="auto"/>
              <w:rPr>
                <w:sz w:val="24"/>
              </w:rPr>
            </w:pPr>
            <w:hyperlink w:anchor="Seif1" w:tooltip="תחילה" w:history="1">
              <w:r>
                <w:rPr>
                  <w:rStyle w:val="Hyperlink"/>
                </w:rPr>
                <w:t>Go</w:t>
              </w:r>
            </w:hyperlink>
          </w:p>
        </w:tc>
        <w:tc>
          <w:tcPr>
            <w:tcW w:w="5669" w:type="dxa"/>
          </w:tcPr>
          <w:p w14:paraId="1D73F22B" w14:textId="77777777" w:rsidR="001C1C24" w:rsidRDefault="001C1C24">
            <w:pPr>
              <w:spacing w:line="240" w:lineRule="auto"/>
              <w:rPr>
                <w:sz w:val="24"/>
                <w:rtl/>
              </w:rPr>
            </w:pPr>
            <w:r>
              <w:rPr>
                <w:sz w:val="24"/>
                <w:rtl/>
              </w:rPr>
              <w:t>תחילה</w:t>
            </w:r>
          </w:p>
        </w:tc>
        <w:tc>
          <w:tcPr>
            <w:tcW w:w="1247" w:type="dxa"/>
          </w:tcPr>
          <w:p w14:paraId="041E152C" w14:textId="77777777" w:rsidR="001C1C24" w:rsidRDefault="001C1C24">
            <w:pPr>
              <w:spacing w:line="240" w:lineRule="auto"/>
              <w:rPr>
                <w:sz w:val="24"/>
              </w:rPr>
            </w:pPr>
            <w:r>
              <w:rPr>
                <w:sz w:val="24"/>
                <w:rtl/>
              </w:rPr>
              <w:t xml:space="preserve">סעיף 2 </w:t>
            </w:r>
          </w:p>
        </w:tc>
      </w:tr>
    </w:tbl>
    <w:p w14:paraId="67825DA5" w14:textId="77777777" w:rsidR="001C1C24" w:rsidRDefault="001C1C24">
      <w:pPr>
        <w:pStyle w:val="big-header"/>
        <w:ind w:left="0" w:right="1134"/>
        <w:rPr>
          <w:rFonts w:cs="FrankRuehl"/>
          <w:sz w:val="32"/>
          <w:rtl/>
        </w:rPr>
      </w:pPr>
    </w:p>
    <w:p w14:paraId="0F4F6F84" w14:textId="77777777" w:rsidR="001C1C24" w:rsidRPr="00BB5886" w:rsidRDefault="001C1C24" w:rsidP="00BB588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 xml:space="preserve">נות התגמולים לנפגעי פעולות איבה (מועדים להגשת תובענות), </w:t>
      </w:r>
      <w:r>
        <w:rPr>
          <w:rFonts w:cs="FrankRuehl"/>
          <w:sz w:val="32"/>
          <w:rtl/>
        </w:rPr>
        <w:br/>
      </w:r>
      <w:r>
        <w:rPr>
          <w:rFonts w:cs="FrankRuehl" w:hint="cs"/>
          <w:sz w:val="32"/>
          <w:rtl/>
        </w:rPr>
        <w:t>תשנ"ו-</w:t>
      </w:r>
      <w:r>
        <w:rPr>
          <w:rFonts w:cs="FrankRuehl"/>
          <w:sz w:val="32"/>
          <w:rtl/>
        </w:rPr>
        <w:t>1996</w:t>
      </w:r>
      <w:r>
        <w:rPr>
          <w:rStyle w:val="default"/>
          <w:rtl/>
        </w:rPr>
        <w:footnoteReference w:customMarkFollows="1" w:id="1"/>
        <w:t>*</w:t>
      </w:r>
    </w:p>
    <w:p w14:paraId="7575D5FE" w14:textId="77777777" w:rsidR="001C1C24" w:rsidRDefault="001C1C2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13א לחוק התגמולים לנפגעי פעולות איבה, תש"ל-</w:t>
      </w:r>
      <w:r>
        <w:rPr>
          <w:rStyle w:val="default"/>
          <w:rFonts w:cs="FrankRuehl"/>
          <w:rtl/>
        </w:rPr>
        <w:t>1970 (</w:t>
      </w:r>
      <w:r>
        <w:rPr>
          <w:rStyle w:val="default"/>
          <w:rFonts w:cs="FrankRuehl" w:hint="cs"/>
          <w:rtl/>
        </w:rPr>
        <w:t>להלן -</w:t>
      </w:r>
      <w:r>
        <w:rPr>
          <w:rStyle w:val="default"/>
          <w:rFonts w:cs="FrankRuehl"/>
          <w:rtl/>
        </w:rPr>
        <w:t xml:space="preserve"> </w:t>
      </w:r>
      <w:r>
        <w:rPr>
          <w:rStyle w:val="default"/>
          <w:rFonts w:cs="FrankRuehl" w:hint="cs"/>
          <w:rtl/>
        </w:rPr>
        <w:t>החוק), ובהתייעצות עם שרת העבודה</w:t>
      </w:r>
      <w:r>
        <w:rPr>
          <w:rFonts w:cs="FrankRuehl"/>
          <w:sz w:val="26"/>
          <w:rtl/>
        </w:rPr>
        <w:t> </w:t>
      </w:r>
      <w:r>
        <w:rPr>
          <w:rStyle w:val="default"/>
          <w:rFonts w:cs="FrankRuehl"/>
          <w:rtl/>
        </w:rPr>
        <w:t xml:space="preserve"> ו</w:t>
      </w:r>
      <w:r>
        <w:rPr>
          <w:rStyle w:val="default"/>
          <w:rFonts w:cs="FrankRuehl" w:hint="cs"/>
          <w:rtl/>
        </w:rPr>
        <w:t>הרוו</w:t>
      </w:r>
      <w:r>
        <w:rPr>
          <w:rStyle w:val="default"/>
          <w:rFonts w:cs="FrankRuehl"/>
          <w:rtl/>
        </w:rPr>
        <w:t>ח</w:t>
      </w:r>
      <w:r>
        <w:rPr>
          <w:rStyle w:val="default"/>
          <w:rFonts w:cs="FrankRuehl" w:hint="cs"/>
          <w:rtl/>
        </w:rPr>
        <w:t>ה, אני מתקין תקנות אלה:</w:t>
      </w:r>
    </w:p>
    <w:p w14:paraId="449F7692" w14:textId="77777777" w:rsidR="001C1C24" w:rsidRDefault="001C1C24">
      <w:pPr>
        <w:pStyle w:val="P00"/>
        <w:spacing w:before="72"/>
        <w:ind w:left="0" w:right="1134"/>
        <w:rPr>
          <w:rStyle w:val="default"/>
          <w:rFonts w:cs="FrankRuehl"/>
          <w:rtl/>
        </w:rPr>
      </w:pPr>
      <w:bookmarkStart w:id="0" w:name="Seif0"/>
      <w:bookmarkEnd w:id="0"/>
      <w:r>
        <w:rPr>
          <w:lang w:val="he-IL"/>
        </w:rPr>
        <w:pict w14:anchorId="054FEC24">
          <v:rect id="_x0000_s1026" style="position:absolute;left:0;text-align:left;margin-left:464.5pt;margin-top:8.05pt;width:75.05pt;height:19.1pt;z-index:251657216" o:allowincell="f" filled="f" stroked="f" strokecolor="lime" strokeweight=".25pt">
            <v:textbox inset="0,0,0,0">
              <w:txbxContent>
                <w:p w14:paraId="380F2150" w14:textId="77777777" w:rsidR="001C1C24" w:rsidRDefault="001C1C24">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מועדים להגשת תובענות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ובענה לבית דין אזורי לעבודה, כאמור בסעיף 13 לחוק, המוגשת נגד המוסד, תוגש, לכל המוקדם, בתום שלושים ימים מהיום שבו הוגשה התביעה למוסד עצמו, זולת אם נתן המוסד החלטה בתביעה לפני תום המועד האמור.</w:t>
      </w:r>
    </w:p>
    <w:p w14:paraId="34949E46" w14:textId="77777777" w:rsidR="001C1C24" w:rsidRDefault="001C1C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המוסד בתביעה ונמסרה לתובע הודעה על כך, תוגש התוב</w:t>
      </w:r>
      <w:r>
        <w:rPr>
          <w:rStyle w:val="default"/>
          <w:rFonts w:cs="FrankRuehl"/>
          <w:rtl/>
        </w:rPr>
        <w:t>ענ</w:t>
      </w:r>
      <w:r>
        <w:rPr>
          <w:rStyle w:val="default"/>
          <w:rFonts w:cs="FrankRuehl" w:hint="cs"/>
          <w:rtl/>
        </w:rPr>
        <w:t>ה לבית הדין לעבודה תוך ששה חודשים מיום מסירת ההודעה לתובע או מיום תחילתן של תקנות אלה, לפי המאוחר.</w:t>
      </w:r>
    </w:p>
    <w:p w14:paraId="4488B819" w14:textId="77777777" w:rsidR="001C1C24" w:rsidRDefault="001C1C24">
      <w:pPr>
        <w:pStyle w:val="P00"/>
        <w:spacing w:before="72"/>
        <w:ind w:left="0" w:right="1134"/>
        <w:rPr>
          <w:rStyle w:val="default"/>
          <w:rFonts w:cs="FrankRuehl"/>
          <w:rtl/>
        </w:rPr>
      </w:pPr>
      <w:bookmarkStart w:id="1" w:name="Seif1"/>
      <w:bookmarkEnd w:id="1"/>
      <w:r>
        <w:rPr>
          <w:lang w:val="he-IL"/>
        </w:rPr>
        <w:pict w14:anchorId="6622DD78">
          <v:rect id="_x0000_s1027" style="position:absolute;left:0;text-align:left;margin-left:464.5pt;margin-top:8.05pt;width:75.05pt;height:8pt;z-index:251658240" o:allowincell="f" filled="f" stroked="f" strokecolor="lime" strokeweight=".25pt">
            <v:textbox inset="0,0,0,0">
              <w:txbxContent>
                <w:p w14:paraId="72A1464B" w14:textId="77777777" w:rsidR="001C1C24" w:rsidRDefault="001C1C2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w:t>
      </w:r>
      <w:r>
        <w:rPr>
          <w:rStyle w:val="big-number"/>
          <w:rFonts w:cs="Miriam"/>
          <w:rtl/>
        </w:rPr>
        <w:tab/>
      </w:r>
      <w:r>
        <w:rPr>
          <w:rStyle w:val="default"/>
          <w:rFonts w:cs="FrankRuehl"/>
          <w:rtl/>
        </w:rPr>
        <w:t>תח</w:t>
      </w:r>
      <w:r>
        <w:rPr>
          <w:rStyle w:val="default"/>
          <w:rFonts w:cs="FrankRuehl" w:hint="cs"/>
          <w:rtl/>
        </w:rPr>
        <w:t>ילתן של תקנות אלה שלושים ימים מיום פרסומן.</w:t>
      </w:r>
    </w:p>
    <w:p w14:paraId="4C0B7AA9" w14:textId="77777777" w:rsidR="001C1C24" w:rsidRDefault="001C1C24">
      <w:pPr>
        <w:pStyle w:val="P00"/>
        <w:spacing w:before="72"/>
        <w:ind w:left="0" w:right="1134"/>
        <w:rPr>
          <w:rStyle w:val="default"/>
          <w:rFonts w:cs="FrankRuehl"/>
          <w:rtl/>
        </w:rPr>
      </w:pPr>
    </w:p>
    <w:p w14:paraId="6F6D8E97" w14:textId="77777777" w:rsidR="001C1C24" w:rsidRDefault="001C1C24">
      <w:pPr>
        <w:pStyle w:val="P00"/>
        <w:spacing w:before="72"/>
        <w:ind w:left="0" w:right="1134"/>
        <w:rPr>
          <w:rStyle w:val="default"/>
          <w:rFonts w:cs="FrankRuehl"/>
          <w:rtl/>
        </w:rPr>
      </w:pPr>
      <w:r>
        <w:rPr>
          <w:rStyle w:val="default"/>
          <w:rFonts w:cs="FrankRuehl" w:hint="cs"/>
          <w:rtl/>
        </w:rPr>
        <w:t>ח</w:t>
      </w:r>
      <w:r>
        <w:rPr>
          <w:rStyle w:val="default"/>
          <w:rFonts w:cs="FrankRuehl"/>
          <w:rtl/>
        </w:rPr>
        <w:t xml:space="preserve">' </w:t>
      </w:r>
      <w:r>
        <w:rPr>
          <w:rStyle w:val="default"/>
          <w:rFonts w:cs="FrankRuehl" w:hint="cs"/>
          <w:rtl/>
        </w:rPr>
        <w:t>בסיון תשנ"ו (26 במאי 1996)</w:t>
      </w:r>
      <w:r>
        <w:rPr>
          <w:rStyle w:val="default"/>
          <w:rFonts w:cs="FrankRuehl"/>
          <w:rtl/>
        </w:rPr>
        <w:tab/>
        <w:t xml:space="preserve">                             </w:t>
      </w:r>
      <w:r>
        <w:rPr>
          <w:rStyle w:val="default"/>
          <w:rFonts w:cs="FrankRuehl" w:hint="cs"/>
          <w:rtl/>
        </w:rPr>
        <w:t>דוד ליבאי</w:t>
      </w:r>
    </w:p>
    <w:p w14:paraId="590437F5" w14:textId="77777777" w:rsidR="001C1C24" w:rsidRDefault="001C1C24">
      <w:pPr>
        <w:pStyle w:val="sig-1"/>
        <w:widowControl/>
        <w:ind w:left="0" w:right="1134"/>
        <w:rPr>
          <w:rStyle w:val="default"/>
          <w:rFonts w:cs="FrankRuehl"/>
          <w:sz w:val="22"/>
          <w:szCs w:val="22"/>
          <w:rtl/>
        </w:rPr>
      </w:pPr>
      <w:r>
        <w:rPr>
          <w:rFonts w:cs="FrankRuehl"/>
          <w:sz w:val="22"/>
          <w:rtl/>
        </w:rPr>
        <w:tab/>
      </w:r>
      <w:r>
        <w:rPr>
          <w:rFonts w:cs="FrankRuehl"/>
          <w:sz w:val="22"/>
          <w:rtl/>
        </w:rPr>
        <w:tab/>
      </w:r>
      <w:r>
        <w:rPr>
          <w:rFonts w:cs="FrankRuehl"/>
          <w:sz w:val="22"/>
          <w:rtl/>
        </w:rPr>
        <w:tab/>
      </w:r>
      <w:r>
        <w:rPr>
          <w:rStyle w:val="default"/>
          <w:rFonts w:cs="FrankRuehl"/>
          <w:sz w:val="22"/>
          <w:szCs w:val="22"/>
          <w:rtl/>
        </w:rPr>
        <w:t>שר</w:t>
      </w:r>
      <w:r>
        <w:rPr>
          <w:rStyle w:val="default"/>
          <w:rFonts w:cs="FrankRuehl" w:hint="cs"/>
          <w:sz w:val="22"/>
          <w:szCs w:val="22"/>
          <w:rtl/>
        </w:rPr>
        <w:t xml:space="preserve"> המשפטים</w:t>
      </w:r>
    </w:p>
    <w:p w14:paraId="11E38AA6" w14:textId="77777777" w:rsidR="001C1C24" w:rsidRDefault="001C1C24">
      <w:pPr>
        <w:pStyle w:val="P00"/>
        <w:spacing w:before="72"/>
        <w:ind w:left="0" w:right="1134"/>
        <w:rPr>
          <w:rStyle w:val="default"/>
          <w:rFonts w:cs="FrankRuehl"/>
          <w:rtl/>
        </w:rPr>
      </w:pPr>
    </w:p>
    <w:p w14:paraId="614AB135" w14:textId="77777777" w:rsidR="001C1C24" w:rsidRDefault="001C1C24">
      <w:pPr>
        <w:pStyle w:val="P00"/>
        <w:spacing w:before="72"/>
        <w:ind w:left="0" w:right="1134"/>
        <w:rPr>
          <w:rStyle w:val="default"/>
          <w:rFonts w:cs="FrankRuehl"/>
          <w:rtl/>
        </w:rPr>
      </w:pPr>
    </w:p>
    <w:p w14:paraId="097D3338" w14:textId="77777777" w:rsidR="001C1C24" w:rsidRDefault="001C1C24">
      <w:pPr>
        <w:pStyle w:val="P00"/>
        <w:spacing w:before="72"/>
        <w:ind w:left="0" w:right="1134"/>
        <w:rPr>
          <w:rStyle w:val="default"/>
          <w:rFonts w:cs="FrankRuehl"/>
          <w:rtl/>
        </w:rPr>
      </w:pPr>
      <w:bookmarkStart w:id="2" w:name="LawPartEnd"/>
    </w:p>
    <w:bookmarkEnd w:id="2"/>
    <w:p w14:paraId="2322B394" w14:textId="77777777" w:rsidR="001C1C24" w:rsidRDefault="001C1C24">
      <w:pPr>
        <w:pStyle w:val="P00"/>
        <w:spacing w:before="72"/>
        <w:ind w:left="0" w:right="1134"/>
        <w:rPr>
          <w:rStyle w:val="default"/>
          <w:rFonts w:cs="FrankRuehl"/>
          <w:rtl/>
        </w:rPr>
      </w:pPr>
    </w:p>
    <w:sectPr w:rsidR="001C1C2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1E7C" w14:textId="77777777" w:rsidR="00207749" w:rsidRDefault="00207749">
      <w:r>
        <w:separator/>
      </w:r>
    </w:p>
  </w:endnote>
  <w:endnote w:type="continuationSeparator" w:id="0">
    <w:p w14:paraId="4039A4AF" w14:textId="77777777" w:rsidR="00207749" w:rsidRDefault="0020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AF676" w14:textId="77777777" w:rsidR="001C1C24" w:rsidRDefault="001C1C2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1DF53E" w14:textId="77777777" w:rsidR="001C1C24" w:rsidRDefault="001C1C2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56266A" w14:textId="77777777" w:rsidR="001C1C24" w:rsidRDefault="001C1C2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565D" w14:textId="77777777" w:rsidR="001C1C24" w:rsidRDefault="001C1C2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0997">
      <w:rPr>
        <w:rFonts w:hAnsi="FrankRuehl" w:cs="FrankRuehl"/>
        <w:noProof/>
        <w:sz w:val="24"/>
        <w:szCs w:val="24"/>
        <w:rtl/>
      </w:rPr>
      <w:t>2</w:t>
    </w:r>
    <w:r>
      <w:rPr>
        <w:rFonts w:hAnsi="FrankRuehl" w:cs="FrankRuehl"/>
        <w:sz w:val="24"/>
        <w:szCs w:val="24"/>
        <w:rtl/>
      </w:rPr>
      <w:fldChar w:fldCharType="end"/>
    </w:r>
  </w:p>
  <w:p w14:paraId="7EE00140" w14:textId="77777777" w:rsidR="001C1C24" w:rsidRDefault="001C1C2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9D01C9" w14:textId="77777777" w:rsidR="001C1C24" w:rsidRDefault="001C1C2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72DDE" w14:textId="77777777" w:rsidR="00207749" w:rsidRDefault="00207749">
      <w:pPr>
        <w:spacing w:before="60" w:line="240" w:lineRule="auto"/>
        <w:ind w:right="1134"/>
      </w:pPr>
      <w:r>
        <w:separator/>
      </w:r>
    </w:p>
  </w:footnote>
  <w:footnote w:type="continuationSeparator" w:id="0">
    <w:p w14:paraId="6C6D9A80" w14:textId="77777777" w:rsidR="00207749" w:rsidRDefault="00207749">
      <w:r>
        <w:continuationSeparator/>
      </w:r>
    </w:p>
  </w:footnote>
  <w:footnote w:id="1">
    <w:p w14:paraId="572DAFB8" w14:textId="77777777" w:rsidR="001C1C24" w:rsidRDefault="001C1C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תשנ"ו מס' 5759</w:t>
        </w:r>
      </w:hyperlink>
      <w:r>
        <w:rPr>
          <w:rFonts w:cs="FrankRuehl" w:hint="cs"/>
          <w:rtl/>
        </w:rPr>
        <w:t xml:space="preserve"> מיום 9.6.1996 עמ' 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2953" w14:textId="77777777" w:rsidR="001C1C24" w:rsidRDefault="001C1C2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(מועדים להגשת תובענות), תשנ"ו–1996</w:t>
    </w:r>
  </w:p>
  <w:p w14:paraId="50AA28B2" w14:textId="77777777" w:rsidR="001C1C24" w:rsidRDefault="001C1C2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E822CF" w14:textId="77777777" w:rsidR="001C1C24" w:rsidRDefault="001C1C2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4587" w14:textId="77777777" w:rsidR="001C1C24" w:rsidRDefault="001C1C2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(מועדים להגשת תובענות), תשנ"ו</w:t>
    </w:r>
    <w:r>
      <w:rPr>
        <w:rFonts w:hAnsi="FrankRuehl" w:cs="FrankRuehl" w:hint="cs"/>
        <w:color w:val="000000"/>
        <w:sz w:val="28"/>
        <w:szCs w:val="28"/>
        <w:rtl/>
      </w:rPr>
      <w:t>-</w:t>
    </w:r>
    <w:r>
      <w:rPr>
        <w:rFonts w:hAnsi="FrankRuehl" w:cs="FrankRuehl"/>
        <w:color w:val="000000"/>
        <w:sz w:val="28"/>
        <w:szCs w:val="28"/>
        <w:rtl/>
      </w:rPr>
      <w:t>1996</w:t>
    </w:r>
  </w:p>
  <w:p w14:paraId="76263311" w14:textId="77777777" w:rsidR="001C1C24" w:rsidRDefault="001C1C2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820A17" w14:textId="77777777" w:rsidR="001C1C24" w:rsidRDefault="001C1C2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886"/>
    <w:rsid w:val="00050997"/>
    <w:rsid w:val="001C1C24"/>
    <w:rsid w:val="00207749"/>
    <w:rsid w:val="00536E39"/>
    <w:rsid w:val="00BB5886"/>
    <w:rsid w:val="00F861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3141DF6"/>
  <w15:chartTrackingRefBased/>
  <w15:docId w15:val="{7C8D96DA-047C-458D-8672-A9E5F94F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7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2/229</vt:lpstr>
    </vt:vector>
  </TitlesOfParts>
  <Company/>
  <LinksUpToDate>false</LinksUpToDate>
  <CharactersWithSpaces>1063</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7929862</vt:i4>
      </vt:variant>
      <vt:variant>
        <vt:i4>0</vt:i4>
      </vt:variant>
      <vt:variant>
        <vt:i4>0</vt:i4>
      </vt:variant>
      <vt:variant>
        <vt:i4>5</vt:i4>
      </vt:variant>
      <vt:variant>
        <vt:lpwstr>http://www.nevo.co.il/Law_word/law06/TAK-5759.pdf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2/229</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P229M2</vt:lpwstr>
  </property>
  <property fmtid="{D5CDD505-2E9C-101B-9397-08002B2CF9AE}" pid="3" name="CHNAME">
    <vt:lpwstr>תגמולים לנפגעי פעולות איבה</vt:lpwstr>
  </property>
  <property fmtid="{D5CDD505-2E9C-101B-9397-08002B2CF9AE}" pid="4" name="LAWNAME">
    <vt:lpwstr>תקנות התגמולים לנפגעי פעולות איבה (מועדים להגשת תובענות), תשנ"ו-1996</vt:lpwstr>
  </property>
  <property fmtid="{D5CDD505-2E9C-101B-9397-08002B2CF9AE}" pid="5" name="LAWNUMBER">
    <vt:lpwstr>0018</vt:lpwstr>
  </property>
  <property fmtid="{D5CDD505-2E9C-101B-9397-08002B2CF9AE}" pid="6" name="TYPE">
    <vt:lpwstr>01</vt:lpwstr>
  </property>
  <property fmtid="{D5CDD505-2E9C-101B-9397-08002B2CF9AE}" pid="7" name="NOSE11">
    <vt:lpwstr>בטחון</vt:lpwstr>
  </property>
  <property fmtid="{D5CDD505-2E9C-101B-9397-08002B2CF9AE}" pid="8" name="NOSE21">
    <vt:lpwstr>נפגעי פעולות איבה</vt:lpwstr>
  </property>
  <property fmtid="{D5CDD505-2E9C-101B-9397-08002B2CF9AE}" pid="9" name="NOSE31">
    <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תגמולים</vt:lpwstr>
  </property>
  <property fmtid="{D5CDD505-2E9C-101B-9397-08002B2CF9AE}" pid="14" name="NOSE42">
    <vt:lpwstr>נפגעי פעולות איבה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התגמולים לנפגעי פעולות איבה</vt:lpwstr>
  </property>
  <property fmtid="{D5CDD505-2E9C-101B-9397-08002B2CF9AE}" pid="48" name="MEKOR_SAIF1">
    <vt:lpwstr>13אX</vt:lpwstr>
  </property>
</Properties>
</file>