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DB0B5" w14:textId="77777777" w:rsidR="00433488" w:rsidRDefault="00433488">
      <w:pPr>
        <w:pStyle w:val="big-header"/>
        <w:ind w:left="0" w:right="1134"/>
        <w:rPr>
          <w:rFonts w:cs="FrankRuehl" w:hint="cs"/>
          <w:sz w:val="32"/>
          <w:rtl/>
        </w:rPr>
      </w:pPr>
      <w:r>
        <w:rPr>
          <w:rFonts w:cs="FrankRuehl"/>
          <w:sz w:val="32"/>
          <w:rtl/>
        </w:rPr>
        <w:t>תקנות התגמולים לנפגעי פעולות איבה (פיצוי בעת טיפול רפואי), תש"ל</w:t>
      </w:r>
      <w:r>
        <w:rPr>
          <w:rFonts w:cs="FrankRuehl" w:hint="cs"/>
          <w:sz w:val="32"/>
          <w:rtl/>
        </w:rPr>
        <w:t>-</w:t>
      </w:r>
      <w:r>
        <w:rPr>
          <w:rFonts w:cs="FrankRuehl"/>
          <w:sz w:val="32"/>
          <w:rtl/>
        </w:rPr>
        <w:t>1970</w:t>
      </w:r>
    </w:p>
    <w:p w14:paraId="5820F07C" w14:textId="77777777" w:rsidR="00433488" w:rsidRDefault="00433488">
      <w:pPr>
        <w:pStyle w:val="big-header"/>
        <w:ind w:left="0" w:right="1134"/>
        <w:rPr>
          <w:rFonts w:cs="FrankRuehl" w:hint="cs"/>
          <w:color w:val="008000"/>
          <w:rtl/>
        </w:rPr>
      </w:pPr>
      <w:r>
        <w:rPr>
          <w:rFonts w:cs="FrankRuehl" w:hint="cs"/>
          <w:color w:val="008000"/>
          <w:rtl/>
        </w:rPr>
        <w:t>רבדים בחקיקה</w:t>
      </w:r>
    </w:p>
    <w:p w14:paraId="02B6B1FF" w14:textId="77777777" w:rsidR="00E15011" w:rsidRDefault="00E15011" w:rsidP="00E15011">
      <w:pPr>
        <w:spacing w:line="320" w:lineRule="auto"/>
        <w:jc w:val="left"/>
        <w:rPr>
          <w:rtl/>
        </w:rPr>
      </w:pPr>
    </w:p>
    <w:p w14:paraId="35D73B29" w14:textId="77777777" w:rsidR="00E15011" w:rsidRDefault="00E15011" w:rsidP="00E15011">
      <w:pPr>
        <w:spacing w:line="320" w:lineRule="auto"/>
        <w:jc w:val="left"/>
        <w:rPr>
          <w:rFonts w:cs="Miriam"/>
          <w:szCs w:val="22"/>
          <w:rtl/>
        </w:rPr>
      </w:pPr>
      <w:r w:rsidRPr="00E15011">
        <w:rPr>
          <w:rFonts w:cs="Miriam"/>
          <w:szCs w:val="22"/>
          <w:rtl/>
        </w:rPr>
        <w:t>בטחון</w:t>
      </w:r>
      <w:r w:rsidRPr="00E15011">
        <w:rPr>
          <w:rFonts w:cs="FrankRuehl"/>
          <w:szCs w:val="26"/>
          <w:rtl/>
        </w:rPr>
        <w:t xml:space="preserve"> – נפגעי פעולות איבה</w:t>
      </w:r>
    </w:p>
    <w:p w14:paraId="1D055E3A" w14:textId="77777777" w:rsidR="00E15011" w:rsidRPr="00E15011" w:rsidRDefault="00E15011" w:rsidP="00E15011">
      <w:pPr>
        <w:spacing w:line="320" w:lineRule="auto"/>
        <w:jc w:val="left"/>
        <w:rPr>
          <w:rFonts w:cs="Miriam" w:hint="cs"/>
          <w:szCs w:val="22"/>
          <w:rtl/>
        </w:rPr>
      </w:pPr>
      <w:r w:rsidRPr="00E15011">
        <w:rPr>
          <w:rFonts w:cs="Miriam"/>
          <w:szCs w:val="22"/>
          <w:rtl/>
        </w:rPr>
        <w:t>ביטוח</w:t>
      </w:r>
      <w:r w:rsidRPr="00E15011">
        <w:rPr>
          <w:rFonts w:cs="FrankRuehl"/>
          <w:szCs w:val="26"/>
          <w:rtl/>
        </w:rPr>
        <w:t xml:space="preserve"> – ביטוח לאומי – תגמולים – נפגעי פעולות איבה</w:t>
      </w:r>
    </w:p>
    <w:p w14:paraId="71FCA8BD" w14:textId="77777777" w:rsidR="00433488" w:rsidRDefault="00433488">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433488" w14:paraId="0D56AC1E" w14:textId="77777777">
        <w:tblPrEx>
          <w:tblCellMar>
            <w:top w:w="0" w:type="dxa"/>
            <w:bottom w:w="0" w:type="dxa"/>
          </w:tblCellMar>
        </w:tblPrEx>
        <w:tc>
          <w:tcPr>
            <w:tcW w:w="850" w:type="dxa"/>
          </w:tcPr>
          <w:p w14:paraId="04E25A6B" w14:textId="77777777" w:rsidR="00433488" w:rsidRDefault="00433488">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7AB362CE" w14:textId="77777777" w:rsidR="00433488" w:rsidRDefault="00433488">
            <w:pPr>
              <w:spacing w:line="240" w:lineRule="auto"/>
              <w:rPr>
                <w:sz w:val="24"/>
              </w:rPr>
            </w:pPr>
            <w:hyperlink w:anchor="Seif0" w:tooltip="פרשנות" w:history="1">
              <w:r>
                <w:rPr>
                  <w:rStyle w:val="Hyperlink"/>
                </w:rPr>
                <w:t>Go</w:t>
              </w:r>
            </w:hyperlink>
          </w:p>
        </w:tc>
        <w:tc>
          <w:tcPr>
            <w:tcW w:w="5669" w:type="dxa"/>
          </w:tcPr>
          <w:p w14:paraId="4EE271EB" w14:textId="77777777" w:rsidR="00433488" w:rsidRDefault="00433488">
            <w:pPr>
              <w:spacing w:line="240" w:lineRule="auto"/>
              <w:rPr>
                <w:sz w:val="24"/>
                <w:rtl/>
              </w:rPr>
            </w:pPr>
            <w:r>
              <w:rPr>
                <w:sz w:val="24"/>
                <w:rtl/>
              </w:rPr>
              <w:t>פרשנות</w:t>
            </w:r>
          </w:p>
        </w:tc>
        <w:tc>
          <w:tcPr>
            <w:tcW w:w="1247" w:type="dxa"/>
          </w:tcPr>
          <w:p w14:paraId="60393297" w14:textId="77777777" w:rsidR="00433488" w:rsidRDefault="00433488">
            <w:pPr>
              <w:spacing w:line="240" w:lineRule="auto"/>
              <w:rPr>
                <w:sz w:val="24"/>
              </w:rPr>
            </w:pPr>
            <w:r>
              <w:rPr>
                <w:sz w:val="24"/>
                <w:rtl/>
              </w:rPr>
              <w:t xml:space="preserve">סעיף 1 </w:t>
            </w:r>
          </w:p>
        </w:tc>
      </w:tr>
      <w:tr w:rsidR="00433488" w14:paraId="7A0D0587" w14:textId="77777777">
        <w:tblPrEx>
          <w:tblCellMar>
            <w:top w:w="0" w:type="dxa"/>
            <w:bottom w:w="0" w:type="dxa"/>
          </w:tblCellMar>
        </w:tblPrEx>
        <w:tc>
          <w:tcPr>
            <w:tcW w:w="850" w:type="dxa"/>
          </w:tcPr>
          <w:p w14:paraId="5115A588" w14:textId="77777777" w:rsidR="00433488" w:rsidRDefault="00433488">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467C39CF" w14:textId="77777777" w:rsidR="00433488" w:rsidRDefault="00433488">
            <w:pPr>
              <w:spacing w:line="240" w:lineRule="auto"/>
              <w:rPr>
                <w:sz w:val="24"/>
              </w:rPr>
            </w:pPr>
            <w:hyperlink w:anchor="Seif1" w:tooltip="החלת תקנות" w:history="1">
              <w:r>
                <w:rPr>
                  <w:rStyle w:val="Hyperlink"/>
                </w:rPr>
                <w:t>Go</w:t>
              </w:r>
            </w:hyperlink>
          </w:p>
        </w:tc>
        <w:tc>
          <w:tcPr>
            <w:tcW w:w="5669" w:type="dxa"/>
          </w:tcPr>
          <w:p w14:paraId="26C28727" w14:textId="77777777" w:rsidR="00433488" w:rsidRDefault="00433488">
            <w:pPr>
              <w:spacing w:line="240" w:lineRule="auto"/>
              <w:rPr>
                <w:sz w:val="24"/>
                <w:rtl/>
              </w:rPr>
            </w:pPr>
            <w:r>
              <w:rPr>
                <w:sz w:val="24"/>
                <w:rtl/>
              </w:rPr>
              <w:t>החלת תקנות</w:t>
            </w:r>
          </w:p>
        </w:tc>
        <w:tc>
          <w:tcPr>
            <w:tcW w:w="1247" w:type="dxa"/>
          </w:tcPr>
          <w:p w14:paraId="0FC7AB8D" w14:textId="77777777" w:rsidR="00433488" w:rsidRDefault="00433488">
            <w:pPr>
              <w:spacing w:line="240" w:lineRule="auto"/>
              <w:rPr>
                <w:sz w:val="24"/>
              </w:rPr>
            </w:pPr>
            <w:r>
              <w:rPr>
                <w:sz w:val="24"/>
                <w:rtl/>
              </w:rPr>
              <w:t xml:space="preserve">סעיף 2 </w:t>
            </w:r>
          </w:p>
        </w:tc>
      </w:tr>
      <w:tr w:rsidR="00433488" w14:paraId="440D3974" w14:textId="77777777">
        <w:tblPrEx>
          <w:tblCellMar>
            <w:top w:w="0" w:type="dxa"/>
            <w:bottom w:w="0" w:type="dxa"/>
          </w:tblCellMar>
        </w:tblPrEx>
        <w:tc>
          <w:tcPr>
            <w:tcW w:w="850" w:type="dxa"/>
          </w:tcPr>
          <w:p w14:paraId="609A0CEB" w14:textId="77777777" w:rsidR="00433488" w:rsidRDefault="00433488">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10EE7D66" w14:textId="77777777" w:rsidR="00433488" w:rsidRDefault="00433488">
            <w:pPr>
              <w:spacing w:line="240" w:lineRule="auto"/>
              <w:rPr>
                <w:sz w:val="24"/>
              </w:rPr>
            </w:pPr>
            <w:hyperlink w:anchor="Seif2" w:tooltip="תגמול לנכה בגיל מעל 14" w:history="1">
              <w:r>
                <w:rPr>
                  <w:rStyle w:val="Hyperlink"/>
                </w:rPr>
                <w:t>Go</w:t>
              </w:r>
            </w:hyperlink>
          </w:p>
        </w:tc>
        <w:tc>
          <w:tcPr>
            <w:tcW w:w="5669" w:type="dxa"/>
          </w:tcPr>
          <w:p w14:paraId="284D665B" w14:textId="77777777" w:rsidR="00433488" w:rsidRDefault="00433488">
            <w:pPr>
              <w:spacing w:line="240" w:lineRule="auto"/>
              <w:rPr>
                <w:sz w:val="24"/>
                <w:rtl/>
              </w:rPr>
            </w:pPr>
            <w:r>
              <w:rPr>
                <w:sz w:val="24"/>
                <w:rtl/>
              </w:rPr>
              <w:t>תגמול לנכה בגיל מעל 14</w:t>
            </w:r>
          </w:p>
        </w:tc>
        <w:tc>
          <w:tcPr>
            <w:tcW w:w="1247" w:type="dxa"/>
          </w:tcPr>
          <w:p w14:paraId="3C5C82A8" w14:textId="77777777" w:rsidR="00433488" w:rsidRDefault="00433488">
            <w:pPr>
              <w:spacing w:line="240" w:lineRule="auto"/>
              <w:rPr>
                <w:sz w:val="24"/>
              </w:rPr>
            </w:pPr>
            <w:r>
              <w:rPr>
                <w:sz w:val="24"/>
                <w:rtl/>
              </w:rPr>
              <w:t xml:space="preserve">סעיף 3 </w:t>
            </w:r>
          </w:p>
        </w:tc>
      </w:tr>
      <w:tr w:rsidR="00433488" w14:paraId="504AE7B7" w14:textId="77777777">
        <w:tblPrEx>
          <w:tblCellMar>
            <w:top w:w="0" w:type="dxa"/>
            <w:bottom w:w="0" w:type="dxa"/>
          </w:tblCellMar>
        </w:tblPrEx>
        <w:tc>
          <w:tcPr>
            <w:tcW w:w="850" w:type="dxa"/>
          </w:tcPr>
          <w:p w14:paraId="4A61E97D" w14:textId="77777777" w:rsidR="00433488" w:rsidRDefault="00433488">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9472BCA" w14:textId="77777777" w:rsidR="00433488" w:rsidRDefault="00433488">
            <w:pPr>
              <w:spacing w:line="240" w:lineRule="auto"/>
              <w:rPr>
                <w:sz w:val="24"/>
              </w:rPr>
            </w:pPr>
            <w:hyperlink w:anchor="Seif3" w:tooltip="השם" w:history="1">
              <w:r>
                <w:rPr>
                  <w:rStyle w:val="Hyperlink"/>
                </w:rPr>
                <w:t>Go</w:t>
              </w:r>
            </w:hyperlink>
          </w:p>
        </w:tc>
        <w:tc>
          <w:tcPr>
            <w:tcW w:w="5669" w:type="dxa"/>
          </w:tcPr>
          <w:p w14:paraId="2A67B3E2" w14:textId="77777777" w:rsidR="00433488" w:rsidRDefault="00433488">
            <w:pPr>
              <w:spacing w:line="240" w:lineRule="auto"/>
              <w:rPr>
                <w:sz w:val="24"/>
                <w:rtl/>
              </w:rPr>
            </w:pPr>
            <w:r>
              <w:rPr>
                <w:sz w:val="24"/>
                <w:rtl/>
              </w:rPr>
              <w:t>השם</w:t>
            </w:r>
          </w:p>
        </w:tc>
        <w:tc>
          <w:tcPr>
            <w:tcW w:w="1247" w:type="dxa"/>
          </w:tcPr>
          <w:p w14:paraId="676CB439" w14:textId="77777777" w:rsidR="00433488" w:rsidRDefault="00433488">
            <w:pPr>
              <w:spacing w:line="240" w:lineRule="auto"/>
              <w:rPr>
                <w:sz w:val="24"/>
              </w:rPr>
            </w:pPr>
            <w:r>
              <w:rPr>
                <w:sz w:val="24"/>
                <w:rtl/>
              </w:rPr>
              <w:t xml:space="preserve">סעיף 4 </w:t>
            </w:r>
          </w:p>
        </w:tc>
      </w:tr>
    </w:tbl>
    <w:p w14:paraId="64A83EBB" w14:textId="77777777" w:rsidR="00433488" w:rsidRDefault="00433488">
      <w:pPr>
        <w:pStyle w:val="big-header"/>
        <w:ind w:left="0" w:right="1134"/>
        <w:rPr>
          <w:rFonts w:cs="FrankRuehl"/>
          <w:sz w:val="32"/>
          <w:rtl/>
        </w:rPr>
      </w:pPr>
    </w:p>
    <w:p w14:paraId="257B7150" w14:textId="77777777" w:rsidR="00433488" w:rsidRDefault="00433488" w:rsidP="00E15011">
      <w:pPr>
        <w:pStyle w:val="big-header"/>
        <w:ind w:left="0" w:right="1134"/>
        <w:rPr>
          <w:rStyle w:val="default"/>
          <w:rFonts w:cs="FrankRuehl" w:hint="cs"/>
          <w:rtl/>
        </w:rPr>
      </w:pPr>
      <w:r>
        <w:rPr>
          <w:rFonts w:cs="FrankRuehl"/>
          <w:sz w:val="32"/>
          <w:rtl/>
        </w:rPr>
        <w:br w:type="page"/>
      </w:r>
      <w:r w:rsidR="00E15011">
        <w:rPr>
          <w:rFonts w:cs="FrankRuehl"/>
          <w:sz w:val="32"/>
          <w:rtl/>
        </w:rPr>
        <w:lastRenderedPageBreak/>
        <w:t xml:space="preserve"> </w:t>
      </w:r>
      <w:r>
        <w:rPr>
          <w:rFonts w:cs="FrankRuehl"/>
          <w:sz w:val="32"/>
          <w:rtl/>
        </w:rPr>
        <w:t>תק</w:t>
      </w:r>
      <w:r>
        <w:rPr>
          <w:rFonts w:cs="FrankRuehl" w:hint="cs"/>
          <w:sz w:val="32"/>
          <w:rtl/>
        </w:rPr>
        <w:t xml:space="preserve">נות התגמולים לנפגעי פעולות איבה (פיצוי בעת טיפול רפואי), </w:t>
      </w:r>
      <w:r>
        <w:rPr>
          <w:rFonts w:cs="FrankRuehl"/>
          <w:sz w:val="32"/>
          <w:rtl/>
        </w:rPr>
        <w:br/>
      </w:r>
      <w:r>
        <w:rPr>
          <w:rFonts w:cs="FrankRuehl" w:hint="cs"/>
          <w:sz w:val="32"/>
          <w:rtl/>
        </w:rPr>
        <w:t>תש"ל-</w:t>
      </w:r>
      <w:r>
        <w:rPr>
          <w:rFonts w:cs="FrankRuehl"/>
          <w:sz w:val="32"/>
          <w:rtl/>
        </w:rPr>
        <w:t>1970</w:t>
      </w:r>
      <w:r>
        <w:rPr>
          <w:rStyle w:val="default"/>
          <w:rtl/>
        </w:rPr>
        <w:footnoteReference w:customMarkFollows="1" w:id="1"/>
        <w:t>*</w:t>
      </w:r>
    </w:p>
    <w:p w14:paraId="0BB6DAB0" w14:textId="77777777" w:rsidR="00433488" w:rsidRDefault="00433488">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9(1) ו-21 לחוק התגמולים לנפגעי פעולות איבה, תש"ל-</w:t>
      </w:r>
      <w:r>
        <w:rPr>
          <w:rStyle w:val="default"/>
          <w:rFonts w:cs="FrankRuehl"/>
          <w:rtl/>
        </w:rPr>
        <w:t xml:space="preserve">1970, </w:t>
      </w:r>
      <w:r>
        <w:rPr>
          <w:rStyle w:val="default"/>
          <w:rFonts w:cs="FrankRuehl" w:hint="cs"/>
          <w:rtl/>
        </w:rPr>
        <w:t>ובאישור ועדת העבודה של הכנסת, הנני מתקין תקנות</w:t>
      </w:r>
      <w:r>
        <w:rPr>
          <w:rStyle w:val="default"/>
          <w:rFonts w:cs="FrankRuehl"/>
          <w:rtl/>
        </w:rPr>
        <w:t xml:space="preserve"> </w:t>
      </w:r>
      <w:r>
        <w:rPr>
          <w:rStyle w:val="default"/>
          <w:rFonts w:cs="FrankRuehl" w:hint="cs"/>
          <w:rtl/>
        </w:rPr>
        <w:t>אלה:</w:t>
      </w:r>
    </w:p>
    <w:p w14:paraId="00F05680" w14:textId="77777777" w:rsidR="00433488" w:rsidRDefault="00433488">
      <w:pPr>
        <w:pStyle w:val="P00"/>
        <w:spacing w:before="72"/>
        <w:ind w:left="0" w:right="1134"/>
        <w:rPr>
          <w:rStyle w:val="default"/>
          <w:rFonts w:cs="FrankRuehl" w:hint="cs"/>
          <w:rtl/>
        </w:rPr>
      </w:pPr>
      <w:bookmarkStart w:id="0" w:name="Seif0"/>
      <w:bookmarkEnd w:id="0"/>
      <w:r>
        <w:rPr>
          <w:lang w:val="he-IL"/>
        </w:rPr>
        <w:pict w14:anchorId="69E49C51">
          <v:rect id="_x0000_s1026" style="position:absolute;left:0;text-align:left;margin-left:464.5pt;margin-top:8.05pt;width:75.05pt;height:8pt;z-index:251655680" o:allowincell="f" filled="f" stroked="f" strokecolor="lime" strokeweight=".25pt">
            <v:textbox inset="0,0,0,0">
              <w:txbxContent>
                <w:p w14:paraId="2EDC0AC0" w14:textId="77777777" w:rsidR="00433488" w:rsidRDefault="00433488">
                  <w:pPr>
                    <w:spacing w:line="160" w:lineRule="exact"/>
                    <w:jc w:val="left"/>
                    <w:rPr>
                      <w:rFonts w:cs="Miriam"/>
                      <w:noProof/>
                      <w:sz w:val="18"/>
                      <w:szCs w:val="18"/>
                      <w:rtl/>
                    </w:rPr>
                  </w:pPr>
                  <w:r>
                    <w:rPr>
                      <w:rFonts w:cs="Miriam"/>
                      <w:sz w:val="18"/>
                      <w:szCs w:val="18"/>
                      <w:rtl/>
                    </w:rPr>
                    <w:t>פר</w:t>
                  </w:r>
                  <w:r>
                    <w:rPr>
                      <w:rFonts w:cs="Miriam" w:hint="cs"/>
                      <w:sz w:val="18"/>
                      <w:szCs w:val="18"/>
                      <w:rtl/>
                    </w:rPr>
                    <w:t>שנות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קנות אלה</w:t>
      </w:r>
      <w:r>
        <w:rPr>
          <w:rStyle w:val="default"/>
          <w:rFonts w:cs="FrankRuehl"/>
          <w:rtl/>
        </w:rPr>
        <w:t xml:space="preserve"> –</w:t>
      </w:r>
    </w:p>
    <w:p w14:paraId="1F3327B2" w14:textId="77777777" w:rsidR="00433488" w:rsidRDefault="0043348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יטול מעבודה של נכה", "יום ביטול מלא", "יום ביטול חלקי", "נכה המקבל גימלה", "נכה המובטל כליל", "נכה המובטל חלקית", "נכה שטרם שוקם", "משפחת נכה מרובת ילדים", "נכה משוקם", "עבודה רגילה של נכה", "תגמול יומי של הנכה" -</w:t>
      </w:r>
      <w:r>
        <w:rPr>
          <w:rStyle w:val="default"/>
          <w:rFonts w:cs="FrankRuehl"/>
          <w:rtl/>
        </w:rPr>
        <w:t xml:space="preserve"> </w:t>
      </w:r>
      <w:r>
        <w:rPr>
          <w:rStyle w:val="default"/>
          <w:rFonts w:cs="FrankRuehl" w:hint="cs"/>
          <w:rtl/>
        </w:rPr>
        <w:t>כמשמעות</w:t>
      </w:r>
      <w:r>
        <w:rPr>
          <w:rStyle w:val="default"/>
          <w:rFonts w:cs="FrankRuehl"/>
          <w:rtl/>
        </w:rPr>
        <w:t>ם</w:t>
      </w:r>
      <w:r>
        <w:rPr>
          <w:rStyle w:val="default"/>
          <w:rFonts w:cs="FrankRuehl" w:hint="cs"/>
          <w:rtl/>
        </w:rPr>
        <w:t xml:space="preserve"> בתקנה 1 לתקנות הנכים (טיפול</w:t>
      </w:r>
      <w:r>
        <w:rPr>
          <w:rStyle w:val="default"/>
          <w:rFonts w:cs="FrankRuehl"/>
          <w:rtl/>
        </w:rPr>
        <w:t xml:space="preserve"> ר</w:t>
      </w:r>
      <w:r>
        <w:rPr>
          <w:rStyle w:val="default"/>
          <w:rFonts w:cs="FrankRuehl" w:hint="cs"/>
          <w:rtl/>
        </w:rPr>
        <w:t>פואי), תשי"ד-</w:t>
      </w:r>
      <w:r>
        <w:rPr>
          <w:rStyle w:val="default"/>
          <w:rFonts w:cs="FrankRuehl"/>
          <w:rtl/>
        </w:rPr>
        <w:t>1954 (</w:t>
      </w:r>
      <w:r>
        <w:rPr>
          <w:rStyle w:val="default"/>
          <w:rFonts w:cs="FrankRuehl" w:hint="cs"/>
          <w:rtl/>
        </w:rPr>
        <w:t>להלן -</w:t>
      </w:r>
      <w:r>
        <w:rPr>
          <w:rStyle w:val="default"/>
          <w:rFonts w:cs="FrankRuehl"/>
          <w:rtl/>
        </w:rPr>
        <w:t xml:space="preserve"> </w:t>
      </w:r>
      <w:r>
        <w:rPr>
          <w:rStyle w:val="default"/>
          <w:rFonts w:cs="FrankRuehl" w:hint="cs"/>
          <w:rtl/>
        </w:rPr>
        <w:t>תקנות הנכים), בשינויים המחוייבים;</w:t>
      </w:r>
    </w:p>
    <w:p w14:paraId="08869E2D" w14:textId="77777777" w:rsidR="00433488" w:rsidRDefault="00433488">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כה" -</w:t>
      </w:r>
      <w:r>
        <w:rPr>
          <w:rStyle w:val="default"/>
          <w:rFonts w:cs="FrankRuehl"/>
          <w:rtl/>
        </w:rPr>
        <w:t xml:space="preserve"> </w:t>
      </w:r>
      <w:r>
        <w:rPr>
          <w:rStyle w:val="default"/>
          <w:rFonts w:cs="FrankRuehl" w:hint="cs"/>
          <w:rtl/>
        </w:rPr>
        <w:t>נפגע מעל לגיל 14 שטרם נקבעה לו דרגת נכות.</w:t>
      </w:r>
    </w:p>
    <w:p w14:paraId="2F6EE067" w14:textId="77777777" w:rsidR="00433488" w:rsidRDefault="00433488">
      <w:pPr>
        <w:pStyle w:val="P00"/>
        <w:spacing w:before="72"/>
        <w:ind w:left="0" w:right="1134"/>
        <w:rPr>
          <w:rStyle w:val="default"/>
          <w:rFonts w:cs="FrankRuehl"/>
          <w:rtl/>
        </w:rPr>
      </w:pPr>
      <w:bookmarkStart w:id="1" w:name="Seif1"/>
      <w:bookmarkEnd w:id="1"/>
      <w:r>
        <w:rPr>
          <w:lang w:val="he-IL"/>
        </w:rPr>
        <w:pict w14:anchorId="024DAC7E">
          <v:rect id="_x0000_s1027" style="position:absolute;left:0;text-align:left;margin-left:464.5pt;margin-top:8.05pt;width:75.05pt;height:24pt;z-index:251656704" o:allowincell="f" filled="f" stroked="f" strokecolor="lime" strokeweight=".25pt">
            <v:textbox inset="0,0,0,0">
              <w:txbxContent>
                <w:p w14:paraId="56D4BFA3" w14:textId="77777777" w:rsidR="00433488" w:rsidRDefault="00433488">
                  <w:pPr>
                    <w:spacing w:line="160" w:lineRule="exact"/>
                    <w:jc w:val="left"/>
                    <w:rPr>
                      <w:rFonts w:cs="Miriam"/>
                      <w:noProof/>
                      <w:sz w:val="18"/>
                      <w:szCs w:val="18"/>
                      <w:rtl/>
                    </w:rPr>
                  </w:pPr>
                  <w:r>
                    <w:rPr>
                      <w:rFonts w:cs="Miriam"/>
                      <w:sz w:val="18"/>
                      <w:szCs w:val="18"/>
                      <w:rtl/>
                    </w:rPr>
                    <w:t>הח</w:t>
                  </w:r>
                  <w:r>
                    <w:rPr>
                      <w:rFonts w:cs="Miriam" w:hint="cs"/>
                      <w:sz w:val="18"/>
                      <w:szCs w:val="18"/>
                      <w:rtl/>
                    </w:rPr>
                    <w:t>לת תקנות</w:t>
                  </w:r>
                </w:p>
                <w:p w14:paraId="3AC8A81B" w14:textId="77777777" w:rsidR="00433488" w:rsidRDefault="00433488">
                  <w:pPr>
                    <w:spacing w:line="160" w:lineRule="exact"/>
                    <w:jc w:val="left"/>
                    <w:rPr>
                      <w:rFonts w:cs="Miriam" w:hint="cs"/>
                      <w:sz w:val="18"/>
                      <w:szCs w:val="18"/>
                      <w:rtl/>
                    </w:rPr>
                  </w:pPr>
                  <w:r>
                    <w:rPr>
                      <w:rFonts w:cs="Miriam"/>
                      <w:sz w:val="18"/>
                      <w:szCs w:val="18"/>
                      <w:rtl/>
                    </w:rPr>
                    <w:t>תק</w:t>
                  </w:r>
                  <w:r>
                    <w:rPr>
                      <w:rFonts w:cs="Miriam" w:hint="cs"/>
                      <w:sz w:val="18"/>
                      <w:szCs w:val="18"/>
                      <w:rtl/>
                    </w:rPr>
                    <w:t>' תשל"א-</w:t>
                  </w:r>
                  <w:r>
                    <w:rPr>
                      <w:rFonts w:cs="Miriam"/>
                      <w:sz w:val="18"/>
                      <w:szCs w:val="18"/>
                      <w:rtl/>
                    </w:rPr>
                    <w:t>1971</w:t>
                  </w:r>
                </w:p>
                <w:p w14:paraId="3EE5F01F" w14:textId="77777777" w:rsidR="00433488" w:rsidRDefault="00433488">
                  <w:pPr>
                    <w:spacing w:line="160" w:lineRule="exact"/>
                    <w:jc w:val="left"/>
                    <w:rPr>
                      <w:rFonts w:cs="Miriam"/>
                      <w:noProof/>
                      <w:sz w:val="18"/>
                      <w:szCs w:val="18"/>
                      <w:rtl/>
                    </w:rPr>
                  </w:pPr>
                  <w:r>
                    <w:rPr>
                      <w:rFonts w:cs="Miriam" w:hint="cs"/>
                      <w:sz w:val="18"/>
                      <w:szCs w:val="18"/>
                      <w:rtl/>
                    </w:rPr>
                    <w:t>תק' תשנ"ו-</w:t>
                  </w:r>
                  <w:r>
                    <w:rPr>
                      <w:rFonts w:cs="Miriam"/>
                      <w:sz w:val="18"/>
                      <w:szCs w:val="18"/>
                      <w:rtl/>
                    </w:rPr>
                    <w:t>1996</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קנות 14, 14א, 14ב, 14ד, ו-15 לתקנות הנכים יחולו לענין נפגע, בשינויים המחוייבים, בכפוף לאמור בתקנה 3.</w:t>
      </w:r>
    </w:p>
    <w:p w14:paraId="4BA3AC84" w14:textId="77777777" w:rsidR="00433488" w:rsidRDefault="00433488">
      <w:pPr>
        <w:pStyle w:val="P00"/>
        <w:spacing w:before="72"/>
        <w:ind w:left="0" w:right="1134"/>
        <w:rPr>
          <w:rStyle w:val="default"/>
          <w:rFonts w:cs="FrankRuehl" w:hint="cs"/>
          <w:rtl/>
        </w:rPr>
      </w:pPr>
      <w:r>
        <w:rPr>
          <w:rFonts w:cs="FrankRuehl"/>
          <w:rtl/>
          <w:lang w:val="he-IL"/>
        </w:rPr>
        <w:pict w14:anchorId="78DF01D0">
          <v:shapetype id="_x0000_t202" coordsize="21600,21600" o:spt="202" path="m,l,21600r21600,l21600,xe">
            <v:stroke joinstyle="miter"/>
            <v:path gradientshapeok="t" o:connecttype="rect"/>
          </v:shapetype>
          <v:shape id="_x0000_s1031" type="#_x0000_t202" style="position:absolute;left:0;text-align:left;margin-left:470.25pt;margin-top:7.1pt;width:1in;height:12.6pt;z-index:251659776" filled="f" stroked="f">
            <v:textbox inset="1mm,0,1mm,0">
              <w:txbxContent>
                <w:p w14:paraId="3E48E2A1" w14:textId="77777777" w:rsidR="00433488" w:rsidRDefault="00433488">
                  <w:pPr>
                    <w:spacing w:line="160" w:lineRule="exact"/>
                    <w:jc w:val="left"/>
                    <w:rPr>
                      <w:rFonts w:cs="Miriam" w:hint="cs"/>
                      <w:sz w:val="18"/>
                      <w:szCs w:val="18"/>
                      <w:rtl/>
                    </w:rPr>
                  </w:pPr>
                  <w:r>
                    <w:rPr>
                      <w:rFonts w:cs="Miriam"/>
                      <w:sz w:val="18"/>
                      <w:szCs w:val="18"/>
                      <w:rtl/>
                    </w:rPr>
                    <w:t>תק</w:t>
                  </w:r>
                  <w:r>
                    <w:rPr>
                      <w:rFonts w:cs="Miriam" w:hint="cs"/>
                      <w:sz w:val="18"/>
                      <w:szCs w:val="18"/>
                      <w:rtl/>
                    </w:rPr>
                    <w:t>' תשל"א-</w:t>
                  </w:r>
                  <w:r>
                    <w:rPr>
                      <w:rFonts w:cs="Miriam"/>
                      <w:sz w:val="18"/>
                      <w:szCs w:val="18"/>
                      <w:rtl/>
                    </w:rPr>
                    <w:t>1971</w:t>
                  </w:r>
                </w:p>
              </w:txbxContent>
            </v:textbox>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הפרק הששי לתקנות הנכי</w:t>
      </w:r>
      <w:r>
        <w:rPr>
          <w:rStyle w:val="default"/>
          <w:rFonts w:cs="FrankRuehl"/>
          <w:rtl/>
        </w:rPr>
        <w:t xml:space="preserve">ם </w:t>
      </w:r>
      <w:r>
        <w:rPr>
          <w:rStyle w:val="default"/>
          <w:rFonts w:cs="FrankRuehl" w:hint="cs"/>
          <w:rtl/>
        </w:rPr>
        <w:t>לגבי שימוש במכשירי תנועה יחולו על נפגע, בשינויים המחוייבים.</w:t>
      </w:r>
    </w:p>
    <w:p w14:paraId="611E2505" w14:textId="77777777" w:rsidR="00433488" w:rsidRDefault="00433488">
      <w:pPr>
        <w:pStyle w:val="P00"/>
        <w:spacing w:before="0"/>
        <w:ind w:left="0" w:right="1134"/>
        <w:rPr>
          <w:rFonts w:cs="FrankRuehl" w:hint="cs"/>
          <w:b/>
          <w:bCs/>
          <w:vanish/>
          <w:szCs w:val="20"/>
          <w:shd w:val="clear" w:color="auto" w:fill="FFFF99"/>
          <w:rtl/>
        </w:rPr>
      </w:pPr>
      <w:bookmarkStart w:id="2" w:name="Rov7"/>
      <w:r>
        <w:rPr>
          <w:rFonts w:cs="FrankRuehl" w:hint="cs"/>
          <w:vanish/>
          <w:color w:val="FF0000"/>
          <w:szCs w:val="20"/>
          <w:shd w:val="clear" w:color="auto" w:fill="FFFF99"/>
          <w:rtl/>
        </w:rPr>
        <w:t>מיום 12.8.1971</w:t>
      </w:r>
    </w:p>
    <w:p w14:paraId="5C7F29E6" w14:textId="77777777" w:rsidR="00433488" w:rsidRDefault="00433488">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תשל"א-1971</w:t>
      </w:r>
    </w:p>
    <w:p w14:paraId="15774AC7" w14:textId="77777777" w:rsidR="00433488" w:rsidRDefault="00433488">
      <w:pPr>
        <w:pStyle w:val="P00"/>
        <w:tabs>
          <w:tab w:val="clear" w:pos="6259"/>
        </w:tabs>
        <w:spacing w:before="0"/>
        <w:ind w:left="0" w:right="1134"/>
        <w:rPr>
          <w:rFonts w:cs="FrankRuehl" w:hint="cs"/>
          <w:vanish/>
          <w:szCs w:val="20"/>
          <w:shd w:val="clear" w:color="auto" w:fill="FFFF99"/>
          <w:rtl/>
        </w:rPr>
      </w:pPr>
      <w:hyperlink r:id="rId6" w:history="1">
        <w:r>
          <w:rPr>
            <w:rStyle w:val="Hyperlink"/>
            <w:rFonts w:cs="FrankRuehl" w:hint="cs"/>
            <w:vanish/>
            <w:szCs w:val="20"/>
            <w:shd w:val="clear" w:color="auto" w:fill="FFFF99"/>
            <w:rtl/>
          </w:rPr>
          <w:t>ק"ת תשל"א מס' 2728</w:t>
        </w:r>
      </w:hyperlink>
      <w:r>
        <w:rPr>
          <w:rFonts w:cs="FrankRuehl" w:hint="cs"/>
          <w:vanish/>
          <w:szCs w:val="20"/>
          <w:shd w:val="clear" w:color="auto" w:fill="FFFF99"/>
          <w:rtl/>
        </w:rPr>
        <w:t xml:space="preserve"> מיום 12.8.1971 עמ' 1465</w:t>
      </w:r>
    </w:p>
    <w:p w14:paraId="1C7C6F30" w14:textId="77777777" w:rsidR="00433488" w:rsidRDefault="00433488">
      <w:pPr>
        <w:pStyle w:val="P00"/>
        <w:ind w:left="0" w:right="1134"/>
        <w:rPr>
          <w:rStyle w:val="default"/>
          <w:rFonts w:cs="FrankRuehl"/>
          <w:vanish/>
          <w:sz w:val="22"/>
          <w:szCs w:val="22"/>
          <w:shd w:val="clear" w:color="auto" w:fill="FFFF99"/>
          <w:rtl/>
        </w:rPr>
      </w:pPr>
      <w:r>
        <w:rPr>
          <w:rStyle w:val="big-number"/>
          <w:rFonts w:cs="FrankRuehl"/>
          <w:vanish/>
          <w:sz w:val="22"/>
          <w:szCs w:val="22"/>
          <w:shd w:val="clear" w:color="auto" w:fill="FFFF99"/>
          <w:rtl/>
        </w:rPr>
        <w:t>2.</w:t>
      </w:r>
      <w:r>
        <w:rPr>
          <w:rStyle w:val="big-number"/>
          <w:rFonts w:cs="FrankRuehl"/>
          <w:vanish/>
          <w:sz w:val="22"/>
          <w:szCs w:val="22"/>
          <w:shd w:val="clear" w:color="auto" w:fill="FFFF99"/>
          <w:rtl/>
        </w:rPr>
        <w:tab/>
      </w:r>
      <w:r>
        <w:rPr>
          <w:rStyle w:val="default"/>
          <w:rFonts w:cs="FrankRuehl"/>
          <w:vanish/>
          <w:sz w:val="22"/>
          <w:szCs w:val="22"/>
          <w:u w:val="single"/>
          <w:shd w:val="clear" w:color="auto" w:fill="FFFF99"/>
          <w:rtl/>
        </w:rPr>
        <w:t>(א</w:t>
      </w:r>
      <w:r>
        <w:rPr>
          <w:rStyle w:val="default"/>
          <w:rFonts w:cs="FrankRuehl" w:hint="cs"/>
          <w:vanish/>
          <w:sz w:val="22"/>
          <w:szCs w:val="22"/>
          <w:u w:val="single"/>
          <w:shd w:val="clear" w:color="auto" w:fill="FFFF99"/>
          <w:rtl/>
        </w:rPr>
        <w:t>)</w:t>
      </w:r>
      <w:r>
        <w:rPr>
          <w:rStyle w:val="default"/>
          <w:rFonts w:cs="FrankRuehl"/>
          <w:vanish/>
          <w:sz w:val="22"/>
          <w:szCs w:val="22"/>
          <w:shd w:val="clear" w:color="auto" w:fill="FFFF99"/>
          <w:rtl/>
        </w:rPr>
        <w:tab/>
        <w:t>ת</w:t>
      </w:r>
      <w:r>
        <w:rPr>
          <w:rStyle w:val="default"/>
          <w:rFonts w:cs="FrankRuehl" w:hint="cs"/>
          <w:vanish/>
          <w:sz w:val="22"/>
          <w:szCs w:val="22"/>
          <w:shd w:val="clear" w:color="auto" w:fill="FFFF99"/>
          <w:rtl/>
        </w:rPr>
        <w:t xml:space="preserve">קנות 14א, 14ב </w:t>
      </w:r>
      <w:r>
        <w:rPr>
          <w:rStyle w:val="default"/>
          <w:rFonts w:cs="FrankRuehl" w:hint="cs"/>
          <w:strike/>
          <w:vanish/>
          <w:sz w:val="22"/>
          <w:szCs w:val="22"/>
          <w:shd w:val="clear" w:color="auto" w:fill="FFFF99"/>
          <w:rtl/>
        </w:rPr>
        <w:t>ו-14ד</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14ד, ו-15</w:t>
      </w:r>
      <w:r>
        <w:rPr>
          <w:rStyle w:val="default"/>
          <w:rFonts w:cs="FrankRuehl" w:hint="cs"/>
          <w:vanish/>
          <w:sz w:val="22"/>
          <w:szCs w:val="22"/>
          <w:shd w:val="clear" w:color="auto" w:fill="FFFF99"/>
          <w:rtl/>
        </w:rPr>
        <w:t xml:space="preserve"> לתקנות הנכים יחולו לענין נפגע, בשינויים המחוייבים, בכפוף לאמור בתקנה 3.</w:t>
      </w:r>
    </w:p>
    <w:p w14:paraId="6CC2556F" w14:textId="77777777" w:rsidR="00433488" w:rsidRDefault="00433488">
      <w:pPr>
        <w:pStyle w:val="P00"/>
        <w:spacing w:before="0"/>
        <w:ind w:left="0" w:right="1134"/>
        <w:rPr>
          <w:rStyle w:val="default"/>
          <w:rFonts w:cs="FrankRuehl" w:hint="cs"/>
          <w:vanish/>
          <w:sz w:val="22"/>
          <w:szCs w:val="22"/>
          <w:u w:val="single"/>
          <w:shd w:val="clear" w:color="auto" w:fill="FFFF99"/>
          <w:rtl/>
        </w:rPr>
      </w:pPr>
      <w:r>
        <w:rPr>
          <w:rFonts w:cs="FrankRuehl"/>
          <w:vanish/>
          <w:sz w:val="22"/>
          <w:szCs w:val="22"/>
          <w:shd w:val="clear" w:color="auto" w:fill="FFFF99"/>
          <w:rtl/>
        </w:rPr>
        <w:tab/>
      </w:r>
      <w:r>
        <w:rPr>
          <w:rStyle w:val="default"/>
          <w:rFonts w:cs="FrankRuehl"/>
          <w:vanish/>
          <w:sz w:val="22"/>
          <w:szCs w:val="22"/>
          <w:u w:val="single"/>
          <w:shd w:val="clear" w:color="auto" w:fill="FFFF99"/>
          <w:rtl/>
        </w:rPr>
        <w:t>(ב</w:t>
      </w:r>
      <w:r>
        <w:rPr>
          <w:rStyle w:val="default"/>
          <w:rFonts w:cs="FrankRuehl" w:hint="cs"/>
          <w:vanish/>
          <w:sz w:val="22"/>
          <w:szCs w:val="22"/>
          <w:u w:val="single"/>
          <w:shd w:val="clear" w:color="auto" w:fill="FFFF99"/>
          <w:rtl/>
        </w:rPr>
        <w:t>)</w:t>
      </w:r>
      <w:r>
        <w:rPr>
          <w:rStyle w:val="default"/>
          <w:rFonts w:cs="FrankRuehl"/>
          <w:vanish/>
          <w:sz w:val="22"/>
          <w:szCs w:val="22"/>
          <w:u w:val="single"/>
          <w:shd w:val="clear" w:color="auto" w:fill="FFFF99"/>
          <w:rtl/>
        </w:rPr>
        <w:tab/>
        <w:t>ה</w:t>
      </w:r>
      <w:r>
        <w:rPr>
          <w:rStyle w:val="default"/>
          <w:rFonts w:cs="FrankRuehl" w:hint="cs"/>
          <w:vanish/>
          <w:sz w:val="22"/>
          <w:szCs w:val="22"/>
          <w:u w:val="single"/>
          <w:shd w:val="clear" w:color="auto" w:fill="FFFF99"/>
          <w:rtl/>
        </w:rPr>
        <w:t>וראות הפרק הששי לתקנות הנכי</w:t>
      </w:r>
      <w:r>
        <w:rPr>
          <w:rStyle w:val="default"/>
          <w:rFonts w:cs="FrankRuehl"/>
          <w:vanish/>
          <w:sz w:val="22"/>
          <w:szCs w:val="22"/>
          <w:u w:val="single"/>
          <w:shd w:val="clear" w:color="auto" w:fill="FFFF99"/>
          <w:rtl/>
        </w:rPr>
        <w:t xml:space="preserve">ם </w:t>
      </w:r>
      <w:r>
        <w:rPr>
          <w:rStyle w:val="default"/>
          <w:rFonts w:cs="FrankRuehl" w:hint="cs"/>
          <w:vanish/>
          <w:sz w:val="22"/>
          <w:szCs w:val="22"/>
          <w:u w:val="single"/>
          <w:shd w:val="clear" w:color="auto" w:fill="FFFF99"/>
          <w:rtl/>
        </w:rPr>
        <w:t>לגבי שימוש במכשירי תנועה יחולו על נפגע, בשינויים המחוייבים.</w:t>
      </w:r>
    </w:p>
    <w:p w14:paraId="76546AB9" w14:textId="77777777" w:rsidR="00433488" w:rsidRDefault="00433488">
      <w:pPr>
        <w:pStyle w:val="P00"/>
        <w:spacing w:before="0"/>
        <w:ind w:left="0" w:right="1134"/>
        <w:rPr>
          <w:rFonts w:cs="FrankRuehl" w:hint="cs"/>
          <w:vanish/>
          <w:color w:val="FF0000"/>
          <w:szCs w:val="20"/>
          <w:shd w:val="clear" w:color="auto" w:fill="FFFF99"/>
          <w:rtl/>
        </w:rPr>
      </w:pPr>
    </w:p>
    <w:p w14:paraId="1F8F2E86" w14:textId="77777777" w:rsidR="00433488" w:rsidRDefault="00433488">
      <w:pPr>
        <w:pStyle w:val="P00"/>
        <w:spacing w:before="0"/>
        <w:ind w:left="0" w:right="1134"/>
        <w:rPr>
          <w:rFonts w:cs="FrankRuehl" w:hint="cs"/>
          <w:b/>
          <w:bCs/>
          <w:vanish/>
          <w:szCs w:val="20"/>
          <w:shd w:val="clear" w:color="auto" w:fill="FFFF99"/>
          <w:rtl/>
        </w:rPr>
      </w:pPr>
      <w:r>
        <w:rPr>
          <w:rFonts w:cs="FrankRuehl" w:hint="cs"/>
          <w:vanish/>
          <w:color w:val="FF0000"/>
          <w:szCs w:val="20"/>
          <w:shd w:val="clear" w:color="auto" w:fill="FFFF99"/>
          <w:rtl/>
        </w:rPr>
        <w:t>מיום 22.6.1996</w:t>
      </w:r>
    </w:p>
    <w:p w14:paraId="52F89322" w14:textId="77777777" w:rsidR="00433488" w:rsidRDefault="00433488">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תשנ"ו-1996</w:t>
      </w:r>
    </w:p>
    <w:p w14:paraId="253171FE" w14:textId="77777777" w:rsidR="00433488" w:rsidRDefault="00433488">
      <w:pPr>
        <w:pStyle w:val="P00"/>
        <w:tabs>
          <w:tab w:val="clear" w:pos="6259"/>
        </w:tabs>
        <w:spacing w:before="0"/>
        <w:ind w:left="0" w:right="1134"/>
        <w:rPr>
          <w:rFonts w:cs="FrankRuehl" w:hint="cs"/>
          <w:vanish/>
          <w:szCs w:val="20"/>
          <w:shd w:val="clear" w:color="auto" w:fill="FFFF99"/>
          <w:rtl/>
        </w:rPr>
      </w:pPr>
      <w:hyperlink r:id="rId7" w:history="1">
        <w:r>
          <w:rPr>
            <w:rStyle w:val="Hyperlink"/>
            <w:rFonts w:cs="FrankRuehl" w:hint="cs"/>
            <w:vanish/>
            <w:szCs w:val="20"/>
            <w:shd w:val="clear" w:color="auto" w:fill="FFFF99"/>
            <w:rtl/>
          </w:rPr>
          <w:t>ק"ת תשנ"ו מס' 5737</w:t>
        </w:r>
      </w:hyperlink>
      <w:r>
        <w:rPr>
          <w:rFonts w:cs="FrankRuehl" w:hint="cs"/>
          <w:vanish/>
          <w:szCs w:val="20"/>
          <w:shd w:val="clear" w:color="auto" w:fill="FFFF99"/>
          <w:rtl/>
        </w:rPr>
        <w:t xml:space="preserve"> מיום 22.2.1996 עמ' 583</w:t>
      </w:r>
    </w:p>
    <w:p w14:paraId="74EEF3AA" w14:textId="77777777" w:rsidR="00433488" w:rsidRDefault="00433488">
      <w:pPr>
        <w:pStyle w:val="P00"/>
        <w:ind w:left="0" w:right="1134"/>
        <w:rPr>
          <w:rStyle w:val="default"/>
          <w:rFonts w:cs="FrankRuehl"/>
          <w:sz w:val="2"/>
          <w:szCs w:val="2"/>
          <w:rtl/>
        </w:rPr>
      </w:pP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(א</w:t>
      </w:r>
      <w:r>
        <w:rPr>
          <w:rStyle w:val="default"/>
          <w:rFonts w:cs="FrankRuehl" w:hint="cs"/>
          <w:vanish/>
          <w:sz w:val="22"/>
          <w:szCs w:val="22"/>
          <w:shd w:val="clear" w:color="auto" w:fill="FFFF99"/>
          <w:rtl/>
        </w:rPr>
        <w:t>)</w:t>
      </w:r>
      <w:r>
        <w:rPr>
          <w:rStyle w:val="default"/>
          <w:rFonts w:cs="FrankRuehl"/>
          <w:vanish/>
          <w:sz w:val="22"/>
          <w:szCs w:val="22"/>
          <w:shd w:val="clear" w:color="auto" w:fill="FFFF99"/>
          <w:rtl/>
        </w:rPr>
        <w:tab/>
        <w:t>ת</w:t>
      </w:r>
      <w:r>
        <w:rPr>
          <w:rStyle w:val="default"/>
          <w:rFonts w:cs="FrankRuehl" w:hint="cs"/>
          <w:vanish/>
          <w:sz w:val="22"/>
          <w:szCs w:val="22"/>
          <w:shd w:val="clear" w:color="auto" w:fill="FFFF99"/>
          <w:rtl/>
        </w:rPr>
        <w:t xml:space="preserve">קנות </w:t>
      </w:r>
      <w:r>
        <w:rPr>
          <w:rStyle w:val="default"/>
          <w:rFonts w:cs="FrankRuehl" w:hint="cs"/>
          <w:vanish/>
          <w:sz w:val="22"/>
          <w:szCs w:val="22"/>
          <w:u w:val="single"/>
          <w:shd w:val="clear" w:color="auto" w:fill="FFFF99"/>
          <w:rtl/>
        </w:rPr>
        <w:t>14,</w:t>
      </w:r>
      <w:r>
        <w:rPr>
          <w:rStyle w:val="default"/>
          <w:rFonts w:cs="FrankRuehl" w:hint="cs"/>
          <w:vanish/>
          <w:sz w:val="22"/>
          <w:szCs w:val="22"/>
          <w:shd w:val="clear" w:color="auto" w:fill="FFFF99"/>
          <w:rtl/>
        </w:rPr>
        <w:t xml:space="preserve"> 14א, 14ב, 14ד, ו-15 לתקנות הנכים יחולו לענין נפגע, בשינויים המחוייבים, בכפוף לאמור בתקנה 3.</w:t>
      </w:r>
      <w:bookmarkEnd w:id="2"/>
    </w:p>
    <w:p w14:paraId="0E06AB29" w14:textId="77777777" w:rsidR="00433488" w:rsidRDefault="00433488">
      <w:pPr>
        <w:pStyle w:val="P00"/>
        <w:spacing w:before="72"/>
        <w:ind w:left="0" w:right="1134"/>
        <w:rPr>
          <w:rStyle w:val="default"/>
          <w:rFonts w:cs="FrankRuehl"/>
          <w:rtl/>
        </w:rPr>
      </w:pPr>
      <w:bookmarkStart w:id="3" w:name="Seif2"/>
      <w:bookmarkEnd w:id="3"/>
      <w:r>
        <w:rPr>
          <w:lang w:val="he-IL"/>
        </w:rPr>
        <w:pict w14:anchorId="1E557091">
          <v:rect id="_x0000_s1028" style="position:absolute;left:0;text-align:left;margin-left:464.5pt;margin-top:8.05pt;width:75.05pt;height:17.55pt;z-index:251657728" o:allowincell="f" filled="f" stroked="f" strokecolor="lime" strokeweight=".25pt">
            <v:textbox style="mso-next-textbox:#_x0000_s1028" inset="0,0,0,0">
              <w:txbxContent>
                <w:p w14:paraId="3CBD589A" w14:textId="77777777" w:rsidR="00433488" w:rsidRDefault="00433488">
                  <w:pPr>
                    <w:spacing w:line="160" w:lineRule="exact"/>
                    <w:jc w:val="left"/>
                    <w:rPr>
                      <w:rFonts w:cs="Miriam"/>
                      <w:noProof/>
                      <w:sz w:val="18"/>
                      <w:szCs w:val="18"/>
                      <w:rtl/>
                    </w:rPr>
                  </w:pPr>
                  <w:r>
                    <w:rPr>
                      <w:rFonts w:cs="Miriam"/>
                      <w:sz w:val="18"/>
                      <w:szCs w:val="18"/>
                      <w:rtl/>
                    </w:rPr>
                    <w:t>תג</w:t>
                  </w:r>
                  <w:r>
                    <w:rPr>
                      <w:rFonts w:cs="Miriam" w:hint="cs"/>
                      <w:sz w:val="18"/>
                      <w:szCs w:val="18"/>
                      <w:rtl/>
                    </w:rPr>
                    <w:t xml:space="preserve">מול לנכה </w:t>
                  </w:r>
                  <w:r>
                    <w:rPr>
                      <w:rFonts w:cs="Miriam"/>
                      <w:sz w:val="18"/>
                      <w:szCs w:val="18"/>
                      <w:rtl/>
                    </w:rPr>
                    <w:t>בג</w:t>
                  </w:r>
                  <w:r>
                    <w:rPr>
                      <w:rFonts w:cs="Miriam" w:hint="cs"/>
                      <w:sz w:val="18"/>
                      <w:szCs w:val="18"/>
                      <w:rtl/>
                    </w:rPr>
                    <w:t>יל מעל 14</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כה בגיל מעל 14 ומתחת ל-18 שבתכוף לפני הזדקקותו לתגמולים לפי תקנה 14 לתקנות הנכים (להלן -</w:t>
      </w:r>
      <w:r>
        <w:rPr>
          <w:rStyle w:val="default"/>
          <w:rFonts w:cs="FrankRuehl"/>
          <w:rtl/>
        </w:rPr>
        <w:t xml:space="preserve"> </w:t>
      </w:r>
      <w:r>
        <w:rPr>
          <w:rStyle w:val="default"/>
          <w:rFonts w:cs="FrankRuehl" w:hint="cs"/>
          <w:rtl/>
        </w:rPr>
        <w:t>התקופה הקובעת) לא עבד עבודה רגילה -</w:t>
      </w:r>
      <w:r>
        <w:rPr>
          <w:rStyle w:val="default"/>
          <w:rFonts w:cs="FrankRuehl"/>
          <w:rtl/>
        </w:rPr>
        <w:t xml:space="preserve"> </w:t>
      </w:r>
      <w:r>
        <w:rPr>
          <w:rStyle w:val="default"/>
          <w:rFonts w:cs="FrankRuehl" w:hint="cs"/>
          <w:rtl/>
        </w:rPr>
        <w:t>התגמול בעת טיפולו הרפואי יהיה כל עוד לא מלאו לו 18 שנה -</w:t>
      </w:r>
      <w:r>
        <w:rPr>
          <w:rStyle w:val="default"/>
          <w:rFonts w:cs="FrankRuehl"/>
          <w:rtl/>
        </w:rPr>
        <w:t xml:space="preserve"> </w:t>
      </w:r>
      <w:r>
        <w:rPr>
          <w:rStyle w:val="default"/>
          <w:rFonts w:cs="FrankRuehl" w:hint="cs"/>
          <w:rtl/>
        </w:rPr>
        <w:t>מחצ</w:t>
      </w:r>
      <w:r>
        <w:rPr>
          <w:rStyle w:val="default"/>
          <w:rFonts w:cs="FrankRuehl"/>
          <w:rtl/>
        </w:rPr>
        <w:t>ית</w:t>
      </w:r>
      <w:r>
        <w:rPr>
          <w:rStyle w:val="default"/>
          <w:rFonts w:cs="FrankRuehl" w:hint="cs"/>
          <w:rtl/>
        </w:rPr>
        <w:t xml:space="preserve"> השיעור המשתלם לנכה שמלאו לו 18 שנה בהתאם לתקנה 14א(א)(1) לתקנות הנכים (להלן -</w:t>
      </w:r>
      <w:r>
        <w:rPr>
          <w:rStyle w:val="default"/>
          <w:rFonts w:cs="FrankRuehl"/>
          <w:rtl/>
        </w:rPr>
        <w:t xml:space="preserve"> </w:t>
      </w:r>
      <w:r>
        <w:rPr>
          <w:rStyle w:val="default"/>
          <w:rFonts w:cs="FrankRuehl" w:hint="cs"/>
          <w:rtl/>
        </w:rPr>
        <w:t>מחצית השיעור).</w:t>
      </w:r>
    </w:p>
    <w:p w14:paraId="30E0F4AD" w14:textId="77777777" w:rsidR="00433488" w:rsidRDefault="0043348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בד הנכה בתקופה הקובעת בעבודה רגילה, התגמול בעת טיפולו הרפ</w:t>
      </w:r>
      <w:r>
        <w:rPr>
          <w:rStyle w:val="default"/>
          <w:rFonts w:cs="FrankRuehl"/>
          <w:rtl/>
        </w:rPr>
        <w:t>ו</w:t>
      </w:r>
      <w:r>
        <w:rPr>
          <w:rStyle w:val="default"/>
          <w:rFonts w:cs="FrankRuehl" w:hint="cs"/>
          <w:rtl/>
        </w:rPr>
        <w:t>אי יהיה כל עוד ולא מלאו לו 18 שנה, הכנסתו הרגילה ובלבד שלא תפחת ממחצית השיעור ולא תעלה על המקסימ</w:t>
      </w:r>
      <w:r>
        <w:rPr>
          <w:rStyle w:val="default"/>
          <w:rFonts w:cs="FrankRuehl"/>
          <w:rtl/>
        </w:rPr>
        <w:t>ום</w:t>
      </w:r>
      <w:r>
        <w:rPr>
          <w:rStyle w:val="default"/>
          <w:rFonts w:cs="FrankRuehl" w:hint="cs"/>
          <w:rtl/>
        </w:rPr>
        <w:t xml:space="preserve"> כאמור בתקנה 14 לתקנות הנכים.</w:t>
      </w:r>
    </w:p>
    <w:p w14:paraId="41174DD7" w14:textId="77777777" w:rsidR="00433488" w:rsidRDefault="00433488">
      <w:pPr>
        <w:pStyle w:val="P00"/>
        <w:spacing w:before="72"/>
        <w:ind w:left="0" w:right="1134"/>
        <w:rPr>
          <w:rStyle w:val="default"/>
          <w:rFonts w:cs="FrankRuehl"/>
          <w:rtl/>
        </w:rPr>
      </w:pPr>
      <w:bookmarkStart w:id="4" w:name="Seif3"/>
      <w:bookmarkEnd w:id="4"/>
      <w:r>
        <w:rPr>
          <w:lang w:val="he-IL"/>
        </w:rPr>
        <w:pict w14:anchorId="4ECC39B9">
          <v:rect id="_x0000_s1029" style="position:absolute;left:0;text-align:left;margin-left:464.5pt;margin-top:8.05pt;width:75.05pt;height:8pt;z-index:251658752" o:allowincell="f" filled="f" stroked="f" strokecolor="lime" strokeweight=".25pt">
            <v:textbox inset="0,0,0,0">
              <w:txbxContent>
                <w:p w14:paraId="6F24E065" w14:textId="77777777" w:rsidR="00433488" w:rsidRDefault="00433488">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4.</w:t>
      </w:r>
      <w:r>
        <w:rPr>
          <w:rStyle w:val="big-number"/>
          <w:rFonts w:cs="Miriam"/>
          <w:rtl/>
        </w:rPr>
        <w:tab/>
      </w:r>
      <w:r>
        <w:rPr>
          <w:rStyle w:val="default"/>
          <w:rFonts w:cs="FrankRuehl"/>
          <w:rtl/>
        </w:rPr>
        <w:t>לת</w:t>
      </w:r>
      <w:r>
        <w:rPr>
          <w:rStyle w:val="default"/>
          <w:rFonts w:cs="FrankRuehl" w:hint="cs"/>
          <w:rtl/>
        </w:rPr>
        <w:t>קנות אלה ייקרא "תקנות התגמולים לנפגעי פעולות איבה (פיצוי בעת טיפול רפואי), תש"ל-</w:t>
      </w:r>
      <w:r>
        <w:rPr>
          <w:rStyle w:val="default"/>
          <w:rFonts w:cs="FrankRuehl"/>
          <w:rtl/>
        </w:rPr>
        <w:t>1970".</w:t>
      </w:r>
    </w:p>
    <w:p w14:paraId="36120567" w14:textId="77777777" w:rsidR="00433488" w:rsidRDefault="00433488">
      <w:pPr>
        <w:pStyle w:val="P00"/>
        <w:spacing w:before="72"/>
        <w:ind w:left="0" w:right="1134"/>
        <w:rPr>
          <w:rStyle w:val="default"/>
          <w:rFonts w:cs="FrankRuehl"/>
          <w:rtl/>
        </w:rPr>
      </w:pPr>
    </w:p>
    <w:p w14:paraId="6C660127" w14:textId="77777777" w:rsidR="00433488" w:rsidRDefault="00433488">
      <w:pPr>
        <w:pStyle w:val="sig-0"/>
        <w:ind w:left="0" w:right="1134"/>
        <w:rPr>
          <w:rFonts w:cs="FrankRuehl"/>
          <w:sz w:val="26"/>
          <w:rtl/>
        </w:rPr>
      </w:pPr>
      <w:r>
        <w:rPr>
          <w:rFonts w:cs="FrankRuehl"/>
          <w:sz w:val="26"/>
          <w:rtl/>
        </w:rPr>
        <w:t>כ"</w:t>
      </w:r>
      <w:r>
        <w:rPr>
          <w:rFonts w:cs="FrankRuehl" w:hint="cs"/>
          <w:sz w:val="26"/>
          <w:rtl/>
        </w:rPr>
        <w:t>ט באב תש"ל (31 באוגוסט 1970)</w:t>
      </w:r>
      <w:r>
        <w:rPr>
          <w:rFonts w:cs="FrankRuehl"/>
          <w:sz w:val="26"/>
          <w:rtl/>
        </w:rPr>
        <w:tab/>
        <w:t>י</w:t>
      </w:r>
      <w:r>
        <w:rPr>
          <w:rFonts w:cs="FrankRuehl" w:hint="cs"/>
          <w:sz w:val="26"/>
          <w:rtl/>
        </w:rPr>
        <w:t>וסף אלמוגי</w:t>
      </w:r>
    </w:p>
    <w:p w14:paraId="204732FA" w14:textId="77777777" w:rsidR="00433488" w:rsidRDefault="00433488">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העבודה</w:t>
      </w:r>
    </w:p>
    <w:p w14:paraId="667B5365" w14:textId="77777777" w:rsidR="00433488" w:rsidRDefault="00433488">
      <w:pPr>
        <w:pStyle w:val="P00"/>
        <w:spacing w:before="72"/>
        <w:ind w:left="0" w:right="1134"/>
        <w:rPr>
          <w:rStyle w:val="default"/>
          <w:rFonts w:cs="FrankRuehl" w:hint="cs"/>
          <w:rtl/>
        </w:rPr>
      </w:pPr>
    </w:p>
    <w:p w14:paraId="243B3AD6" w14:textId="77777777" w:rsidR="00433488" w:rsidRDefault="00433488">
      <w:pPr>
        <w:pStyle w:val="P00"/>
        <w:spacing w:before="72"/>
        <w:ind w:left="0" w:right="1134"/>
        <w:rPr>
          <w:rStyle w:val="default"/>
          <w:rFonts w:cs="FrankRuehl"/>
          <w:rtl/>
        </w:rPr>
      </w:pPr>
    </w:p>
    <w:p w14:paraId="0F4CE1DC" w14:textId="77777777" w:rsidR="00433488" w:rsidRDefault="00433488">
      <w:pPr>
        <w:pStyle w:val="P00"/>
        <w:spacing w:before="72"/>
        <w:ind w:left="0" w:right="1134"/>
        <w:rPr>
          <w:rStyle w:val="default"/>
          <w:rFonts w:cs="FrankRuehl"/>
          <w:rtl/>
        </w:rPr>
      </w:pPr>
      <w:bookmarkStart w:id="5" w:name="LawPartEnd"/>
    </w:p>
    <w:bookmarkEnd w:id="5"/>
    <w:p w14:paraId="13817EA8" w14:textId="77777777" w:rsidR="00433488" w:rsidRDefault="00433488">
      <w:pPr>
        <w:pStyle w:val="P00"/>
        <w:spacing w:before="72"/>
        <w:ind w:left="0" w:right="1134"/>
        <w:rPr>
          <w:rStyle w:val="default"/>
          <w:rFonts w:cs="FrankRuehl"/>
          <w:rtl/>
        </w:rPr>
      </w:pPr>
    </w:p>
    <w:sectPr w:rsidR="00433488">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AB0AF" w14:textId="77777777" w:rsidR="00943546" w:rsidRDefault="00943546">
      <w:r>
        <w:separator/>
      </w:r>
    </w:p>
  </w:endnote>
  <w:endnote w:type="continuationSeparator" w:id="0">
    <w:p w14:paraId="07054350" w14:textId="77777777" w:rsidR="00943546" w:rsidRDefault="00943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A4DF9" w14:textId="77777777" w:rsidR="00433488" w:rsidRDefault="0043348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67E4FBA" w14:textId="77777777" w:rsidR="00433488" w:rsidRDefault="0043348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6C57F98" w14:textId="77777777" w:rsidR="00433488" w:rsidRDefault="0043348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C:\Yael\hakika\Revadim\P229M2_005.doc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11454" w14:textId="77777777" w:rsidR="00433488" w:rsidRDefault="0043348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35139">
      <w:rPr>
        <w:rFonts w:hAnsi="FrankRuehl" w:cs="FrankRuehl"/>
        <w:noProof/>
        <w:sz w:val="24"/>
        <w:szCs w:val="24"/>
        <w:rtl/>
      </w:rPr>
      <w:t>2</w:t>
    </w:r>
    <w:r>
      <w:rPr>
        <w:rFonts w:hAnsi="FrankRuehl" w:cs="FrankRuehl"/>
        <w:sz w:val="24"/>
        <w:szCs w:val="24"/>
        <w:rtl/>
      </w:rPr>
      <w:fldChar w:fldCharType="end"/>
    </w:r>
  </w:p>
  <w:p w14:paraId="17959590" w14:textId="77777777" w:rsidR="00433488" w:rsidRDefault="0043348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0976DE2" w14:textId="77777777" w:rsidR="00433488" w:rsidRDefault="0043348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C:\Yael\hakika\Revadim\P229M2_005.doc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F6040" w14:textId="77777777" w:rsidR="00943546" w:rsidRDefault="00943546">
      <w:pPr>
        <w:spacing w:before="60" w:line="240" w:lineRule="auto"/>
        <w:ind w:right="1134"/>
      </w:pPr>
      <w:r>
        <w:separator/>
      </w:r>
    </w:p>
  </w:footnote>
  <w:footnote w:type="continuationSeparator" w:id="0">
    <w:p w14:paraId="439094FB" w14:textId="77777777" w:rsidR="00943546" w:rsidRDefault="00943546">
      <w:r>
        <w:continuationSeparator/>
      </w:r>
    </w:p>
  </w:footnote>
  <w:footnote w:id="1">
    <w:p w14:paraId="39C36556" w14:textId="77777777" w:rsidR="00433488" w:rsidRDefault="0043348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תש"ל מס' 2615</w:t>
        </w:r>
      </w:hyperlink>
      <w:r>
        <w:rPr>
          <w:rFonts w:cs="FrankRuehl" w:hint="cs"/>
          <w:rtl/>
        </w:rPr>
        <w:t xml:space="preserve"> מיום 17.9.1970 עמ' 2273.</w:t>
      </w:r>
    </w:p>
    <w:p w14:paraId="181356B5" w14:textId="77777777" w:rsidR="00433488" w:rsidRDefault="0043348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Pr>
            <w:rStyle w:val="Hyperlink"/>
            <w:rFonts w:cs="FrankRuehl" w:hint="cs"/>
            <w:rtl/>
          </w:rPr>
          <w:t>ק"ת תשל"א מס' 2</w:t>
        </w:r>
        <w:r>
          <w:rPr>
            <w:rStyle w:val="Hyperlink"/>
            <w:rFonts w:cs="FrankRuehl" w:hint="cs"/>
            <w:rtl/>
          </w:rPr>
          <w:t>7</w:t>
        </w:r>
        <w:r>
          <w:rPr>
            <w:rStyle w:val="Hyperlink"/>
            <w:rFonts w:cs="FrankRuehl" w:hint="cs"/>
            <w:rtl/>
          </w:rPr>
          <w:t>28</w:t>
        </w:r>
      </w:hyperlink>
      <w:r>
        <w:rPr>
          <w:rFonts w:cs="FrankRuehl" w:hint="cs"/>
          <w:rtl/>
        </w:rPr>
        <w:t xml:space="preserve"> מיום 12.8.1971 עמ' 1465 </w:t>
      </w:r>
      <w:r>
        <w:rPr>
          <w:rFonts w:cs="FrankRuehl"/>
          <w:rtl/>
        </w:rPr>
        <w:t>–</w:t>
      </w:r>
      <w:r>
        <w:rPr>
          <w:rFonts w:cs="FrankRuehl" w:hint="cs"/>
          <w:rtl/>
        </w:rPr>
        <w:t xml:space="preserve"> תק' תשל"א-1971.</w:t>
      </w:r>
    </w:p>
    <w:p w14:paraId="38F215A7" w14:textId="77777777" w:rsidR="00433488" w:rsidRDefault="0043348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Pr>
            <w:rStyle w:val="Hyperlink"/>
            <w:rFonts w:cs="FrankRuehl" w:hint="cs"/>
            <w:rtl/>
          </w:rPr>
          <w:t>ק</w:t>
        </w:r>
        <w:r>
          <w:rPr>
            <w:rStyle w:val="Hyperlink"/>
            <w:rFonts w:cs="FrankRuehl"/>
            <w:rtl/>
          </w:rPr>
          <w:t>"</w:t>
        </w:r>
        <w:r>
          <w:rPr>
            <w:rStyle w:val="Hyperlink"/>
            <w:rFonts w:cs="FrankRuehl" w:hint="cs"/>
            <w:rtl/>
          </w:rPr>
          <w:t>ת ת</w:t>
        </w:r>
        <w:r>
          <w:rPr>
            <w:rStyle w:val="Hyperlink"/>
            <w:rFonts w:cs="FrankRuehl" w:hint="cs"/>
            <w:rtl/>
          </w:rPr>
          <w:t>ש</w:t>
        </w:r>
        <w:r>
          <w:rPr>
            <w:rStyle w:val="Hyperlink"/>
            <w:rFonts w:cs="FrankRuehl" w:hint="cs"/>
            <w:rtl/>
          </w:rPr>
          <w:t>נ"ו מס' 5737</w:t>
        </w:r>
      </w:hyperlink>
      <w:r>
        <w:rPr>
          <w:rFonts w:cs="FrankRuehl" w:hint="cs"/>
          <w:rtl/>
        </w:rPr>
        <w:t xml:space="preserve"> מיום 22.2.1996 עמ' 583 </w:t>
      </w:r>
      <w:r>
        <w:rPr>
          <w:rFonts w:cs="FrankRuehl"/>
          <w:rtl/>
        </w:rPr>
        <w:t xml:space="preserve">– </w:t>
      </w:r>
      <w:r>
        <w:rPr>
          <w:rFonts w:cs="FrankRuehl" w:hint="cs"/>
          <w:rtl/>
        </w:rPr>
        <w:t>תק' תשנ"ו-</w:t>
      </w:r>
      <w:r>
        <w:rPr>
          <w:rFonts w:cs="FrankRuehl"/>
          <w:rtl/>
        </w:rPr>
        <w:t>1996.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324AB" w14:textId="77777777" w:rsidR="00433488" w:rsidRDefault="0043348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התגמולים לנפגעי פעולות איבה (פיצוי בעת טיפול רפואי), תש"ל–1970</w:t>
    </w:r>
  </w:p>
  <w:p w14:paraId="10F2A03F" w14:textId="77777777" w:rsidR="00433488" w:rsidRDefault="0043348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6FA488F" w14:textId="77777777" w:rsidR="00433488" w:rsidRDefault="0043348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70CC5" w14:textId="77777777" w:rsidR="00433488" w:rsidRDefault="0043348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התגמולים לנפגעי פעולות איבה (פיצוי בעת טיפול רפואי), תש"ל</w:t>
    </w:r>
    <w:r>
      <w:rPr>
        <w:rFonts w:hAnsi="FrankRuehl" w:cs="FrankRuehl" w:hint="cs"/>
        <w:color w:val="000000"/>
        <w:sz w:val="28"/>
        <w:szCs w:val="28"/>
        <w:rtl/>
      </w:rPr>
      <w:t>-</w:t>
    </w:r>
    <w:r>
      <w:rPr>
        <w:rFonts w:hAnsi="FrankRuehl" w:cs="FrankRuehl"/>
        <w:color w:val="000000"/>
        <w:sz w:val="28"/>
        <w:szCs w:val="28"/>
        <w:rtl/>
      </w:rPr>
      <w:t>1970</w:t>
    </w:r>
  </w:p>
  <w:p w14:paraId="2BD1C4C6" w14:textId="77777777" w:rsidR="00433488" w:rsidRDefault="0043348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976A64A" w14:textId="77777777" w:rsidR="00433488" w:rsidRDefault="0043348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5011"/>
    <w:rsid w:val="00197336"/>
    <w:rsid w:val="00433488"/>
    <w:rsid w:val="00943546"/>
    <w:rsid w:val="00B35139"/>
    <w:rsid w:val="00B5344E"/>
    <w:rsid w:val="00E1501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5A1F6B2"/>
  <w15:chartTrackingRefBased/>
  <w15:docId w15:val="{087275D1-10EE-4D7C-99D3-C6DC87B22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06/TAK-5737.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2728.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737.pdf" TargetMode="External"/><Relationship Id="rId2" Type="http://schemas.openxmlformats.org/officeDocument/2006/relationships/hyperlink" Target="http://www.nevo.co.il/Law_word/law06/TAK-2728.pdf" TargetMode="External"/><Relationship Id="rId1" Type="http://schemas.openxmlformats.org/officeDocument/2006/relationships/hyperlink" Target="http://www.nevo.co.il/Law_word/law06/TAK-261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פרק 2/229</vt:lpstr>
    </vt:vector>
  </TitlesOfParts>
  <Company/>
  <LinksUpToDate>false</LinksUpToDate>
  <CharactersWithSpaces>2535</CharactersWithSpaces>
  <SharedDoc>false</SharedDoc>
  <HLinks>
    <vt:vector size="54" baseType="variant">
      <vt:variant>
        <vt:i4>8323080</vt:i4>
      </vt:variant>
      <vt:variant>
        <vt:i4>27</vt:i4>
      </vt:variant>
      <vt:variant>
        <vt:i4>0</vt:i4>
      </vt:variant>
      <vt:variant>
        <vt:i4>5</vt:i4>
      </vt:variant>
      <vt:variant>
        <vt:lpwstr>http://www.nevo.co.il/Law_word/law06/TAK-5737.pdf</vt:lpwstr>
      </vt:variant>
      <vt:variant>
        <vt:lpwstr/>
      </vt:variant>
      <vt:variant>
        <vt:i4>7929863</vt:i4>
      </vt:variant>
      <vt:variant>
        <vt:i4>24</vt:i4>
      </vt:variant>
      <vt:variant>
        <vt:i4>0</vt:i4>
      </vt:variant>
      <vt:variant>
        <vt:i4>5</vt:i4>
      </vt:variant>
      <vt:variant>
        <vt:lpwstr>http://www.nevo.co.il/Law_word/law06/TAK-2728.pdf</vt:lpwstr>
      </vt:variant>
      <vt:variant>
        <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8323080</vt:i4>
      </vt:variant>
      <vt:variant>
        <vt:i4>6</vt:i4>
      </vt:variant>
      <vt:variant>
        <vt:i4>0</vt:i4>
      </vt:variant>
      <vt:variant>
        <vt:i4>5</vt:i4>
      </vt:variant>
      <vt:variant>
        <vt:lpwstr>http://www.nevo.co.il/Law_word/law06/TAK-5737.pdf</vt:lpwstr>
      </vt:variant>
      <vt:variant>
        <vt:lpwstr/>
      </vt:variant>
      <vt:variant>
        <vt:i4>7929863</vt:i4>
      </vt:variant>
      <vt:variant>
        <vt:i4>3</vt:i4>
      </vt:variant>
      <vt:variant>
        <vt:i4>0</vt:i4>
      </vt:variant>
      <vt:variant>
        <vt:i4>5</vt:i4>
      </vt:variant>
      <vt:variant>
        <vt:lpwstr>http://www.nevo.co.il/Law_word/law06/TAK-2728.pdf</vt:lpwstr>
      </vt:variant>
      <vt:variant>
        <vt:lpwstr/>
      </vt:variant>
      <vt:variant>
        <vt:i4>7995403</vt:i4>
      </vt:variant>
      <vt:variant>
        <vt:i4>0</vt:i4>
      </vt:variant>
      <vt:variant>
        <vt:i4>0</vt:i4>
      </vt:variant>
      <vt:variant>
        <vt:i4>5</vt:i4>
      </vt:variant>
      <vt:variant>
        <vt:lpwstr>http://www.nevo.co.il/Law_word/law06/TAK-2615.pdf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2/229</dc:title>
  <dc:subject/>
  <dc:creator>eli</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P229M2</vt:lpwstr>
  </property>
  <property fmtid="{D5CDD505-2E9C-101B-9397-08002B2CF9AE}" pid="3" name="CHNAME">
    <vt:lpwstr>תגמולים לנפגעי פעולות איבה</vt:lpwstr>
  </property>
  <property fmtid="{D5CDD505-2E9C-101B-9397-08002B2CF9AE}" pid="4" name="LAWNAME">
    <vt:lpwstr>תקנות התגמולים לנפגעי פעולות איבה (פיצוי בעת טיפול רפואי), תש"ל-1970</vt:lpwstr>
  </property>
  <property fmtid="{D5CDD505-2E9C-101B-9397-08002B2CF9AE}" pid="5" name="LAWNUMBER">
    <vt:lpwstr>0005</vt:lpwstr>
  </property>
  <property fmtid="{D5CDD505-2E9C-101B-9397-08002B2CF9AE}" pid="6" name="TYPE">
    <vt:lpwstr>01</vt:lpwstr>
  </property>
  <property fmtid="{D5CDD505-2E9C-101B-9397-08002B2CF9AE}" pid="7" name="NOSE11">
    <vt:lpwstr>בטחון</vt:lpwstr>
  </property>
  <property fmtid="{D5CDD505-2E9C-101B-9397-08002B2CF9AE}" pid="8" name="NOSE21">
    <vt:lpwstr>נפגעי פעולות איבה</vt:lpwstr>
  </property>
  <property fmtid="{D5CDD505-2E9C-101B-9397-08002B2CF9AE}" pid="9" name="NOSE31">
    <vt:lpwstr/>
  </property>
  <property fmtid="{D5CDD505-2E9C-101B-9397-08002B2CF9AE}" pid="10" name="NOSE41">
    <vt:lpwstr/>
  </property>
  <property fmtid="{D5CDD505-2E9C-101B-9397-08002B2CF9AE}" pid="11" name="NOSE12">
    <vt:lpwstr>ביטוח</vt:lpwstr>
  </property>
  <property fmtid="{D5CDD505-2E9C-101B-9397-08002B2CF9AE}" pid="12" name="NOSE22">
    <vt:lpwstr>ביטוח לאומי</vt:lpwstr>
  </property>
  <property fmtid="{D5CDD505-2E9C-101B-9397-08002B2CF9AE}" pid="13" name="NOSE32">
    <vt:lpwstr>תגמולים</vt:lpwstr>
  </property>
  <property fmtid="{D5CDD505-2E9C-101B-9397-08002B2CF9AE}" pid="14" name="NOSE42">
    <vt:lpwstr>נפגעי פעולות איבה</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התגמולים לנפגעי פעולות איבה</vt:lpwstr>
  </property>
  <property fmtid="{D5CDD505-2E9C-101B-9397-08002B2CF9AE}" pid="48" name="MEKOR_SAIF1">
    <vt:lpwstr>9X1X;21X</vt:lpwstr>
  </property>
</Properties>
</file>