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1A7" w:rsidRPr="006C51A7" w:rsidRDefault="006C51A7" w:rsidP="006C51A7">
      <w:pPr>
        <w:pStyle w:val="big-header"/>
        <w:ind w:left="0" w:right="1134"/>
        <w:rPr>
          <w:sz w:val="18"/>
          <w:szCs w:val="30"/>
          <w:rtl/>
        </w:rPr>
      </w:pPr>
      <w:r w:rsidRPr="006C51A7">
        <w:rPr>
          <w:sz w:val="18"/>
          <w:szCs w:val="30"/>
          <w:rtl/>
        </w:rPr>
        <w:t>בנין ערים – תכנון ובניה</w:t>
      </w:r>
    </w:p>
    <w:p w:rsidR="006C51A7" w:rsidRDefault="006C51A7" w:rsidP="006C51A7">
      <w:pPr>
        <w:pStyle w:val="a3"/>
        <w:spacing w:line="220" w:lineRule="exact"/>
        <w:ind w:left="0" w:right="1134"/>
        <w:jc w:val="center"/>
        <w:rPr>
          <w:rFonts w:hAnsi="FrankRuehl" w:hint="cs"/>
          <w:color w:val="000000"/>
          <w:sz w:val="28"/>
          <w:szCs w:val="28"/>
          <w:rtl/>
        </w:rPr>
      </w:pPr>
    </w:p>
    <w:p w:rsidR="006C51A7" w:rsidRDefault="006C51A7" w:rsidP="006C51A7">
      <w:pPr>
        <w:pStyle w:val="a3"/>
        <w:spacing w:line="220" w:lineRule="exact"/>
        <w:ind w:left="0" w:right="1134"/>
        <w:jc w:val="center"/>
        <w:rPr>
          <w:rFonts w:hAnsi="FrankRuehl"/>
          <w:color w:val="000000"/>
          <w:sz w:val="28"/>
          <w:szCs w:val="28"/>
          <w:rtl/>
        </w:rPr>
      </w:pPr>
      <w:r>
        <w:rPr>
          <w:rFonts w:hAnsi="FrankRuehl"/>
          <w:color w:val="000000"/>
          <w:sz w:val="28"/>
          <w:szCs w:val="28"/>
          <w:rtl/>
        </w:rPr>
        <w:t>תקנות התכנון והבניה (בקשה להיתר, תנאיו ואגרות), תש"ל-1970</w:t>
      </w:r>
    </w:p>
    <w:p w:rsidR="00F06221" w:rsidRDefault="00F06221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>
        <w:rPr>
          <w:rFonts w:cs="FrankRuehl" w:hint="cs"/>
          <w:color w:val="008000"/>
          <w:sz w:val="32"/>
          <w:rtl/>
        </w:rPr>
        <w:t>רבדים בחקיקה</w:t>
      </w:r>
    </w:p>
    <w:p w:rsidR="00F06221" w:rsidRDefault="00F06221">
      <w:pPr>
        <w:pStyle w:val="P00"/>
        <w:spacing w:before="72"/>
        <w:ind w:left="0" w:right="1134"/>
        <w:rPr>
          <w:rStyle w:val="default"/>
          <w:rFonts w:hint="cs"/>
          <w:sz w:val="22"/>
          <w:szCs w:val="22"/>
          <w:rtl/>
        </w:rPr>
      </w:pPr>
    </w:p>
    <w:p w:rsidR="00F06221" w:rsidRDefault="00D66D58" w:rsidP="006C51A7">
      <w:pPr>
        <w:pStyle w:val="P00"/>
        <w:spacing w:before="72"/>
        <w:ind w:left="0" w:right="1134"/>
        <w:jc w:val="center"/>
        <w:rPr>
          <w:rStyle w:val="default"/>
          <w:rFonts w:hint="cs"/>
          <w:sz w:val="28"/>
          <w:szCs w:val="28"/>
          <w:rtl/>
        </w:rPr>
      </w:pPr>
      <w:hyperlink r:id="rId7" w:history="1">
        <w:r w:rsidR="006C51A7" w:rsidRPr="00D66D58">
          <w:rPr>
            <w:rStyle w:val="Hyperlink"/>
            <w:rFonts w:cs="FrankRuehl" w:hint="cs"/>
            <w:sz w:val="28"/>
            <w:szCs w:val="28"/>
            <w:rtl/>
          </w:rPr>
          <w:t>לסעיפים 1 – התוספת הראשונה</w:t>
        </w:r>
        <w:r w:rsidRPr="00D66D58">
          <w:rPr>
            <w:rStyle w:val="Hyperlink"/>
            <w:rFonts w:cs="FrankRuehl" w:hint="cs"/>
            <w:sz w:val="28"/>
            <w:szCs w:val="28"/>
            <w:rtl/>
          </w:rPr>
          <w:t xml:space="preserve"> (כולל)</w:t>
        </w:r>
      </w:hyperlink>
    </w:p>
    <w:p w:rsidR="006C51A7" w:rsidRDefault="00D66D58" w:rsidP="00817263">
      <w:pPr>
        <w:pStyle w:val="P00"/>
        <w:spacing w:before="72"/>
        <w:ind w:left="0" w:right="1134"/>
        <w:jc w:val="center"/>
        <w:rPr>
          <w:rStyle w:val="default"/>
          <w:rFonts w:hint="cs"/>
          <w:sz w:val="28"/>
          <w:szCs w:val="28"/>
          <w:rtl/>
        </w:rPr>
      </w:pPr>
      <w:hyperlink r:id="rId8" w:history="1">
        <w:r w:rsidR="006C51A7" w:rsidRPr="00D66D58">
          <w:rPr>
            <w:rStyle w:val="Hyperlink"/>
            <w:rFonts w:cs="FrankRuehl" w:hint="cs"/>
            <w:sz w:val="28"/>
            <w:szCs w:val="28"/>
            <w:rtl/>
          </w:rPr>
          <w:t xml:space="preserve">לתוספת השנייה: </w:t>
        </w:r>
        <w:r w:rsidR="00E43853" w:rsidRPr="00D66D58">
          <w:rPr>
            <w:rStyle w:val="Hyperlink"/>
            <w:rFonts w:cs="FrankRuehl" w:hint="cs"/>
            <w:sz w:val="28"/>
            <w:szCs w:val="28"/>
            <w:rtl/>
          </w:rPr>
          <w:t xml:space="preserve">פרטים </w:t>
        </w:r>
        <w:r w:rsidR="00E43853" w:rsidRPr="00D66D58">
          <w:rPr>
            <w:rStyle w:val="Hyperlink"/>
            <w:rFonts w:cs="FrankRuehl"/>
            <w:sz w:val="22"/>
            <w:szCs w:val="28"/>
            <w:rtl/>
          </w:rPr>
          <w:t>1.01</w:t>
        </w:r>
        <w:r w:rsidR="00E43853" w:rsidRPr="00D66D58">
          <w:rPr>
            <w:rStyle w:val="Hyperlink"/>
            <w:rFonts w:cs="FrankRuehl" w:hint="cs"/>
            <w:sz w:val="22"/>
            <w:szCs w:val="28"/>
            <w:rtl/>
          </w:rPr>
          <w:t xml:space="preserve"> - </w:t>
        </w:r>
        <w:r w:rsidR="006C51A7" w:rsidRPr="00D66D58">
          <w:rPr>
            <w:rStyle w:val="Hyperlink"/>
            <w:rFonts w:cs="FrankRuehl" w:hint="cs"/>
            <w:sz w:val="28"/>
            <w:szCs w:val="28"/>
            <w:rtl/>
          </w:rPr>
          <w:t xml:space="preserve"> </w:t>
        </w:r>
        <w:r w:rsidR="006C51A7" w:rsidRPr="00D66D58">
          <w:rPr>
            <w:rStyle w:val="Hyperlink"/>
            <w:rFonts w:cs="FrankRuehl"/>
            <w:sz w:val="22"/>
            <w:szCs w:val="28"/>
            <w:rtl/>
          </w:rPr>
          <w:t>3.</w:t>
        </w:r>
        <w:r w:rsidR="006C51A7" w:rsidRPr="00D66D58">
          <w:rPr>
            <w:rStyle w:val="Hyperlink"/>
            <w:rFonts w:cs="FrankRuehl" w:hint="cs"/>
            <w:sz w:val="22"/>
            <w:szCs w:val="28"/>
            <w:rtl/>
          </w:rPr>
          <w:t>8.29.13</w:t>
        </w:r>
      </w:hyperlink>
    </w:p>
    <w:p w:rsidR="006C51A7" w:rsidRDefault="00D66D58" w:rsidP="00817263">
      <w:pPr>
        <w:pStyle w:val="P00"/>
        <w:spacing w:before="72"/>
        <w:ind w:left="0" w:right="1134"/>
        <w:jc w:val="center"/>
        <w:rPr>
          <w:rStyle w:val="default"/>
          <w:rFonts w:hint="cs"/>
          <w:sz w:val="28"/>
          <w:szCs w:val="28"/>
          <w:rtl/>
        </w:rPr>
      </w:pPr>
      <w:hyperlink r:id="rId9" w:history="1">
        <w:r w:rsidR="00817263">
          <w:rPr>
            <w:rStyle w:val="Hyperlink"/>
            <w:rFonts w:cs="FrankRuehl" w:hint="cs"/>
            <w:sz w:val="28"/>
            <w:szCs w:val="28"/>
            <w:rtl/>
          </w:rPr>
          <w:t>ל</w:t>
        </w:r>
        <w:r w:rsidR="00E43853" w:rsidRPr="00D66D58">
          <w:rPr>
            <w:rStyle w:val="Hyperlink"/>
            <w:rFonts w:cs="FrankRuehl" w:hint="cs"/>
            <w:sz w:val="28"/>
            <w:szCs w:val="28"/>
            <w:rtl/>
          </w:rPr>
          <w:t>פרט</w:t>
        </w:r>
        <w:r w:rsidR="00817263">
          <w:rPr>
            <w:rStyle w:val="Hyperlink"/>
            <w:rFonts w:cs="FrankRuehl" w:hint="cs"/>
            <w:sz w:val="28"/>
            <w:szCs w:val="28"/>
            <w:rtl/>
          </w:rPr>
          <w:t>ים</w:t>
        </w:r>
        <w:r w:rsidR="00E43853" w:rsidRPr="00D66D58">
          <w:rPr>
            <w:rStyle w:val="Hyperlink"/>
            <w:rFonts w:cs="FrankRuehl" w:hint="cs"/>
            <w:sz w:val="28"/>
            <w:szCs w:val="28"/>
            <w:rtl/>
          </w:rPr>
          <w:t xml:space="preserve"> </w:t>
        </w:r>
        <w:r w:rsidR="00E43853" w:rsidRPr="00D66D58">
          <w:rPr>
            <w:rStyle w:val="Hyperlink"/>
            <w:rFonts w:cs="FrankRuehl"/>
            <w:sz w:val="22"/>
            <w:szCs w:val="28"/>
            <w:rtl/>
          </w:rPr>
          <w:t>3.</w:t>
        </w:r>
        <w:r w:rsidR="00E43853" w:rsidRPr="00D66D58">
          <w:rPr>
            <w:rStyle w:val="Hyperlink"/>
            <w:rFonts w:cs="FrankRuehl" w:hint="cs"/>
            <w:sz w:val="22"/>
            <w:szCs w:val="28"/>
            <w:rtl/>
          </w:rPr>
          <w:t>9.1.1</w:t>
        </w:r>
        <w:r w:rsidR="006C51A7" w:rsidRPr="00D66D58">
          <w:rPr>
            <w:rStyle w:val="Hyperlink"/>
            <w:rFonts w:cs="FrankRuehl" w:hint="cs"/>
            <w:sz w:val="28"/>
            <w:szCs w:val="28"/>
            <w:rtl/>
          </w:rPr>
          <w:t xml:space="preserve"> –</w:t>
        </w:r>
        <w:r w:rsidR="00817263">
          <w:rPr>
            <w:rStyle w:val="Hyperlink"/>
            <w:rFonts w:cs="FrankRuehl" w:hint="cs"/>
            <w:sz w:val="22"/>
            <w:szCs w:val="28"/>
            <w:rtl/>
          </w:rPr>
          <w:t xml:space="preserve"> </w:t>
        </w:r>
        <w:r w:rsidR="006C51A7" w:rsidRPr="00D66D58">
          <w:rPr>
            <w:rStyle w:val="Hyperlink"/>
            <w:rFonts w:cs="FrankRuehl"/>
            <w:sz w:val="22"/>
            <w:szCs w:val="28"/>
            <w:rtl/>
          </w:rPr>
          <w:t>7.97.00</w:t>
        </w:r>
      </w:hyperlink>
    </w:p>
    <w:p w:rsidR="006C51A7" w:rsidRDefault="00D66D58" w:rsidP="00817263">
      <w:pPr>
        <w:pStyle w:val="P00"/>
        <w:spacing w:before="72"/>
        <w:ind w:left="0" w:right="1134"/>
        <w:jc w:val="center"/>
        <w:rPr>
          <w:rStyle w:val="default"/>
          <w:rFonts w:hint="cs"/>
          <w:sz w:val="22"/>
          <w:szCs w:val="28"/>
          <w:rtl/>
        </w:rPr>
      </w:pPr>
      <w:hyperlink r:id="rId10" w:history="1">
        <w:r w:rsidR="00E43853" w:rsidRPr="00D66D58">
          <w:rPr>
            <w:rStyle w:val="Hyperlink"/>
            <w:rFonts w:cs="FrankRuehl" w:hint="cs"/>
            <w:sz w:val="28"/>
            <w:szCs w:val="28"/>
            <w:rtl/>
          </w:rPr>
          <w:t>לפרט</w:t>
        </w:r>
        <w:r w:rsidR="00817263">
          <w:rPr>
            <w:rStyle w:val="Hyperlink"/>
            <w:rFonts w:cs="FrankRuehl" w:hint="cs"/>
            <w:sz w:val="28"/>
            <w:szCs w:val="28"/>
            <w:rtl/>
          </w:rPr>
          <w:t>ים</w:t>
        </w:r>
        <w:r w:rsidR="00E43853" w:rsidRPr="00D66D58">
          <w:rPr>
            <w:rStyle w:val="Hyperlink"/>
            <w:rFonts w:cs="FrankRuehl" w:hint="cs"/>
            <w:sz w:val="28"/>
            <w:szCs w:val="28"/>
            <w:rtl/>
          </w:rPr>
          <w:t xml:space="preserve"> </w:t>
        </w:r>
        <w:r w:rsidR="00E43853" w:rsidRPr="00D66D58">
          <w:rPr>
            <w:rStyle w:val="Hyperlink"/>
            <w:rFonts w:cs="FrankRuehl"/>
            <w:sz w:val="22"/>
            <w:szCs w:val="28"/>
            <w:rtl/>
          </w:rPr>
          <w:t>8.01</w:t>
        </w:r>
        <w:r w:rsidR="00E43853" w:rsidRPr="00D66D58">
          <w:rPr>
            <w:rStyle w:val="Hyperlink"/>
            <w:rFonts w:cs="FrankRuehl" w:hint="cs"/>
            <w:sz w:val="28"/>
            <w:szCs w:val="28"/>
            <w:rtl/>
          </w:rPr>
          <w:t xml:space="preserve"> –</w:t>
        </w:r>
        <w:r w:rsidR="00E43853" w:rsidRPr="00D66D58">
          <w:rPr>
            <w:rStyle w:val="Hyperlink"/>
            <w:rFonts w:cs="FrankRuehl"/>
            <w:sz w:val="22"/>
            <w:szCs w:val="28"/>
            <w:rtl/>
          </w:rPr>
          <w:t>16.10</w:t>
        </w:r>
        <w:r w:rsidR="00E43853" w:rsidRPr="00D66D58">
          <w:rPr>
            <w:rStyle w:val="Hyperlink"/>
            <w:rFonts w:cs="FrankRuehl" w:hint="cs"/>
            <w:sz w:val="22"/>
            <w:szCs w:val="28"/>
            <w:rtl/>
          </w:rPr>
          <w:t xml:space="preserve"> (כולל נספחים)</w:t>
        </w:r>
      </w:hyperlink>
    </w:p>
    <w:p w:rsidR="00E43853" w:rsidRDefault="00D66D58" w:rsidP="00711AC9">
      <w:pPr>
        <w:pStyle w:val="P00"/>
        <w:spacing w:before="72"/>
        <w:ind w:left="0" w:right="1134"/>
        <w:jc w:val="center"/>
        <w:rPr>
          <w:rStyle w:val="default"/>
          <w:rFonts w:hint="cs"/>
          <w:sz w:val="22"/>
          <w:szCs w:val="28"/>
          <w:rtl/>
        </w:rPr>
      </w:pPr>
      <w:hyperlink r:id="rId11" w:history="1">
        <w:r w:rsidRPr="00D66D58">
          <w:rPr>
            <w:rStyle w:val="Hyperlink"/>
            <w:rFonts w:cs="FrankRuehl" w:hint="cs"/>
            <w:sz w:val="28"/>
            <w:szCs w:val="28"/>
            <w:rtl/>
          </w:rPr>
          <w:t>ל</w:t>
        </w:r>
        <w:r w:rsidR="00711AC9">
          <w:rPr>
            <w:rStyle w:val="Hyperlink"/>
            <w:rFonts w:cs="FrankRuehl" w:hint="cs"/>
            <w:sz w:val="28"/>
            <w:szCs w:val="28"/>
            <w:rtl/>
          </w:rPr>
          <w:t xml:space="preserve">תוספת שנייה, </w:t>
        </w:r>
        <w:r w:rsidRPr="00D66D58">
          <w:rPr>
            <w:rStyle w:val="Hyperlink"/>
            <w:rFonts w:cs="FrankRuehl" w:hint="cs"/>
            <w:sz w:val="28"/>
            <w:szCs w:val="28"/>
            <w:rtl/>
          </w:rPr>
          <w:t xml:space="preserve">חלק יז' (פרט </w:t>
        </w:r>
        <w:r w:rsidRPr="00D66D58">
          <w:rPr>
            <w:rStyle w:val="Hyperlink"/>
            <w:rFonts w:cs="FrankRuehl"/>
            <w:sz w:val="22"/>
            <w:szCs w:val="28"/>
            <w:rtl/>
          </w:rPr>
          <w:t>17.00</w:t>
        </w:r>
        <w:r w:rsidRPr="00D66D58">
          <w:rPr>
            <w:rStyle w:val="Hyperlink"/>
            <w:rFonts w:cs="FrankRuehl" w:hint="cs"/>
            <w:sz w:val="22"/>
            <w:szCs w:val="28"/>
            <w:rtl/>
          </w:rPr>
          <w:t xml:space="preserve">) – </w:t>
        </w:r>
        <w:r w:rsidRPr="00D66D58">
          <w:rPr>
            <w:rStyle w:val="Hyperlink"/>
            <w:rFonts w:cs="FrankRuehl" w:hint="cs"/>
            <w:sz w:val="28"/>
            <w:szCs w:val="28"/>
            <w:rtl/>
          </w:rPr>
          <w:t xml:space="preserve">תוספת חמישית (פרט </w:t>
        </w:r>
        <w:r w:rsidRPr="00D66D58">
          <w:rPr>
            <w:rStyle w:val="Hyperlink"/>
            <w:rFonts w:cs="FrankRuehl" w:hint="cs"/>
            <w:sz w:val="22"/>
            <w:szCs w:val="28"/>
            <w:rtl/>
          </w:rPr>
          <w:t>12.01)</w:t>
        </w:r>
      </w:hyperlink>
    </w:p>
    <w:p w:rsidR="00D66D58" w:rsidRDefault="00D66D58" w:rsidP="006C51A7">
      <w:pPr>
        <w:pStyle w:val="P00"/>
        <w:spacing w:before="72"/>
        <w:ind w:left="0" w:right="1134"/>
        <w:jc w:val="center"/>
        <w:rPr>
          <w:rStyle w:val="default"/>
          <w:rFonts w:hint="cs"/>
          <w:sz w:val="28"/>
          <w:szCs w:val="28"/>
          <w:rtl/>
        </w:rPr>
      </w:pPr>
    </w:p>
    <w:p w:rsidR="006C51A7" w:rsidRDefault="006C51A7" w:rsidP="006C51A7">
      <w:pPr>
        <w:pStyle w:val="P00"/>
        <w:spacing w:before="72"/>
        <w:ind w:left="0" w:right="1134"/>
        <w:jc w:val="center"/>
        <w:rPr>
          <w:rStyle w:val="default"/>
          <w:rFonts w:hint="cs"/>
          <w:sz w:val="28"/>
          <w:szCs w:val="28"/>
          <w:rtl/>
        </w:rPr>
      </w:pPr>
    </w:p>
    <w:p w:rsidR="006C51A7" w:rsidRDefault="006C51A7" w:rsidP="006C51A7">
      <w:pPr>
        <w:pStyle w:val="P00"/>
        <w:spacing w:before="72"/>
        <w:ind w:left="0" w:right="1134"/>
        <w:jc w:val="center"/>
        <w:rPr>
          <w:rStyle w:val="default"/>
          <w:rFonts w:hint="cs"/>
          <w:sz w:val="28"/>
          <w:szCs w:val="28"/>
          <w:rtl/>
        </w:rPr>
      </w:pPr>
      <w:r>
        <w:rPr>
          <w:rStyle w:val="default"/>
          <w:rFonts w:hint="cs"/>
          <w:sz w:val="28"/>
          <w:szCs w:val="28"/>
          <w:rtl/>
        </w:rPr>
        <w:t xml:space="preserve">  </w:t>
      </w:r>
    </w:p>
    <w:p w:rsidR="006C51A7" w:rsidRPr="006C51A7" w:rsidRDefault="006C51A7" w:rsidP="006C51A7">
      <w:pPr>
        <w:pStyle w:val="P00"/>
        <w:spacing w:before="72"/>
        <w:ind w:left="0" w:right="1134"/>
        <w:jc w:val="center"/>
        <w:rPr>
          <w:rStyle w:val="default"/>
          <w:rFonts w:hint="cs"/>
          <w:sz w:val="28"/>
          <w:szCs w:val="28"/>
          <w:rtl/>
        </w:rPr>
      </w:pPr>
    </w:p>
    <w:p w:rsidR="00F06221" w:rsidRDefault="00F06221">
      <w:pPr>
        <w:pStyle w:val="P00"/>
        <w:spacing w:before="72"/>
        <w:ind w:left="0" w:right="1134"/>
        <w:rPr>
          <w:rStyle w:val="default"/>
          <w:rFonts w:hint="cs"/>
          <w:sz w:val="22"/>
          <w:szCs w:val="22"/>
          <w:rtl/>
        </w:rPr>
      </w:pPr>
    </w:p>
    <w:p w:rsidR="00F06221" w:rsidRDefault="00F06221">
      <w:pPr>
        <w:pStyle w:val="P00"/>
        <w:spacing w:before="72"/>
        <w:ind w:left="0" w:right="1134"/>
        <w:rPr>
          <w:rStyle w:val="default"/>
          <w:rFonts w:hint="cs"/>
          <w:sz w:val="22"/>
          <w:szCs w:val="22"/>
          <w:rtl/>
        </w:rPr>
      </w:pPr>
    </w:p>
    <w:sectPr w:rsidR="00F06221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cols w:space="709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6D10" w:rsidRDefault="005F6D10">
      <w:r>
        <w:separator/>
      </w:r>
    </w:p>
  </w:endnote>
  <w:endnote w:type="continuationSeparator" w:id="0">
    <w:p w:rsidR="005F6D10" w:rsidRDefault="005F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221" w:rsidRDefault="00F0622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06221" w:rsidRDefault="00F0622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06221" w:rsidRDefault="00F0622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Z:\000000000000-law\yael\07-12-31\P230_011-tafrit.doc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221" w:rsidRDefault="00F0622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E76CA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06221" w:rsidRDefault="00F0622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06221" w:rsidRDefault="00F0622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Z:\000000000000-law\yael\07-12-31\P230_011-tafrit.doc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6D10" w:rsidRDefault="005F6D1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F6D10" w:rsidRDefault="005F6D10">
      <w:pPr>
        <w:spacing w:before="60" w:line="240" w:lineRule="auto"/>
        <w:ind w:right="1134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221" w:rsidRDefault="00F0622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התעבורה, תשכ"א–1961</w:t>
    </w:r>
  </w:p>
  <w:p w:rsidR="00F06221" w:rsidRDefault="00F062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06221" w:rsidRDefault="00F062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51A7" w:rsidRPr="006C51A7" w:rsidRDefault="006C51A7" w:rsidP="006C51A7">
    <w:pPr>
      <w:pStyle w:val="a3"/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 w:rsidRPr="006C51A7">
      <w:rPr>
        <w:rFonts w:hAnsi="FrankRuehl"/>
        <w:color w:val="000000"/>
        <w:sz w:val="26"/>
        <w:szCs w:val="26"/>
        <w:rtl/>
      </w:rPr>
      <w:t>תקנות התכנון והבניה (בקשה להיתר, תנאיו ואגרות), תש"ל-1970</w:t>
    </w:r>
  </w:p>
  <w:p w:rsidR="00F06221" w:rsidRDefault="00F062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06221" w:rsidRDefault="00F0622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1B96"/>
    <w:multiLevelType w:val="hybridMultilevel"/>
    <w:tmpl w:val="BE8228E2"/>
    <w:lvl w:ilvl="0" w:tplc="F320B12E">
      <w:start w:val="551"/>
      <w:numFmt w:val="decimal"/>
      <w:lvlText w:val="%1."/>
      <w:lvlJc w:val="left"/>
      <w:pPr>
        <w:tabs>
          <w:tab w:val="num" w:pos="990"/>
        </w:tabs>
        <w:ind w:left="990" w:righ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 w16cid:durableId="173889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5122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389E"/>
    <w:rsid w:val="00303E77"/>
    <w:rsid w:val="00386E70"/>
    <w:rsid w:val="004D0979"/>
    <w:rsid w:val="005F6D10"/>
    <w:rsid w:val="006C51A7"/>
    <w:rsid w:val="00711AC9"/>
    <w:rsid w:val="00817263"/>
    <w:rsid w:val="008B389E"/>
    <w:rsid w:val="009469EA"/>
    <w:rsid w:val="00AE76CA"/>
    <w:rsid w:val="00D66D58"/>
    <w:rsid w:val="00E43853"/>
    <w:rsid w:val="00E968D6"/>
    <w:rsid w:val="00EB2579"/>
    <w:rsid w:val="00F0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 fill="f" fillcolor="white" stroke="f">
      <v:fill color="white" on="f"/>
      <v:stroke on="f"/>
      <v:textbox inset="1mm,0,1mm,0"/>
    </o:shapedefaults>
    <o:shapelayout v:ext="edit">
      <o:idmap v:ext="edit" data="1,2,4"/>
    </o:shapelayout>
  </w:shapeDefaults>
  <w:decimalSymbol w:val="."/>
  <w:listSeparator w:val=","/>
  <w15:chartTrackingRefBased/>
  <w15:docId w15:val="{0086EF89-2FEA-4C67-8F62-62751B1F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FrankRuehl"/>
      <w:sz w:val="20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big-number">
    <w:name w:val="big-number"/>
    <w:basedOn w:val="default"/>
    <w:rPr>
      <w:rFonts w:ascii="Times New Roman" w:hAnsi="Times New Roman" w:cs="FrankRuehl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semiHidden/>
    <w:rPr>
      <w:rFonts w:ascii="Times New Roman" w:hAnsi="Times New Roman" w:cs="Times New Roman"/>
      <w:sz w:val="22"/>
      <w:szCs w:val="22"/>
      <w:vertAlign w:val="superscript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1/044_046b.doc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1/044_046a.doc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1/044_046e.do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1/044_046d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1/044_046c.do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230</vt:lpstr>
    </vt:vector>
  </TitlesOfParts>
  <Company/>
  <LinksUpToDate>false</LinksUpToDate>
  <CharactersWithSpaces>631</CharactersWithSpaces>
  <SharedDoc>false</SharedDoc>
  <HLinks>
    <vt:vector size="30" baseType="variant">
      <vt:variant>
        <vt:i4>6815850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http://www.nevo.co.il/Law_word/law01/044_046e.doc</vt:lpwstr>
      </vt:variant>
      <vt:variant>
        <vt:lpwstr/>
      </vt:variant>
      <vt:variant>
        <vt:i4>6815851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http://www.nevo.co.il/Law_word/law01/044_046d.doc</vt:lpwstr>
      </vt:variant>
      <vt:variant>
        <vt:lpwstr/>
      </vt:variant>
      <vt:variant>
        <vt:i4>6815852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http://www.nevo.co.il/Law_word/law01/044_046c.doc</vt:lpwstr>
      </vt:variant>
      <vt:variant>
        <vt:lpwstr/>
      </vt:variant>
      <vt:variant>
        <vt:i4>6815853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http://www.nevo.co.il/Law_word/law01/044_046b.doc</vt:lpwstr>
      </vt:variant>
      <vt:variant>
        <vt:lpwstr/>
      </vt:variant>
      <vt:variant>
        <vt:i4>6815854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http://www.nevo.co.il/Law_word/law01/044_046a.doc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230</dc:title>
  <dc:subject/>
  <dc:creator>comp99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P230</vt:lpwstr>
  </property>
  <property fmtid="{D5CDD505-2E9C-101B-9397-08002B2CF9AE}" pid="3" name="CHNAME">
    <vt:lpwstr>בנין ערים – תכנון ובניה</vt:lpwstr>
  </property>
  <property fmtid="{D5CDD505-2E9C-101B-9397-08002B2CF9AE}" pid="4" name="LAWNAME">
    <vt:lpwstr>תקנות התכנון והבניה (בקשה להיתר, תנאיו ואגרות), תש"ל-1970 - רבדים</vt:lpwstr>
  </property>
  <property fmtid="{D5CDD505-2E9C-101B-9397-08002B2CF9AE}" pid="5" name="LAWNUMBER">
    <vt:lpwstr>0011a</vt:lpwstr>
  </property>
  <property fmtid="{D5CDD505-2E9C-101B-9397-08002B2CF9AE}" pid="6" name="TYPE">
    <vt:lpwstr>01</vt:lpwstr>
  </property>
  <property fmtid="{D5CDD505-2E9C-101B-9397-08002B2CF9AE}" pid="7" name="LINKK8">
    <vt:lpwstr/>
  </property>
  <property fmtid="{D5CDD505-2E9C-101B-9397-08002B2CF9AE}" pid="8" name="LINKK9">
    <vt:lpwstr/>
  </property>
  <property fmtid="{D5CDD505-2E9C-101B-9397-08002B2CF9AE}" pid="9" name="LINKK10">
    <vt:lpwstr/>
  </property>
  <property fmtid="{D5CDD505-2E9C-101B-9397-08002B2CF9AE}" pid="10" name="DATE">
    <vt:lpwstr/>
  </property>
  <property fmtid="{D5CDD505-2E9C-101B-9397-08002B2CF9AE}" pid="11" name="HEBDATE">
    <vt:lpwstr/>
  </property>
  <property fmtid="{D5CDD505-2E9C-101B-9397-08002B2CF9AE}" pid="12" name="SEFER">
    <vt:lpwstr/>
  </property>
  <property fmtid="{D5CDD505-2E9C-101B-9397-08002B2CF9AE}" pid="13" name="LAWDATE">
    <vt:lpwstr/>
  </property>
  <property fmtid="{D5CDD505-2E9C-101B-9397-08002B2CF9AE}" pid="14" name="LAWHEBDATE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JUDGE">
    <vt:lpwstr/>
  </property>
  <property fmtid="{D5CDD505-2E9C-101B-9397-08002B2CF9AE}" pid="21" name="LAWYER">
    <vt:lpwstr/>
  </property>
  <property fmtid="{D5CDD505-2E9C-101B-9397-08002B2CF9AE}" pid="22" name="APPELLANT">
    <vt:lpwstr/>
  </property>
  <property fmtid="{D5CDD505-2E9C-101B-9397-08002B2CF9AE}" pid="23" name="APPELLEE">
    <vt:lpwstr/>
  </property>
  <property fmtid="{D5CDD505-2E9C-101B-9397-08002B2CF9AE}" pid="24" name="PROCESS">
    <vt:lpwstr/>
  </property>
  <property fmtid="{D5CDD505-2E9C-101B-9397-08002B2CF9AE}" pid="25" name="PROCNUM">
    <vt:lpwstr/>
  </property>
  <property fmtid="{D5CDD505-2E9C-101B-9397-08002B2CF9AE}" pid="26" name="PROCYEAR">
    <vt:lpwstr/>
  </property>
  <property fmtid="{D5CDD505-2E9C-101B-9397-08002B2CF9AE}" pid="27" name="CITY">
    <vt:lpwstr/>
  </property>
  <property fmtid="{D5CDD505-2E9C-101B-9397-08002B2CF9AE}" pid="28" name="PSAKDIN">
    <vt:lpwstr/>
  </property>
  <property fmtid="{D5CDD505-2E9C-101B-9397-08002B2CF9AE}" pid="29" name="VOLUME">
    <vt:lpwstr/>
  </property>
  <property fmtid="{D5CDD505-2E9C-101B-9397-08002B2CF9AE}" pid="30" name="PART">
    <vt:lpwstr/>
  </property>
  <property fmtid="{D5CDD505-2E9C-101B-9397-08002B2CF9AE}" pid="31" name="PAGE">
    <vt:lpwstr/>
  </property>
  <property fmtid="{D5CDD505-2E9C-101B-9397-08002B2CF9AE}" pid="32" name="PADIMAIL">
    <vt:lpwstr/>
  </property>
  <property fmtid="{D5CDD505-2E9C-101B-9397-08002B2CF9AE}" pid="33" name="LINKK1">
    <vt:lpwstr/>
  </property>
  <property fmtid="{D5CDD505-2E9C-101B-9397-08002B2CF9AE}" pid="34" name="LINKK2">
    <vt:lpwstr/>
  </property>
  <property fmtid="{D5CDD505-2E9C-101B-9397-08002B2CF9AE}" pid="35" name="LINKK3">
    <vt:lpwstr/>
  </property>
  <property fmtid="{D5CDD505-2E9C-101B-9397-08002B2CF9AE}" pid="36" name="LINKK4">
    <vt:lpwstr/>
  </property>
  <property fmtid="{D5CDD505-2E9C-101B-9397-08002B2CF9AE}" pid="37" name="LINKK5">
    <vt:lpwstr/>
  </property>
  <property fmtid="{D5CDD505-2E9C-101B-9397-08002B2CF9AE}" pid="38" name="LINKK6">
    <vt:lpwstr/>
  </property>
  <property fmtid="{D5CDD505-2E9C-101B-9397-08002B2CF9AE}" pid="39" name="LINKK7">
    <vt:lpwstr/>
  </property>
  <property fmtid="{D5CDD505-2E9C-101B-9397-08002B2CF9AE}" pid="40" name="MEKORSAMCHUT">
    <vt:lpwstr/>
  </property>
</Properties>
</file>