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9C3538" w:rsidP="008713AF">
      <w:pPr>
        <w:pStyle w:val="big-header"/>
        <w:ind w:left="0" w:right="1134"/>
        <w:rPr>
          <w:rFonts w:cs="FrankRuehl"/>
          <w:sz w:val="32"/>
        </w:rPr>
      </w:pPr>
      <w:r>
        <w:rPr>
          <w:rFonts w:cs="FrankRuehl" w:hint="cs"/>
          <w:sz w:val="32"/>
          <w:rtl/>
        </w:rPr>
        <w:t>תקנות התכנון והבניה (סדרי דין בבקשה לפי סעיף 207 לחוק), תשס"ט-2008</w:t>
      </w:r>
    </w:p>
    <w:p w:rsidR="006C3EF3" w:rsidRPr="006C3EF3" w:rsidRDefault="006C3EF3" w:rsidP="006C3EF3">
      <w:pPr>
        <w:spacing w:line="320" w:lineRule="auto"/>
        <w:rPr>
          <w:rFonts w:cs="FrankRuehl"/>
          <w:szCs w:val="26"/>
          <w:rtl/>
        </w:rPr>
      </w:pPr>
    </w:p>
    <w:p w:rsidR="006C3EF3" w:rsidRDefault="006C3EF3" w:rsidP="006C3EF3">
      <w:pPr>
        <w:spacing w:line="320" w:lineRule="auto"/>
        <w:rPr>
          <w:rtl/>
        </w:rPr>
      </w:pPr>
    </w:p>
    <w:p w:rsidR="006C3EF3" w:rsidRPr="006C3EF3" w:rsidRDefault="006C3EF3" w:rsidP="006C3EF3">
      <w:pPr>
        <w:spacing w:line="320" w:lineRule="auto"/>
        <w:rPr>
          <w:rFonts w:cs="Miriam"/>
          <w:szCs w:val="22"/>
          <w:rtl/>
        </w:rPr>
      </w:pPr>
      <w:r w:rsidRPr="006C3EF3">
        <w:rPr>
          <w:rFonts w:cs="Miriam"/>
          <w:szCs w:val="22"/>
          <w:rtl/>
        </w:rPr>
        <w:t>רשויות ומשפט מנהלי</w:t>
      </w:r>
      <w:r w:rsidRPr="006C3EF3">
        <w:rPr>
          <w:rFonts w:cs="FrankRuehl"/>
          <w:szCs w:val="26"/>
          <w:rtl/>
        </w:rPr>
        <w:t xml:space="preserve"> – תכנון ובניה – סדרי דין</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81A53" w:rsidRPr="00E81A53">
        <w:tblPrEx>
          <w:tblCellMar>
            <w:top w:w="0" w:type="dxa"/>
            <w:bottom w:w="0" w:type="dxa"/>
          </w:tblCellMar>
        </w:tblPrEx>
        <w:tc>
          <w:tcPr>
            <w:tcW w:w="1247" w:type="dxa"/>
          </w:tcPr>
          <w:p w:rsidR="00E81A53" w:rsidRPr="00E81A53" w:rsidRDefault="00E81A53" w:rsidP="00E81A53">
            <w:pPr>
              <w:rPr>
                <w:rFonts w:cs="Frankruhel" w:hint="cs"/>
                <w:rtl/>
              </w:rPr>
            </w:pPr>
            <w:r>
              <w:rPr>
                <w:rtl/>
              </w:rPr>
              <w:t xml:space="preserve">סעיף 1 </w:t>
            </w:r>
          </w:p>
        </w:tc>
        <w:tc>
          <w:tcPr>
            <w:tcW w:w="5669" w:type="dxa"/>
          </w:tcPr>
          <w:p w:rsidR="00E81A53" w:rsidRPr="00E81A53" w:rsidRDefault="00E81A53" w:rsidP="00E81A53">
            <w:pPr>
              <w:rPr>
                <w:rFonts w:cs="Frankruhel" w:hint="cs"/>
                <w:rtl/>
              </w:rPr>
            </w:pPr>
            <w:r>
              <w:rPr>
                <w:rtl/>
              </w:rPr>
              <w:t>הגדרות</w:t>
            </w:r>
          </w:p>
        </w:tc>
        <w:tc>
          <w:tcPr>
            <w:tcW w:w="567" w:type="dxa"/>
          </w:tcPr>
          <w:p w:rsidR="00E81A53" w:rsidRPr="00E81A53" w:rsidRDefault="00E81A53" w:rsidP="00E81A53">
            <w:pPr>
              <w:rPr>
                <w:rStyle w:val="Hyperlink"/>
                <w:rFonts w:hint="cs"/>
                <w:rtl/>
              </w:rPr>
            </w:pPr>
            <w:hyperlink w:anchor="Seif1" w:tooltip="הגדרות" w:history="1">
              <w:r w:rsidRPr="00E81A53">
                <w:rPr>
                  <w:rStyle w:val="Hyperlink"/>
                </w:rPr>
                <w:t>Go</w:t>
              </w:r>
            </w:hyperlink>
          </w:p>
        </w:tc>
        <w:tc>
          <w:tcPr>
            <w:tcW w:w="850" w:type="dxa"/>
          </w:tcPr>
          <w:p w:rsidR="00E81A53" w:rsidRPr="00E81A53" w:rsidRDefault="00E81A53" w:rsidP="00E81A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81A53" w:rsidRPr="00E81A53">
        <w:tblPrEx>
          <w:tblCellMar>
            <w:top w:w="0" w:type="dxa"/>
            <w:bottom w:w="0" w:type="dxa"/>
          </w:tblCellMar>
        </w:tblPrEx>
        <w:tc>
          <w:tcPr>
            <w:tcW w:w="1247" w:type="dxa"/>
          </w:tcPr>
          <w:p w:rsidR="00E81A53" w:rsidRPr="00E81A53" w:rsidRDefault="00E81A53" w:rsidP="00E81A53">
            <w:pPr>
              <w:rPr>
                <w:rFonts w:cs="Frankruhel" w:hint="cs"/>
                <w:rtl/>
              </w:rPr>
            </w:pPr>
            <w:r>
              <w:rPr>
                <w:rtl/>
              </w:rPr>
              <w:t xml:space="preserve">סעיף 2 </w:t>
            </w:r>
          </w:p>
        </w:tc>
        <w:tc>
          <w:tcPr>
            <w:tcW w:w="5669" w:type="dxa"/>
          </w:tcPr>
          <w:p w:rsidR="00E81A53" w:rsidRPr="00E81A53" w:rsidRDefault="00E81A53" w:rsidP="00E81A53">
            <w:pPr>
              <w:rPr>
                <w:rFonts w:cs="Frankruhel" w:hint="cs"/>
                <w:rtl/>
              </w:rPr>
            </w:pPr>
            <w:r>
              <w:rPr>
                <w:rtl/>
              </w:rPr>
              <w:t>הגשת הבקשה</w:t>
            </w:r>
          </w:p>
        </w:tc>
        <w:tc>
          <w:tcPr>
            <w:tcW w:w="567" w:type="dxa"/>
          </w:tcPr>
          <w:p w:rsidR="00E81A53" w:rsidRPr="00E81A53" w:rsidRDefault="00E81A53" w:rsidP="00E81A53">
            <w:pPr>
              <w:rPr>
                <w:rStyle w:val="Hyperlink"/>
                <w:rFonts w:hint="cs"/>
                <w:rtl/>
              </w:rPr>
            </w:pPr>
            <w:hyperlink w:anchor="Seif2" w:tooltip="הגשת הבקשה" w:history="1">
              <w:r w:rsidRPr="00E81A53">
                <w:rPr>
                  <w:rStyle w:val="Hyperlink"/>
                </w:rPr>
                <w:t>Go</w:t>
              </w:r>
            </w:hyperlink>
          </w:p>
        </w:tc>
        <w:tc>
          <w:tcPr>
            <w:tcW w:w="850" w:type="dxa"/>
          </w:tcPr>
          <w:p w:rsidR="00E81A53" w:rsidRPr="00E81A53" w:rsidRDefault="00E81A53" w:rsidP="00E81A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81A53" w:rsidRPr="00E81A53">
        <w:tblPrEx>
          <w:tblCellMar>
            <w:top w:w="0" w:type="dxa"/>
            <w:bottom w:w="0" w:type="dxa"/>
          </w:tblCellMar>
        </w:tblPrEx>
        <w:tc>
          <w:tcPr>
            <w:tcW w:w="1247" w:type="dxa"/>
          </w:tcPr>
          <w:p w:rsidR="00E81A53" w:rsidRPr="00E81A53" w:rsidRDefault="00E81A53" w:rsidP="00E81A53">
            <w:pPr>
              <w:rPr>
                <w:rFonts w:cs="Frankruhel" w:hint="cs"/>
                <w:rtl/>
              </w:rPr>
            </w:pPr>
            <w:r>
              <w:rPr>
                <w:rtl/>
              </w:rPr>
              <w:t xml:space="preserve">סעיף 3 </w:t>
            </w:r>
          </w:p>
        </w:tc>
        <w:tc>
          <w:tcPr>
            <w:tcW w:w="5669" w:type="dxa"/>
          </w:tcPr>
          <w:p w:rsidR="00E81A53" w:rsidRPr="00E81A53" w:rsidRDefault="00E81A53" w:rsidP="00E81A53">
            <w:pPr>
              <w:rPr>
                <w:rFonts w:cs="Frankruhel" w:hint="cs"/>
                <w:rtl/>
              </w:rPr>
            </w:pPr>
            <w:r>
              <w:rPr>
                <w:rtl/>
              </w:rPr>
              <w:t>תגובת המשיב לבקשה</w:t>
            </w:r>
          </w:p>
        </w:tc>
        <w:tc>
          <w:tcPr>
            <w:tcW w:w="567" w:type="dxa"/>
          </w:tcPr>
          <w:p w:rsidR="00E81A53" w:rsidRPr="00E81A53" w:rsidRDefault="00E81A53" w:rsidP="00E81A53">
            <w:pPr>
              <w:rPr>
                <w:rStyle w:val="Hyperlink"/>
                <w:rFonts w:hint="cs"/>
                <w:rtl/>
              </w:rPr>
            </w:pPr>
            <w:hyperlink w:anchor="Seif3" w:tooltip="תגובת המשיב לבקשה" w:history="1">
              <w:r w:rsidRPr="00E81A53">
                <w:rPr>
                  <w:rStyle w:val="Hyperlink"/>
                </w:rPr>
                <w:t>Go</w:t>
              </w:r>
            </w:hyperlink>
          </w:p>
        </w:tc>
        <w:tc>
          <w:tcPr>
            <w:tcW w:w="850" w:type="dxa"/>
          </w:tcPr>
          <w:p w:rsidR="00E81A53" w:rsidRPr="00E81A53" w:rsidRDefault="00E81A53" w:rsidP="00E81A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E81A53" w:rsidRPr="00E81A53">
        <w:tblPrEx>
          <w:tblCellMar>
            <w:top w:w="0" w:type="dxa"/>
            <w:bottom w:w="0" w:type="dxa"/>
          </w:tblCellMar>
        </w:tblPrEx>
        <w:tc>
          <w:tcPr>
            <w:tcW w:w="1247" w:type="dxa"/>
          </w:tcPr>
          <w:p w:rsidR="00E81A53" w:rsidRPr="00E81A53" w:rsidRDefault="00E81A53" w:rsidP="00E81A53">
            <w:pPr>
              <w:rPr>
                <w:rFonts w:cs="Frankruhel" w:hint="cs"/>
                <w:rtl/>
              </w:rPr>
            </w:pPr>
            <w:r>
              <w:rPr>
                <w:rtl/>
              </w:rPr>
              <w:t xml:space="preserve">סעיף 4 </w:t>
            </w:r>
          </w:p>
        </w:tc>
        <w:tc>
          <w:tcPr>
            <w:tcW w:w="5669" w:type="dxa"/>
          </w:tcPr>
          <w:p w:rsidR="00E81A53" w:rsidRPr="00E81A53" w:rsidRDefault="00E81A53" w:rsidP="00E81A53">
            <w:pPr>
              <w:rPr>
                <w:rFonts w:cs="Frankruhel" w:hint="cs"/>
                <w:rtl/>
              </w:rPr>
            </w:pPr>
            <w:r>
              <w:rPr>
                <w:rtl/>
              </w:rPr>
              <w:t>הדיון בבקשה</w:t>
            </w:r>
          </w:p>
        </w:tc>
        <w:tc>
          <w:tcPr>
            <w:tcW w:w="567" w:type="dxa"/>
          </w:tcPr>
          <w:p w:rsidR="00E81A53" w:rsidRPr="00E81A53" w:rsidRDefault="00E81A53" w:rsidP="00E81A53">
            <w:pPr>
              <w:rPr>
                <w:rStyle w:val="Hyperlink"/>
                <w:rFonts w:hint="cs"/>
                <w:rtl/>
              </w:rPr>
            </w:pPr>
            <w:hyperlink w:anchor="Seif4" w:tooltip="הדיון בבקשה" w:history="1">
              <w:r w:rsidRPr="00E81A53">
                <w:rPr>
                  <w:rStyle w:val="Hyperlink"/>
                </w:rPr>
                <w:t>Go</w:t>
              </w:r>
            </w:hyperlink>
          </w:p>
        </w:tc>
        <w:tc>
          <w:tcPr>
            <w:tcW w:w="850" w:type="dxa"/>
          </w:tcPr>
          <w:p w:rsidR="00E81A53" w:rsidRPr="00E81A53" w:rsidRDefault="00E81A53" w:rsidP="00E81A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E81A53" w:rsidRPr="00E81A53">
        <w:tblPrEx>
          <w:tblCellMar>
            <w:top w:w="0" w:type="dxa"/>
            <w:bottom w:w="0" w:type="dxa"/>
          </w:tblCellMar>
        </w:tblPrEx>
        <w:tc>
          <w:tcPr>
            <w:tcW w:w="1247" w:type="dxa"/>
          </w:tcPr>
          <w:p w:rsidR="00E81A53" w:rsidRPr="00E81A53" w:rsidRDefault="00E81A53" w:rsidP="00E81A53">
            <w:pPr>
              <w:rPr>
                <w:rFonts w:cs="Frankruhel" w:hint="cs"/>
                <w:rtl/>
              </w:rPr>
            </w:pPr>
            <w:r>
              <w:rPr>
                <w:rtl/>
              </w:rPr>
              <w:t xml:space="preserve">סעיף 5 </w:t>
            </w:r>
          </w:p>
        </w:tc>
        <w:tc>
          <w:tcPr>
            <w:tcW w:w="5669" w:type="dxa"/>
          </w:tcPr>
          <w:p w:rsidR="00E81A53" w:rsidRPr="00E81A53" w:rsidRDefault="00E81A53" w:rsidP="00E81A53">
            <w:pPr>
              <w:rPr>
                <w:rFonts w:cs="Frankruhel" w:hint="cs"/>
                <w:rtl/>
              </w:rPr>
            </w:pPr>
            <w:r>
              <w:rPr>
                <w:rtl/>
              </w:rPr>
              <w:t>הודעת החלטה</w:t>
            </w:r>
          </w:p>
        </w:tc>
        <w:tc>
          <w:tcPr>
            <w:tcW w:w="567" w:type="dxa"/>
          </w:tcPr>
          <w:p w:rsidR="00E81A53" w:rsidRPr="00E81A53" w:rsidRDefault="00E81A53" w:rsidP="00E81A53">
            <w:pPr>
              <w:rPr>
                <w:rStyle w:val="Hyperlink"/>
                <w:rFonts w:hint="cs"/>
                <w:rtl/>
              </w:rPr>
            </w:pPr>
            <w:hyperlink w:anchor="Seif5" w:tooltip="הודעת החלטה" w:history="1">
              <w:r w:rsidRPr="00E81A53">
                <w:rPr>
                  <w:rStyle w:val="Hyperlink"/>
                </w:rPr>
                <w:t>Go</w:t>
              </w:r>
            </w:hyperlink>
          </w:p>
        </w:tc>
        <w:tc>
          <w:tcPr>
            <w:tcW w:w="850" w:type="dxa"/>
          </w:tcPr>
          <w:p w:rsidR="00E81A53" w:rsidRPr="00E81A53" w:rsidRDefault="00E81A53" w:rsidP="00E81A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E81A53" w:rsidRPr="00E81A53">
        <w:tblPrEx>
          <w:tblCellMar>
            <w:top w:w="0" w:type="dxa"/>
            <w:bottom w:w="0" w:type="dxa"/>
          </w:tblCellMar>
        </w:tblPrEx>
        <w:tc>
          <w:tcPr>
            <w:tcW w:w="1247" w:type="dxa"/>
          </w:tcPr>
          <w:p w:rsidR="00E81A53" w:rsidRPr="00E81A53" w:rsidRDefault="00E81A53" w:rsidP="00E81A53">
            <w:pPr>
              <w:rPr>
                <w:rFonts w:cs="Frankruhel" w:hint="cs"/>
                <w:rtl/>
              </w:rPr>
            </w:pPr>
            <w:r>
              <w:rPr>
                <w:rtl/>
              </w:rPr>
              <w:t xml:space="preserve">סעיף 6 </w:t>
            </w:r>
          </w:p>
        </w:tc>
        <w:tc>
          <w:tcPr>
            <w:tcW w:w="5669" w:type="dxa"/>
          </w:tcPr>
          <w:p w:rsidR="00E81A53" w:rsidRPr="00E81A53" w:rsidRDefault="00E81A53" w:rsidP="00E81A53">
            <w:pPr>
              <w:rPr>
                <w:rFonts w:cs="Frankruhel" w:hint="cs"/>
                <w:rtl/>
              </w:rPr>
            </w:pPr>
            <w:r>
              <w:rPr>
                <w:rtl/>
              </w:rPr>
              <w:t>אי עמידה בתקנות</w:t>
            </w:r>
          </w:p>
        </w:tc>
        <w:tc>
          <w:tcPr>
            <w:tcW w:w="567" w:type="dxa"/>
          </w:tcPr>
          <w:p w:rsidR="00E81A53" w:rsidRPr="00E81A53" w:rsidRDefault="00E81A53" w:rsidP="00E81A53">
            <w:pPr>
              <w:rPr>
                <w:rStyle w:val="Hyperlink"/>
                <w:rFonts w:hint="cs"/>
                <w:rtl/>
              </w:rPr>
            </w:pPr>
            <w:hyperlink w:anchor="Seif6" w:tooltip="אי עמידה בתקנות" w:history="1">
              <w:r w:rsidRPr="00E81A53">
                <w:rPr>
                  <w:rStyle w:val="Hyperlink"/>
                </w:rPr>
                <w:t>Go</w:t>
              </w:r>
            </w:hyperlink>
          </w:p>
        </w:tc>
        <w:tc>
          <w:tcPr>
            <w:tcW w:w="850" w:type="dxa"/>
          </w:tcPr>
          <w:p w:rsidR="00E81A53" w:rsidRPr="00E81A53" w:rsidRDefault="00E81A53" w:rsidP="00E81A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E81A53" w:rsidRPr="00E81A53">
        <w:tblPrEx>
          <w:tblCellMar>
            <w:top w:w="0" w:type="dxa"/>
            <w:bottom w:w="0" w:type="dxa"/>
          </w:tblCellMar>
        </w:tblPrEx>
        <w:tc>
          <w:tcPr>
            <w:tcW w:w="1247" w:type="dxa"/>
          </w:tcPr>
          <w:p w:rsidR="00E81A53" w:rsidRPr="00E81A53" w:rsidRDefault="00E81A53" w:rsidP="00E81A53">
            <w:pPr>
              <w:rPr>
                <w:rFonts w:cs="Frankruhel" w:hint="cs"/>
                <w:rtl/>
              </w:rPr>
            </w:pPr>
            <w:r>
              <w:rPr>
                <w:rtl/>
              </w:rPr>
              <w:t xml:space="preserve">סעיף 7 </w:t>
            </w:r>
          </w:p>
        </w:tc>
        <w:tc>
          <w:tcPr>
            <w:tcW w:w="5669" w:type="dxa"/>
          </w:tcPr>
          <w:p w:rsidR="00E81A53" w:rsidRPr="00E81A53" w:rsidRDefault="00E81A53" w:rsidP="00E81A53">
            <w:pPr>
              <w:rPr>
                <w:rFonts w:cs="Frankruhel" w:hint="cs"/>
                <w:rtl/>
              </w:rPr>
            </w:pPr>
            <w:r>
              <w:rPr>
                <w:rtl/>
              </w:rPr>
              <w:t>בקשה להארכת מועד במסגרת הליכי ערעור</w:t>
            </w:r>
          </w:p>
        </w:tc>
        <w:tc>
          <w:tcPr>
            <w:tcW w:w="567" w:type="dxa"/>
          </w:tcPr>
          <w:p w:rsidR="00E81A53" w:rsidRPr="00E81A53" w:rsidRDefault="00E81A53" w:rsidP="00E81A53">
            <w:pPr>
              <w:rPr>
                <w:rStyle w:val="Hyperlink"/>
                <w:rFonts w:hint="cs"/>
                <w:rtl/>
              </w:rPr>
            </w:pPr>
            <w:hyperlink w:anchor="Seif7" w:tooltip="בקשה להארכת מועד במסגרת הליכי ערעור" w:history="1">
              <w:r w:rsidRPr="00E81A53">
                <w:rPr>
                  <w:rStyle w:val="Hyperlink"/>
                </w:rPr>
                <w:t>Go</w:t>
              </w:r>
            </w:hyperlink>
          </w:p>
        </w:tc>
        <w:tc>
          <w:tcPr>
            <w:tcW w:w="850" w:type="dxa"/>
          </w:tcPr>
          <w:p w:rsidR="00E81A53" w:rsidRPr="00E81A53" w:rsidRDefault="00E81A53" w:rsidP="00E81A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E81A53" w:rsidRPr="00E81A53">
        <w:tblPrEx>
          <w:tblCellMar>
            <w:top w:w="0" w:type="dxa"/>
            <w:bottom w:w="0" w:type="dxa"/>
          </w:tblCellMar>
        </w:tblPrEx>
        <w:tc>
          <w:tcPr>
            <w:tcW w:w="1247" w:type="dxa"/>
          </w:tcPr>
          <w:p w:rsidR="00E81A53" w:rsidRPr="00E81A53" w:rsidRDefault="00E81A53" w:rsidP="00E81A53">
            <w:pPr>
              <w:rPr>
                <w:rFonts w:cs="Frankruhel" w:hint="cs"/>
                <w:rtl/>
              </w:rPr>
            </w:pPr>
            <w:r>
              <w:rPr>
                <w:rtl/>
              </w:rPr>
              <w:t xml:space="preserve">סעיף 8 </w:t>
            </w:r>
          </w:p>
        </w:tc>
        <w:tc>
          <w:tcPr>
            <w:tcW w:w="5669" w:type="dxa"/>
          </w:tcPr>
          <w:p w:rsidR="00E81A53" w:rsidRPr="00E81A53" w:rsidRDefault="00E81A53" w:rsidP="00E81A53">
            <w:pPr>
              <w:rPr>
                <w:rFonts w:cs="Frankruhel" w:hint="cs"/>
                <w:rtl/>
              </w:rPr>
            </w:pPr>
            <w:r>
              <w:rPr>
                <w:rtl/>
              </w:rPr>
              <w:t>תחילה</w:t>
            </w:r>
          </w:p>
        </w:tc>
        <w:tc>
          <w:tcPr>
            <w:tcW w:w="567" w:type="dxa"/>
          </w:tcPr>
          <w:p w:rsidR="00E81A53" w:rsidRPr="00E81A53" w:rsidRDefault="00E81A53" w:rsidP="00E81A53">
            <w:pPr>
              <w:rPr>
                <w:rStyle w:val="Hyperlink"/>
                <w:rFonts w:hint="cs"/>
                <w:rtl/>
              </w:rPr>
            </w:pPr>
            <w:hyperlink w:anchor="Seif8" w:tooltip="תחילה" w:history="1">
              <w:r w:rsidRPr="00E81A53">
                <w:rPr>
                  <w:rStyle w:val="Hyperlink"/>
                </w:rPr>
                <w:t>Go</w:t>
              </w:r>
            </w:hyperlink>
          </w:p>
        </w:tc>
        <w:tc>
          <w:tcPr>
            <w:tcW w:w="850" w:type="dxa"/>
          </w:tcPr>
          <w:p w:rsidR="00E81A53" w:rsidRPr="00E81A53" w:rsidRDefault="00E81A53" w:rsidP="00E81A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6C3EF3">
      <w:pPr>
        <w:pStyle w:val="big-header"/>
        <w:ind w:left="0" w:right="1134"/>
        <w:rPr>
          <w:rStyle w:val="default"/>
          <w:rFonts w:hint="cs"/>
          <w:sz w:val="22"/>
          <w:szCs w:val="22"/>
          <w:rtl/>
        </w:rPr>
      </w:pPr>
      <w:r>
        <w:rPr>
          <w:rFonts w:cs="FrankRuehl"/>
          <w:sz w:val="32"/>
          <w:rtl/>
        </w:rPr>
        <w:br w:type="page"/>
      </w:r>
      <w:r w:rsidR="009C3538">
        <w:rPr>
          <w:rFonts w:cs="FrankRuehl" w:hint="cs"/>
          <w:sz w:val="32"/>
          <w:rtl/>
        </w:rPr>
        <w:lastRenderedPageBreak/>
        <w:t>תקנות התכנון והבניה (סדרי דין בבקשה לפי סעיף 207 לחוק), תשס"ט-2008</w:t>
      </w:r>
      <w:r>
        <w:rPr>
          <w:rStyle w:val="default"/>
          <w:sz w:val="22"/>
          <w:szCs w:val="22"/>
          <w:rtl/>
        </w:rPr>
        <w:footnoteReference w:customMarkFollows="1" w:id="1"/>
        <w:t>*</w:t>
      </w:r>
    </w:p>
    <w:p w:rsidR="00852F43" w:rsidRDefault="009C3538" w:rsidP="009C3538">
      <w:pPr>
        <w:pStyle w:val="P00"/>
        <w:spacing w:before="72"/>
        <w:ind w:left="0" w:right="1134"/>
        <w:rPr>
          <w:rStyle w:val="default"/>
          <w:rFonts w:cs="FrankRuehl" w:hint="cs"/>
          <w:rtl/>
        </w:rPr>
      </w:pPr>
      <w:r>
        <w:rPr>
          <w:rStyle w:val="default"/>
          <w:rFonts w:cs="FrankRuehl" w:hint="cs"/>
          <w:rtl/>
        </w:rPr>
        <w:tab/>
        <w:t xml:space="preserve">בתוקף סמכותי לפי סעיף 268 לחוק התכנון והבניה, התשכ"ה-1965 (להלן </w:t>
      </w:r>
      <w:r>
        <w:rPr>
          <w:rStyle w:val="default"/>
          <w:rFonts w:cs="FrankRuehl"/>
          <w:rtl/>
        </w:rPr>
        <w:t>–</w:t>
      </w:r>
      <w:r>
        <w:rPr>
          <w:rStyle w:val="default"/>
          <w:rFonts w:cs="FrankRuehl" w:hint="cs"/>
          <w:rtl/>
        </w:rPr>
        <w:t xml:space="preserve"> החוק), אני מתקין תקנות אלה:</w:t>
      </w:r>
    </w:p>
    <w:p w:rsidR="00852F43" w:rsidRDefault="00852F43" w:rsidP="00AF567B">
      <w:pPr>
        <w:pStyle w:val="P00"/>
        <w:spacing w:before="72"/>
        <w:ind w:left="0" w:right="1134"/>
        <w:rPr>
          <w:rStyle w:val="default"/>
          <w:rFonts w:cs="FrankRuehl" w:hint="cs"/>
          <w:rtl/>
        </w:rPr>
      </w:pPr>
      <w:bookmarkStart w:id="0" w:name="Seif1"/>
      <w:bookmarkEnd w:id="0"/>
      <w:r>
        <w:rPr>
          <w:rFonts w:cs="Miriam"/>
          <w:lang w:val="he-IL"/>
        </w:rPr>
        <w:pict>
          <v:rect id="_x0000_s1708" style="position:absolute;left:0;text-align:left;margin-left:463.5pt;margin-top:8.05pt;width:75.05pt;height:10pt;z-index:251654144" filled="f" stroked="f" strokecolor="lime" strokeweight=".25pt">
            <v:textbox style="mso-next-textbox:#_x0000_s1708" inset="1mm,0,1mm,0">
              <w:txbxContent>
                <w:p w:rsidR="00852F43" w:rsidRDefault="009C3538" w:rsidP="00852F4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F567B">
        <w:rPr>
          <w:rStyle w:val="default"/>
          <w:rFonts w:cs="FrankRuehl" w:hint="cs"/>
          <w:rtl/>
        </w:rPr>
        <w:t xml:space="preserve">בתקנות אלה </w:t>
      </w:r>
      <w:r w:rsidR="00AF567B">
        <w:rPr>
          <w:rStyle w:val="default"/>
          <w:rFonts w:cs="FrankRuehl"/>
          <w:rtl/>
        </w:rPr>
        <w:t>–</w:t>
      </w:r>
    </w:p>
    <w:p w:rsidR="00AF567B" w:rsidRDefault="00AF567B" w:rsidP="00AF567B">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לפי סעיף 207 לחוק להארכת מועד לביצוע הצו;</w:t>
      </w:r>
    </w:p>
    <w:p w:rsidR="00AF567B" w:rsidRDefault="00AF567B" w:rsidP="00AF567B">
      <w:pPr>
        <w:pStyle w:val="P00"/>
        <w:spacing w:before="72"/>
        <w:ind w:left="0" w:right="1134"/>
        <w:rPr>
          <w:rStyle w:val="default"/>
          <w:rFonts w:cs="FrankRuehl" w:hint="cs"/>
          <w:rtl/>
        </w:rPr>
      </w:pPr>
      <w:r>
        <w:rPr>
          <w:rStyle w:val="default"/>
          <w:rFonts w:cs="FrankRuehl" w:hint="cs"/>
          <w:rtl/>
        </w:rPr>
        <w:tab/>
        <w:t xml:space="preserve">"הצו" </w:t>
      </w:r>
      <w:r>
        <w:rPr>
          <w:rStyle w:val="default"/>
          <w:rFonts w:cs="FrankRuehl"/>
          <w:rtl/>
        </w:rPr>
        <w:t>–</w:t>
      </w:r>
      <w:r>
        <w:rPr>
          <w:rStyle w:val="default"/>
          <w:rFonts w:cs="FrankRuehl" w:hint="cs"/>
          <w:rtl/>
        </w:rPr>
        <w:t xml:space="preserve"> צו לפי סעיף 205 או 206 לחוק.</w:t>
      </w:r>
    </w:p>
    <w:p w:rsidR="008D2E6D" w:rsidRDefault="008D2E6D" w:rsidP="00AF567B">
      <w:pPr>
        <w:pStyle w:val="P00"/>
        <w:spacing w:before="72"/>
        <w:ind w:left="0" w:right="1134"/>
        <w:rPr>
          <w:rStyle w:val="default"/>
          <w:rFonts w:cs="FrankRuehl" w:hint="cs"/>
          <w:rtl/>
        </w:rPr>
      </w:pPr>
      <w:bookmarkStart w:id="1" w:name="Seif2"/>
      <w:bookmarkEnd w:id="1"/>
      <w:r>
        <w:rPr>
          <w:rFonts w:cs="Miriam"/>
          <w:lang w:val="he-IL"/>
        </w:rPr>
        <w:pict>
          <v:rect id="_x0000_s1709" style="position:absolute;left:0;text-align:left;margin-left:463.5pt;margin-top:8.05pt;width:75.05pt;height:10pt;z-index:251655168" filled="f" stroked="f" strokecolor="lime" strokeweight=".25pt">
            <v:textbox style="mso-next-textbox:#_x0000_s1709" inset="1mm,0,1mm,0">
              <w:txbxContent>
                <w:p w:rsidR="008D2E6D" w:rsidRDefault="00AF567B" w:rsidP="008D2E6D">
                  <w:pPr>
                    <w:spacing w:line="160" w:lineRule="exact"/>
                    <w:rPr>
                      <w:rFonts w:cs="Miriam" w:hint="cs"/>
                      <w:noProof/>
                      <w:sz w:val="18"/>
                      <w:szCs w:val="18"/>
                      <w:rtl/>
                    </w:rPr>
                  </w:pPr>
                  <w:r>
                    <w:rPr>
                      <w:rFonts w:cs="Miriam" w:hint="cs"/>
                      <w:sz w:val="18"/>
                      <w:szCs w:val="18"/>
                      <w:rtl/>
                    </w:rPr>
                    <w:t>הגשת הבקשה</w:t>
                  </w:r>
                </w:p>
              </w:txbxContent>
            </v:textbox>
            <w10:anchorlock/>
          </v:rect>
        </w:pict>
      </w:r>
      <w:r w:rsidR="00AF567B">
        <w:rPr>
          <w:rStyle w:val="big-number"/>
          <w:rFonts w:cs="Miriam" w:hint="cs"/>
          <w:rtl/>
        </w:rPr>
        <w:t>2</w:t>
      </w:r>
      <w:r>
        <w:rPr>
          <w:rStyle w:val="big-number"/>
          <w:rFonts w:cs="FrankRuehl"/>
          <w:sz w:val="26"/>
          <w:szCs w:val="26"/>
          <w:rtl/>
        </w:rPr>
        <w:t>.</w:t>
      </w:r>
      <w:r>
        <w:rPr>
          <w:rStyle w:val="big-number"/>
          <w:rFonts w:cs="FrankRuehl"/>
          <w:sz w:val="26"/>
          <w:szCs w:val="26"/>
          <w:rtl/>
        </w:rPr>
        <w:tab/>
      </w:r>
      <w:r w:rsidR="00AF567B">
        <w:rPr>
          <w:rStyle w:val="default"/>
          <w:rFonts w:cs="FrankRuehl" w:hint="cs"/>
          <w:rtl/>
        </w:rPr>
        <w:t>(א)</w:t>
      </w:r>
      <w:r w:rsidR="00AF567B">
        <w:rPr>
          <w:rStyle w:val="default"/>
          <w:rFonts w:cs="FrankRuehl" w:hint="cs"/>
          <w:rtl/>
        </w:rPr>
        <w:tab/>
        <w:t>בקשה תוגש בכתב לפי הטופס שבתוספת לבית המשפט שנתן את הצו, לא יאוחר מעשרים ואחד ימים לפני המועד האחרון שנקבע לביצועו.</w:t>
      </w:r>
    </w:p>
    <w:p w:rsidR="00AF567B" w:rsidRDefault="00AF567B" w:rsidP="00AF56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הבקשה תפרט באופן מלא את כל ההליכים המינהליים והמשפטיים, בכל הערכאות, בעניין הבניה או השימוש שאליהם מתייחס הצו, ויצורפו אליה העתקים של כל הצווים, פסקי הדין וההחלטות הנוגעים לעניין.</w:t>
      </w:r>
    </w:p>
    <w:p w:rsidR="00AF567B" w:rsidRDefault="00AF567B" w:rsidP="00AF56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הבקשה תיתמך בתצהיר לאימות העובדות העומדות בבסיסה; בקשה הכוללת טענות עובדתיות בדבר שינוי במצב התכנוני שנעשה ביוזמת המבקש, או בדבר קיומם של הליכי תכנון או רישוי תלויים ועומדים, תיתמך גם בתצהיר של איש המקצוע המטפל בהליכים אלה, ויצורפו אליו העתקים מהמסמכים הנוגעים לעניין.</w:t>
      </w:r>
    </w:p>
    <w:p w:rsidR="008D2E6D" w:rsidRDefault="008D2E6D" w:rsidP="00AF567B">
      <w:pPr>
        <w:pStyle w:val="P00"/>
        <w:spacing w:before="72"/>
        <w:ind w:left="0" w:right="1134"/>
        <w:rPr>
          <w:rStyle w:val="default"/>
          <w:rFonts w:cs="FrankRuehl" w:hint="cs"/>
          <w:rtl/>
        </w:rPr>
      </w:pPr>
      <w:bookmarkStart w:id="2" w:name="Seif3"/>
      <w:bookmarkEnd w:id="2"/>
      <w:r>
        <w:rPr>
          <w:rFonts w:cs="Miriam"/>
          <w:lang w:val="he-IL"/>
        </w:rPr>
        <w:pict>
          <v:rect id="_x0000_s1710" style="position:absolute;left:0;text-align:left;margin-left:463.5pt;margin-top:8.05pt;width:75.05pt;height:20.75pt;z-index:251656192" filled="f" stroked="f" strokecolor="lime" strokeweight=".25pt">
            <v:textbox style="mso-next-textbox:#_x0000_s1710" inset="1mm,0,1mm,0">
              <w:txbxContent>
                <w:p w:rsidR="008D2E6D" w:rsidRDefault="00AF567B" w:rsidP="008D2E6D">
                  <w:pPr>
                    <w:spacing w:line="160" w:lineRule="exact"/>
                    <w:rPr>
                      <w:rFonts w:cs="Miriam" w:hint="cs"/>
                      <w:noProof/>
                      <w:sz w:val="18"/>
                      <w:szCs w:val="18"/>
                      <w:rtl/>
                    </w:rPr>
                  </w:pPr>
                  <w:r>
                    <w:rPr>
                      <w:rFonts w:cs="Miriam" w:hint="cs"/>
                      <w:sz w:val="18"/>
                      <w:szCs w:val="18"/>
                      <w:rtl/>
                    </w:rPr>
                    <w:t>תגובת המשיב לבקשה</w:t>
                  </w:r>
                </w:p>
              </w:txbxContent>
            </v:textbox>
            <w10:anchorlock/>
          </v:rect>
        </w:pict>
      </w:r>
      <w:r w:rsidR="00AF567B">
        <w:rPr>
          <w:rStyle w:val="big-number"/>
          <w:rFonts w:cs="Miriam" w:hint="cs"/>
          <w:rtl/>
        </w:rPr>
        <w:t>3</w:t>
      </w:r>
      <w:r>
        <w:rPr>
          <w:rStyle w:val="big-number"/>
          <w:rFonts w:cs="FrankRuehl"/>
          <w:sz w:val="26"/>
          <w:szCs w:val="26"/>
          <w:rtl/>
        </w:rPr>
        <w:t>.</w:t>
      </w:r>
      <w:r>
        <w:rPr>
          <w:rStyle w:val="big-number"/>
          <w:rFonts w:cs="FrankRuehl"/>
          <w:sz w:val="26"/>
          <w:szCs w:val="26"/>
          <w:rtl/>
        </w:rPr>
        <w:tab/>
      </w:r>
      <w:r w:rsidR="00AF567B">
        <w:rPr>
          <w:rStyle w:val="default"/>
          <w:rFonts w:cs="FrankRuehl" w:hint="cs"/>
          <w:rtl/>
        </w:rPr>
        <w:t>לבקשה תצורף תגובה בכתב של המשיב לבקשה</w:t>
      </w:r>
      <w:r w:rsidR="002D7CDB">
        <w:rPr>
          <w:rStyle w:val="default"/>
          <w:rFonts w:cs="FrankRuehl" w:hint="cs"/>
          <w:rtl/>
        </w:rPr>
        <w:t>.</w:t>
      </w:r>
    </w:p>
    <w:p w:rsidR="008D2E6D" w:rsidRDefault="008D2E6D" w:rsidP="00AF567B">
      <w:pPr>
        <w:pStyle w:val="P00"/>
        <w:spacing w:before="72"/>
        <w:ind w:left="0" w:right="1134"/>
        <w:rPr>
          <w:rStyle w:val="default"/>
          <w:rFonts w:cs="FrankRuehl" w:hint="cs"/>
          <w:rtl/>
        </w:rPr>
      </w:pPr>
      <w:bookmarkStart w:id="3" w:name="Seif4"/>
      <w:bookmarkEnd w:id="3"/>
      <w:r>
        <w:rPr>
          <w:rFonts w:cs="Miriam"/>
          <w:lang w:val="he-IL"/>
        </w:rPr>
        <w:pict>
          <v:rect id="_x0000_s1711" style="position:absolute;left:0;text-align:left;margin-left:463.5pt;margin-top:8.05pt;width:75.05pt;height:10pt;z-index:251657216" filled="f" stroked="f" strokecolor="lime" strokeweight=".25pt">
            <v:textbox style="mso-next-textbox:#_x0000_s1711" inset="1mm,0,1mm,0">
              <w:txbxContent>
                <w:p w:rsidR="008D2E6D" w:rsidRDefault="00AF567B" w:rsidP="008D2E6D">
                  <w:pPr>
                    <w:spacing w:line="160" w:lineRule="exact"/>
                    <w:rPr>
                      <w:rFonts w:cs="Miriam" w:hint="cs"/>
                      <w:noProof/>
                      <w:sz w:val="18"/>
                      <w:szCs w:val="18"/>
                      <w:rtl/>
                    </w:rPr>
                  </w:pPr>
                  <w:r>
                    <w:rPr>
                      <w:rFonts w:cs="Miriam" w:hint="cs"/>
                      <w:sz w:val="18"/>
                      <w:szCs w:val="18"/>
                      <w:rtl/>
                    </w:rPr>
                    <w:t>הדיון בבקשה</w:t>
                  </w:r>
                </w:p>
              </w:txbxContent>
            </v:textbox>
            <w10:anchorlock/>
          </v:rect>
        </w:pict>
      </w:r>
      <w:r w:rsidR="00AF567B">
        <w:rPr>
          <w:rStyle w:val="big-number"/>
          <w:rFonts w:cs="Miriam" w:hint="cs"/>
          <w:rtl/>
        </w:rPr>
        <w:t>4</w:t>
      </w:r>
      <w:r>
        <w:rPr>
          <w:rStyle w:val="big-number"/>
          <w:rFonts w:cs="FrankRuehl"/>
          <w:sz w:val="26"/>
          <w:szCs w:val="26"/>
          <w:rtl/>
        </w:rPr>
        <w:t>.</w:t>
      </w:r>
      <w:r>
        <w:rPr>
          <w:rStyle w:val="big-number"/>
          <w:rFonts w:cs="FrankRuehl"/>
          <w:sz w:val="26"/>
          <w:szCs w:val="26"/>
          <w:rtl/>
        </w:rPr>
        <w:tab/>
      </w:r>
      <w:r w:rsidR="00AF567B">
        <w:rPr>
          <w:rStyle w:val="default"/>
          <w:rFonts w:cs="FrankRuehl" w:hint="cs"/>
          <w:rtl/>
        </w:rPr>
        <w:t>(א)</w:t>
      </w:r>
      <w:r w:rsidR="00AF567B">
        <w:rPr>
          <w:rStyle w:val="default"/>
          <w:rFonts w:cs="FrankRuehl" w:hint="cs"/>
          <w:rtl/>
        </w:rPr>
        <w:tab/>
        <w:t>בית המשפט רשאי, לאחר שעיין בבקשה, לקבוע שאין היא מצריכה דיון במעמד הצדדים, וייתן לגביה החלטה מנומקת בכתב.</w:t>
      </w:r>
    </w:p>
    <w:p w:rsidR="00AF567B" w:rsidRDefault="00AF567B" w:rsidP="00AF56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בית המשפט שהבקשה מצריכה דיון במעמד הצדדים, יקבע את הדיון, ככל שניתן, באופן שלא יביא לביטול או לדחיה של המועד המתוכנון לביצוע הצו.</w:t>
      </w:r>
    </w:p>
    <w:p w:rsidR="008D2E6D" w:rsidRDefault="008D2E6D" w:rsidP="00AF567B">
      <w:pPr>
        <w:pStyle w:val="P00"/>
        <w:spacing w:before="72"/>
        <w:ind w:left="0" w:right="1134"/>
        <w:rPr>
          <w:rStyle w:val="default"/>
          <w:rFonts w:cs="FrankRuehl" w:hint="cs"/>
          <w:rtl/>
        </w:rPr>
      </w:pPr>
      <w:bookmarkStart w:id="4" w:name="Seif5"/>
      <w:bookmarkEnd w:id="4"/>
      <w:r>
        <w:rPr>
          <w:rFonts w:cs="Miriam"/>
          <w:lang w:val="he-IL"/>
        </w:rPr>
        <w:pict>
          <v:rect id="_x0000_s1712" style="position:absolute;left:0;text-align:left;margin-left:463.5pt;margin-top:8.05pt;width:75.05pt;height:10pt;z-index:251658240" filled="f" stroked="f" strokecolor="lime" strokeweight=".25pt">
            <v:textbox style="mso-next-textbox:#_x0000_s1712" inset="1mm,0,1mm,0">
              <w:txbxContent>
                <w:p w:rsidR="008D2E6D" w:rsidRDefault="00AF567B" w:rsidP="008D2E6D">
                  <w:pPr>
                    <w:spacing w:line="160" w:lineRule="exact"/>
                    <w:rPr>
                      <w:rFonts w:cs="Miriam" w:hint="cs"/>
                      <w:noProof/>
                      <w:sz w:val="18"/>
                      <w:szCs w:val="18"/>
                      <w:rtl/>
                    </w:rPr>
                  </w:pPr>
                  <w:r>
                    <w:rPr>
                      <w:rFonts w:cs="Miriam" w:hint="cs"/>
                      <w:sz w:val="18"/>
                      <w:szCs w:val="18"/>
                      <w:rtl/>
                    </w:rPr>
                    <w:t>הודעת החלטה</w:t>
                  </w:r>
                </w:p>
              </w:txbxContent>
            </v:textbox>
            <w10:anchorlock/>
          </v:rect>
        </w:pict>
      </w:r>
      <w:r w:rsidR="00AF567B">
        <w:rPr>
          <w:rStyle w:val="big-number"/>
          <w:rFonts w:cs="Miriam" w:hint="cs"/>
          <w:rtl/>
        </w:rPr>
        <w:t>5</w:t>
      </w:r>
      <w:r>
        <w:rPr>
          <w:rStyle w:val="big-number"/>
          <w:rFonts w:cs="FrankRuehl"/>
          <w:sz w:val="26"/>
          <w:szCs w:val="26"/>
          <w:rtl/>
        </w:rPr>
        <w:t>.</w:t>
      </w:r>
      <w:r>
        <w:rPr>
          <w:rStyle w:val="big-number"/>
          <w:rFonts w:cs="FrankRuehl"/>
          <w:sz w:val="26"/>
          <w:szCs w:val="26"/>
          <w:rtl/>
        </w:rPr>
        <w:tab/>
      </w:r>
      <w:r w:rsidR="00AF567B">
        <w:rPr>
          <w:rStyle w:val="default"/>
          <w:rFonts w:cs="FrankRuehl" w:hint="cs"/>
          <w:rtl/>
        </w:rPr>
        <w:t>החלטת בית המשפט בבקשה תומצא לצדדים בדואר או בכל דרך אחרת שיורה בית המשפט.</w:t>
      </w:r>
    </w:p>
    <w:p w:rsidR="008D2E6D" w:rsidRDefault="008D2E6D" w:rsidP="00AF567B">
      <w:pPr>
        <w:pStyle w:val="P00"/>
        <w:spacing w:before="72"/>
        <w:ind w:left="0" w:right="1134"/>
        <w:rPr>
          <w:rStyle w:val="default"/>
          <w:rFonts w:cs="FrankRuehl" w:hint="cs"/>
          <w:rtl/>
        </w:rPr>
      </w:pPr>
      <w:bookmarkStart w:id="5" w:name="Seif6"/>
      <w:bookmarkEnd w:id="5"/>
      <w:r>
        <w:rPr>
          <w:rFonts w:cs="Miriam"/>
          <w:lang w:val="he-IL"/>
        </w:rPr>
        <w:pict>
          <v:rect id="_x0000_s1713" style="position:absolute;left:0;text-align:left;margin-left:463.5pt;margin-top:8.05pt;width:75.05pt;height:13.4pt;z-index:251659264" filled="f" stroked="f" strokecolor="lime" strokeweight=".25pt">
            <v:textbox style="mso-next-textbox:#_x0000_s1713" inset="1mm,0,1mm,0">
              <w:txbxContent>
                <w:p w:rsidR="008D2E6D" w:rsidRDefault="00AF567B" w:rsidP="008D2E6D">
                  <w:pPr>
                    <w:spacing w:line="160" w:lineRule="exact"/>
                    <w:rPr>
                      <w:rFonts w:cs="Miriam" w:hint="cs"/>
                      <w:noProof/>
                      <w:sz w:val="18"/>
                      <w:szCs w:val="18"/>
                      <w:rtl/>
                    </w:rPr>
                  </w:pPr>
                  <w:r>
                    <w:rPr>
                      <w:rFonts w:cs="Miriam" w:hint="cs"/>
                      <w:sz w:val="18"/>
                      <w:szCs w:val="18"/>
                      <w:rtl/>
                    </w:rPr>
                    <w:t>אי-עמידה בתקנות</w:t>
                  </w:r>
                </w:p>
              </w:txbxContent>
            </v:textbox>
            <w10:anchorlock/>
          </v:rect>
        </w:pict>
      </w:r>
      <w:r w:rsidR="00AF567B">
        <w:rPr>
          <w:rStyle w:val="big-number"/>
          <w:rFonts w:cs="Miriam" w:hint="cs"/>
          <w:rtl/>
        </w:rPr>
        <w:t>6</w:t>
      </w:r>
      <w:r>
        <w:rPr>
          <w:rStyle w:val="big-number"/>
          <w:rFonts w:cs="FrankRuehl"/>
          <w:sz w:val="26"/>
          <w:szCs w:val="26"/>
          <w:rtl/>
        </w:rPr>
        <w:t>.</w:t>
      </w:r>
      <w:r>
        <w:rPr>
          <w:rStyle w:val="big-number"/>
          <w:rFonts w:cs="FrankRuehl"/>
          <w:sz w:val="26"/>
          <w:szCs w:val="26"/>
          <w:rtl/>
        </w:rPr>
        <w:tab/>
      </w:r>
      <w:r w:rsidR="00AF567B">
        <w:rPr>
          <w:rStyle w:val="default"/>
          <w:rFonts w:cs="FrankRuehl" w:hint="cs"/>
          <w:rtl/>
        </w:rPr>
        <w:t>בית המשפט לא ידון בבקשה שלא מתקיימים בה כל התנאים הקבועים בתקנות אלה, אלא מנימוקים מיוחדים שיירשמו.</w:t>
      </w:r>
    </w:p>
    <w:p w:rsidR="008D2E6D" w:rsidRDefault="008D2E6D" w:rsidP="003D4A1B">
      <w:pPr>
        <w:pStyle w:val="P00"/>
        <w:spacing w:before="72"/>
        <w:ind w:left="0" w:right="1134"/>
        <w:rPr>
          <w:rStyle w:val="default"/>
          <w:rFonts w:cs="FrankRuehl" w:hint="cs"/>
          <w:rtl/>
        </w:rPr>
      </w:pPr>
      <w:bookmarkStart w:id="6" w:name="Seif7"/>
      <w:bookmarkEnd w:id="6"/>
      <w:r>
        <w:rPr>
          <w:rFonts w:cs="Miriam"/>
          <w:lang w:val="he-IL"/>
        </w:rPr>
        <w:pict>
          <v:rect id="_x0000_s1714" style="position:absolute;left:0;text-align:left;margin-left:463.5pt;margin-top:8.05pt;width:75.05pt;height:25.5pt;z-index:251660288" filled="f" stroked="f" strokecolor="lime" strokeweight=".25pt">
            <v:textbox style="mso-next-textbox:#_x0000_s1714" inset="1mm,0,1mm,0">
              <w:txbxContent>
                <w:p w:rsidR="008D2E6D" w:rsidRDefault="003D4A1B" w:rsidP="008D2E6D">
                  <w:pPr>
                    <w:spacing w:line="160" w:lineRule="exact"/>
                    <w:rPr>
                      <w:rFonts w:cs="Miriam" w:hint="cs"/>
                      <w:noProof/>
                      <w:sz w:val="18"/>
                      <w:szCs w:val="18"/>
                      <w:rtl/>
                    </w:rPr>
                  </w:pPr>
                  <w:r>
                    <w:rPr>
                      <w:rFonts w:cs="Miriam" w:hint="cs"/>
                      <w:sz w:val="18"/>
                      <w:szCs w:val="18"/>
                      <w:rtl/>
                    </w:rPr>
                    <w:t>בקשה להארכת מועד במסגרת הליכי ערעור</w:t>
                  </w:r>
                </w:p>
              </w:txbxContent>
            </v:textbox>
            <w10:anchorlock/>
          </v:rect>
        </w:pict>
      </w:r>
      <w:r w:rsidR="00AF567B">
        <w:rPr>
          <w:rStyle w:val="big-number"/>
          <w:rFonts w:cs="Miriam" w:hint="cs"/>
          <w:rtl/>
        </w:rPr>
        <w:t>7</w:t>
      </w:r>
      <w:r>
        <w:rPr>
          <w:rStyle w:val="big-number"/>
          <w:rFonts w:cs="FrankRuehl"/>
          <w:sz w:val="26"/>
          <w:szCs w:val="26"/>
          <w:rtl/>
        </w:rPr>
        <w:t>.</w:t>
      </w:r>
      <w:r>
        <w:rPr>
          <w:rStyle w:val="big-number"/>
          <w:rFonts w:cs="FrankRuehl"/>
          <w:sz w:val="26"/>
          <w:szCs w:val="26"/>
          <w:rtl/>
        </w:rPr>
        <w:tab/>
      </w:r>
      <w:r w:rsidR="003D4A1B">
        <w:rPr>
          <w:rStyle w:val="default"/>
          <w:rFonts w:cs="FrankRuehl" w:hint="cs"/>
          <w:rtl/>
        </w:rPr>
        <w:t>התקנות יחולו בשינויים המחויבים, גם על בקשה להארכת מועד לביצוע צו עד למתן פסק דין או החלטה, המוגשת במסגרת ערעור או בקשה למתן רשות ערעור על פסק דין או החלטה הדוחה את הבקשה.</w:t>
      </w:r>
    </w:p>
    <w:p w:rsidR="008D2E6D" w:rsidRDefault="008D2E6D" w:rsidP="003D4A1B">
      <w:pPr>
        <w:pStyle w:val="P00"/>
        <w:spacing w:before="72"/>
        <w:ind w:left="0" w:right="1134"/>
        <w:rPr>
          <w:rStyle w:val="default"/>
          <w:rFonts w:cs="FrankRuehl" w:hint="cs"/>
          <w:rtl/>
        </w:rPr>
      </w:pPr>
      <w:bookmarkStart w:id="7" w:name="Seif8"/>
      <w:bookmarkEnd w:id="7"/>
      <w:r>
        <w:rPr>
          <w:rFonts w:cs="Miriam"/>
          <w:lang w:val="he-IL"/>
        </w:rPr>
        <w:pict>
          <v:rect id="_x0000_s1715" style="position:absolute;left:0;text-align:left;margin-left:463.5pt;margin-top:8.05pt;width:75.05pt;height:10pt;z-index:251661312" filled="f" stroked="f" strokecolor="lime" strokeweight=".25pt">
            <v:textbox style="mso-next-textbox:#_x0000_s1715" inset="1mm,0,1mm,0">
              <w:txbxContent>
                <w:p w:rsidR="008D2E6D" w:rsidRDefault="00AC69D7" w:rsidP="008D2E6D">
                  <w:pPr>
                    <w:spacing w:line="160" w:lineRule="exact"/>
                    <w:rPr>
                      <w:rFonts w:cs="Miriam" w:hint="cs"/>
                      <w:noProof/>
                      <w:sz w:val="18"/>
                      <w:szCs w:val="18"/>
                      <w:rtl/>
                    </w:rPr>
                  </w:pPr>
                  <w:r>
                    <w:rPr>
                      <w:rFonts w:cs="Miriam" w:hint="cs"/>
                      <w:sz w:val="18"/>
                      <w:szCs w:val="18"/>
                      <w:rtl/>
                    </w:rPr>
                    <w:t>תחילה</w:t>
                  </w:r>
                </w:p>
              </w:txbxContent>
            </v:textbox>
            <w10:anchorlock/>
          </v:rect>
        </w:pict>
      </w:r>
      <w:r w:rsidR="003D4A1B">
        <w:rPr>
          <w:rStyle w:val="big-number"/>
          <w:rFonts w:cs="Miriam" w:hint="cs"/>
          <w:rtl/>
        </w:rPr>
        <w:t>8</w:t>
      </w:r>
      <w:r>
        <w:rPr>
          <w:rStyle w:val="big-number"/>
          <w:rFonts w:cs="FrankRuehl"/>
          <w:sz w:val="26"/>
          <w:szCs w:val="26"/>
          <w:rtl/>
        </w:rPr>
        <w:t>.</w:t>
      </w:r>
      <w:r>
        <w:rPr>
          <w:rStyle w:val="big-number"/>
          <w:rFonts w:cs="FrankRuehl"/>
          <w:sz w:val="26"/>
          <w:szCs w:val="26"/>
          <w:rtl/>
        </w:rPr>
        <w:tab/>
      </w:r>
      <w:r w:rsidR="003D4A1B">
        <w:rPr>
          <w:rStyle w:val="default"/>
          <w:rFonts w:cs="FrankRuehl" w:hint="cs"/>
          <w:rtl/>
        </w:rPr>
        <w:t>תחילתן של תקנות אלה שלושים ימים מיום פרסומן.</w:t>
      </w:r>
    </w:p>
    <w:p w:rsidR="009C3538" w:rsidRDefault="009C3538" w:rsidP="00386C3E">
      <w:pPr>
        <w:pStyle w:val="P00"/>
        <w:spacing w:before="72"/>
        <w:ind w:left="0" w:right="1134"/>
        <w:rPr>
          <w:rStyle w:val="default"/>
          <w:rFonts w:cs="FrankRuehl" w:hint="cs"/>
          <w:rtl/>
        </w:rPr>
      </w:pPr>
    </w:p>
    <w:p w:rsidR="009C3538" w:rsidRPr="00FA558E" w:rsidRDefault="003D4A1B" w:rsidP="00FA558E">
      <w:pPr>
        <w:pStyle w:val="P00"/>
        <w:spacing w:before="72"/>
        <w:ind w:left="0" w:right="1134"/>
        <w:jc w:val="center"/>
        <w:rPr>
          <w:rStyle w:val="default"/>
          <w:rFonts w:cs="FrankRuehl" w:hint="cs"/>
          <w:b/>
          <w:bCs/>
          <w:rtl/>
        </w:rPr>
      </w:pPr>
      <w:r w:rsidRPr="00FA558E">
        <w:rPr>
          <w:rStyle w:val="default"/>
          <w:rFonts w:cs="FrankRuehl" w:hint="cs"/>
          <w:b/>
          <w:bCs/>
          <w:rtl/>
        </w:rPr>
        <w:t>תוספת</w:t>
      </w:r>
    </w:p>
    <w:p w:rsidR="003D4A1B" w:rsidRPr="00FA558E" w:rsidRDefault="003D4A1B" w:rsidP="00FA558E">
      <w:pPr>
        <w:pStyle w:val="P00"/>
        <w:spacing w:before="72"/>
        <w:ind w:left="0" w:right="1134"/>
        <w:jc w:val="center"/>
        <w:rPr>
          <w:rStyle w:val="default"/>
          <w:rFonts w:cs="FrankRuehl" w:hint="cs"/>
          <w:sz w:val="24"/>
          <w:szCs w:val="24"/>
          <w:rtl/>
        </w:rPr>
      </w:pPr>
      <w:r w:rsidRPr="00FA558E">
        <w:rPr>
          <w:rStyle w:val="default"/>
          <w:rFonts w:cs="FrankRuehl" w:hint="cs"/>
          <w:sz w:val="24"/>
          <w:szCs w:val="24"/>
          <w:rtl/>
        </w:rPr>
        <w:t>(תקנה 2(א))</w:t>
      </w:r>
    </w:p>
    <w:p w:rsidR="003D4A1B" w:rsidRPr="00FA558E" w:rsidRDefault="003D4A1B" w:rsidP="00FA558E">
      <w:pPr>
        <w:pStyle w:val="P00"/>
        <w:spacing w:before="72"/>
        <w:ind w:left="0" w:right="1134"/>
        <w:jc w:val="center"/>
        <w:rPr>
          <w:rStyle w:val="default"/>
          <w:rFonts w:cs="FrankRuehl" w:hint="cs"/>
          <w:b/>
          <w:bCs/>
          <w:sz w:val="22"/>
          <w:szCs w:val="22"/>
          <w:rtl/>
        </w:rPr>
      </w:pPr>
      <w:r w:rsidRPr="00FA558E">
        <w:rPr>
          <w:rStyle w:val="default"/>
          <w:rFonts w:cs="FrankRuehl" w:hint="cs"/>
          <w:b/>
          <w:bCs/>
          <w:sz w:val="22"/>
          <w:szCs w:val="22"/>
          <w:rtl/>
        </w:rPr>
        <w:t>בקשה להארכת מועד לביצוע צו הריסה לפי סעיף 207 לחוק</w:t>
      </w:r>
    </w:p>
    <w:p w:rsidR="003D4A1B" w:rsidRDefault="00FA558E" w:rsidP="00386C3E">
      <w:pPr>
        <w:pStyle w:val="P00"/>
        <w:spacing w:before="72"/>
        <w:ind w:left="0" w:right="1134"/>
        <w:rPr>
          <w:rStyle w:val="default"/>
          <w:rFonts w:cs="FrankRuehl" w:hint="cs"/>
          <w:rtl/>
        </w:rPr>
      </w:pPr>
      <w:r>
        <w:rPr>
          <w:rStyle w:val="default"/>
          <w:rFonts w:cs="FrankRuehl"/>
          <w:rtl/>
        </w:rPr>
        <w:fldChar w:fldCharType="begin">
          <w:ffData>
            <w:name w:val="Dropdown1"/>
            <w:enabled/>
            <w:calcOnExit w:val="0"/>
            <w:ddList>
              <w:listEntry w:val="בבית משפט"/>
              <w:listEntry w:val="בבית המשפט"/>
            </w:ddList>
          </w:ffData>
        </w:fldChar>
      </w:r>
      <w:bookmarkStart w:id="8" w:name="Dropdown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F1A99" w:rsidRPr="00FA558E">
        <w:rPr>
          <w:rFonts w:cs="FrankRuehl"/>
          <w:sz w:val="26"/>
        </w:rPr>
      </w:r>
      <w:r>
        <w:rPr>
          <w:rStyle w:val="default"/>
          <w:rFonts w:cs="FrankRuehl"/>
          <w:rtl/>
        </w:rPr>
        <w:fldChar w:fldCharType="end"/>
      </w:r>
      <w:bookmarkEnd w:id="8"/>
      <w:r>
        <w:rPr>
          <w:rStyle w:val="default"/>
          <w:rFonts w:cs="FrankRuehl" w:hint="cs"/>
          <w:rtl/>
        </w:rPr>
        <w:t xml:space="preserve"> </w:t>
      </w:r>
      <w:r>
        <w:rPr>
          <w:rStyle w:val="default"/>
          <w:rFonts w:cs="FrankRuehl"/>
          <w:rtl/>
        </w:rPr>
        <w:fldChar w:fldCharType="begin">
          <w:ffData>
            <w:name w:val="Text1"/>
            <w:enabled/>
            <w:calcOnExit w:val="0"/>
            <w:textInput/>
          </w:ffData>
        </w:fldChar>
      </w:r>
      <w:bookmarkStart w:id="9"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9"/>
    </w:p>
    <w:p w:rsidR="00FA558E" w:rsidRDefault="00FA558E" w:rsidP="00386C3E">
      <w:pPr>
        <w:pStyle w:val="P00"/>
        <w:spacing w:before="72"/>
        <w:ind w:left="0" w:right="1134"/>
        <w:rPr>
          <w:rStyle w:val="default"/>
          <w:rFonts w:cs="FrankRuehl" w:hint="cs"/>
          <w:rtl/>
        </w:rPr>
      </w:pPr>
      <w:r>
        <w:rPr>
          <w:rStyle w:val="default"/>
          <w:rFonts w:cs="FrankRuehl" w:hint="cs"/>
          <w:rtl/>
        </w:rPr>
        <w:t>ב</w:t>
      </w:r>
      <w:r>
        <w:rPr>
          <w:rStyle w:val="default"/>
          <w:rFonts w:cs="FrankRuehl"/>
          <w:rtl/>
        </w:rPr>
        <w:fldChar w:fldCharType="begin">
          <w:ffData>
            <w:name w:val="Text2"/>
            <w:enabled/>
            <w:calcOnExit w:val="0"/>
            <w:textInput/>
          </w:ffData>
        </w:fldChar>
      </w:r>
      <w:bookmarkStart w:id="10"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10"/>
    </w:p>
    <w:p w:rsidR="00FA558E" w:rsidRDefault="00FA558E" w:rsidP="00386C3E">
      <w:pPr>
        <w:pStyle w:val="P00"/>
        <w:spacing w:before="72"/>
        <w:ind w:left="0" w:right="1134"/>
        <w:rPr>
          <w:rStyle w:val="default"/>
          <w:rFonts w:cs="FrankRuehl" w:hint="cs"/>
          <w:rtl/>
        </w:rPr>
      </w:pPr>
      <w:r>
        <w:rPr>
          <w:rStyle w:val="default"/>
          <w:rFonts w:cs="FrankRuehl" w:hint="cs"/>
          <w:rtl/>
        </w:rPr>
        <w:t xml:space="preserve">תיק </w:t>
      </w:r>
      <w:r>
        <w:rPr>
          <w:rStyle w:val="default"/>
          <w:rFonts w:cs="FrankRuehl"/>
          <w:rtl/>
        </w:rPr>
        <w:fldChar w:fldCharType="begin">
          <w:ffData>
            <w:name w:val="Text3"/>
            <w:enabled/>
            <w:calcOnExit w:val="0"/>
            <w:textInput/>
          </w:ffData>
        </w:fldChar>
      </w:r>
      <w:bookmarkStart w:id="11"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11"/>
    </w:p>
    <w:p w:rsidR="00FA558E" w:rsidRDefault="00FA558E" w:rsidP="00386C3E">
      <w:pPr>
        <w:pStyle w:val="P00"/>
        <w:spacing w:before="72"/>
        <w:ind w:left="0" w:right="1134"/>
        <w:rPr>
          <w:rStyle w:val="default"/>
          <w:rFonts w:cs="FrankRuehl" w:hint="cs"/>
          <w:rtl/>
        </w:rPr>
      </w:pPr>
      <w:r>
        <w:rPr>
          <w:rStyle w:val="default"/>
          <w:rFonts w:cs="FrankRuehl"/>
          <w:rtl/>
        </w:rPr>
        <w:fldChar w:fldCharType="begin">
          <w:ffData>
            <w:name w:val="Text4"/>
            <w:enabled/>
            <w:calcOnExit w:val="0"/>
            <w:textInput/>
          </w:ffData>
        </w:fldChar>
      </w:r>
      <w:bookmarkStart w:id="12"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12"/>
    </w:p>
    <w:p w:rsidR="00FA558E" w:rsidRDefault="00FA558E" w:rsidP="00386C3E">
      <w:pPr>
        <w:pStyle w:val="P00"/>
        <w:spacing w:before="72"/>
        <w:ind w:left="0" w:right="1134"/>
        <w:rPr>
          <w:rStyle w:val="default"/>
          <w:rFonts w:cs="FrankRuehl" w:hint="cs"/>
          <w:rtl/>
        </w:rPr>
      </w:pPr>
      <w:r>
        <w:rPr>
          <w:rStyle w:val="default"/>
          <w:rFonts w:cs="FrankRuehl" w:hint="cs"/>
          <w:rtl/>
        </w:rPr>
        <w:t>נגד</w:t>
      </w:r>
    </w:p>
    <w:p w:rsidR="00FA558E" w:rsidRDefault="00FA558E" w:rsidP="00386C3E">
      <w:pPr>
        <w:pStyle w:val="P00"/>
        <w:spacing w:before="72"/>
        <w:ind w:left="0" w:right="1134"/>
        <w:rPr>
          <w:rStyle w:val="default"/>
          <w:rFonts w:cs="FrankRuehl" w:hint="cs"/>
          <w:rtl/>
        </w:rPr>
      </w:pPr>
      <w:r>
        <w:rPr>
          <w:rStyle w:val="default"/>
          <w:rFonts w:cs="FrankRuehl"/>
          <w:rtl/>
        </w:rPr>
        <w:fldChar w:fldCharType="begin">
          <w:ffData>
            <w:name w:val="Text5"/>
            <w:enabled/>
            <w:calcOnExit w:val="0"/>
            <w:textInput/>
          </w:ffData>
        </w:fldChar>
      </w:r>
      <w:bookmarkStart w:id="13"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13"/>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א.</w:t>
      </w:r>
      <w:r>
        <w:rPr>
          <w:rStyle w:val="default"/>
          <w:rFonts w:cs="FrankRuehl" w:hint="cs"/>
          <w:rtl/>
        </w:rPr>
        <w:tab/>
        <w:t xml:space="preserve">צו </w:t>
      </w:r>
      <w:r>
        <w:rPr>
          <w:rStyle w:val="default"/>
          <w:rFonts w:cs="FrankRuehl"/>
          <w:rtl/>
        </w:rPr>
        <w:fldChar w:fldCharType="begin">
          <w:ffData>
            <w:name w:val="Dropdown2"/>
            <w:enabled/>
            <w:calcOnExit w:val="0"/>
            <w:ddList>
              <w:listEntry w:val="ההריסה"/>
              <w:listEntry w:val="הפסקת השימוש"/>
            </w:ddList>
          </w:ffData>
        </w:fldChar>
      </w:r>
      <w:bookmarkStart w:id="14" w:name="Dropdown2"/>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F1A99" w:rsidRPr="00FA558E">
        <w:rPr>
          <w:rFonts w:cs="FrankRuehl"/>
          <w:sz w:val="26"/>
        </w:rPr>
      </w:r>
      <w:r>
        <w:rPr>
          <w:rStyle w:val="default"/>
          <w:rFonts w:cs="FrankRuehl"/>
          <w:rtl/>
        </w:rPr>
        <w:fldChar w:fldCharType="end"/>
      </w:r>
      <w:bookmarkEnd w:id="14"/>
      <w:r>
        <w:rPr>
          <w:rStyle w:val="default"/>
          <w:rFonts w:cs="FrankRuehl" w:hint="cs"/>
          <w:rtl/>
        </w:rPr>
        <w:t xml:space="preserve"> (לפי העניין) ניתן ביום </w:t>
      </w:r>
      <w:r>
        <w:rPr>
          <w:rStyle w:val="default"/>
          <w:rFonts w:cs="FrankRuehl"/>
          <w:rtl/>
        </w:rPr>
        <w:fldChar w:fldCharType="begin">
          <w:ffData>
            <w:name w:val="Text6"/>
            <w:enabled/>
            <w:calcOnExit w:val="0"/>
            <w:textInput/>
          </w:ffData>
        </w:fldChar>
      </w:r>
      <w:bookmarkStart w:id="15"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15"/>
      <w:r>
        <w:rPr>
          <w:rStyle w:val="default"/>
          <w:rFonts w:cs="FrankRuehl" w:hint="cs"/>
          <w:rtl/>
        </w:rPr>
        <w:t xml:space="preserve"> ב-</w:t>
      </w:r>
      <w:r>
        <w:rPr>
          <w:rStyle w:val="default"/>
          <w:rFonts w:cs="FrankRuehl"/>
          <w:rtl/>
        </w:rPr>
        <w:fldChar w:fldCharType="begin">
          <w:ffData>
            <w:name w:val="Text7"/>
            <w:enabled/>
            <w:calcOnExit w:val="0"/>
            <w:textInput/>
          </w:ffData>
        </w:fldChar>
      </w:r>
      <w:bookmarkStart w:id="16"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16"/>
      <w:r>
        <w:rPr>
          <w:rStyle w:val="default"/>
          <w:rFonts w:cs="FrankRuehl" w:hint="cs"/>
          <w:rtl/>
        </w:rPr>
        <w:t xml:space="preserve"> (סוג התיק ומספרו) על ידי בית משפט </w:t>
      </w:r>
      <w:r>
        <w:rPr>
          <w:rStyle w:val="default"/>
          <w:rFonts w:cs="FrankRuehl"/>
          <w:rtl/>
        </w:rPr>
        <w:lastRenderedPageBreak/>
        <w:fldChar w:fldCharType="begin">
          <w:ffData>
            <w:name w:val="Text8"/>
            <w:enabled/>
            <w:calcOnExit w:val="0"/>
            <w:textInput/>
          </w:ffData>
        </w:fldChar>
      </w:r>
      <w:bookmarkStart w:id="17"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17"/>
      <w:r>
        <w:rPr>
          <w:rStyle w:val="default"/>
          <w:rFonts w:cs="FrankRuehl" w:hint="cs"/>
          <w:rtl/>
        </w:rPr>
        <w:t xml:space="preserve"> ונקבע לביצוע ביום </w:t>
      </w:r>
      <w:r>
        <w:rPr>
          <w:rStyle w:val="default"/>
          <w:rFonts w:cs="FrankRuehl"/>
          <w:rtl/>
        </w:rPr>
        <w:fldChar w:fldCharType="begin">
          <w:ffData>
            <w:name w:val="Text9"/>
            <w:enabled/>
            <w:calcOnExit w:val="0"/>
            <w:textInput/>
          </w:ffData>
        </w:fldChar>
      </w:r>
      <w:bookmarkStart w:id="18"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18"/>
      <w:r>
        <w:rPr>
          <w:rStyle w:val="default"/>
          <w:rFonts w:cs="FrankRuehl" w:hint="cs"/>
          <w:rtl/>
        </w:rPr>
        <w:t>.</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ב.</w:t>
      </w:r>
      <w:r>
        <w:rPr>
          <w:rStyle w:val="default"/>
          <w:rFonts w:cs="FrankRuehl" w:hint="cs"/>
          <w:rtl/>
        </w:rPr>
        <w:tab/>
        <w:t xml:space="preserve">נימוקי הבקשה להארכת מועד - </w:t>
      </w:r>
      <w:r>
        <w:rPr>
          <w:rStyle w:val="default"/>
          <w:rFonts w:cs="FrankRuehl"/>
          <w:rtl/>
        </w:rPr>
        <w:fldChar w:fldCharType="begin">
          <w:ffData>
            <w:name w:val="Text10"/>
            <w:enabled/>
            <w:calcOnExit w:val="0"/>
            <w:textInput/>
          </w:ffData>
        </w:fldChar>
      </w:r>
      <w:bookmarkStart w:id="19"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19"/>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ג.</w:t>
      </w:r>
      <w:r>
        <w:rPr>
          <w:rStyle w:val="default"/>
          <w:rFonts w:cs="FrankRuehl" w:hint="cs"/>
          <w:rtl/>
        </w:rPr>
        <w:tab/>
        <w:t>פירוט כל ההליכים המינהליים והמשפטיים בעניין הבניה או השימוש שאליהם מתייחסת הבקשה.</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fldChar w:fldCharType="begin">
          <w:ffData>
            <w:name w:val="Text11"/>
            <w:enabled/>
            <w:calcOnExit w:val="0"/>
            <w:textInput/>
          </w:ffData>
        </w:fldChar>
      </w:r>
      <w:bookmarkStart w:id="20"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20"/>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ד.</w:t>
      </w:r>
      <w:r>
        <w:rPr>
          <w:rStyle w:val="default"/>
          <w:rFonts w:cs="FrankRuehl" w:hint="cs"/>
          <w:rtl/>
        </w:rPr>
        <w:tab/>
        <w:t>בקשה קודמות להארכת מועד וההחלטות בהן (ככל שהוגשו):</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מועדי הבקשה הקודמות </w:t>
      </w:r>
      <w:r>
        <w:rPr>
          <w:rStyle w:val="default"/>
          <w:rFonts w:cs="FrankRuehl"/>
          <w:rtl/>
        </w:rPr>
        <w:t>–</w:t>
      </w:r>
      <w:r>
        <w:rPr>
          <w:rStyle w:val="default"/>
          <w:rFonts w:cs="FrankRuehl" w:hint="cs"/>
          <w:rtl/>
        </w:rPr>
        <w:t xml:space="preserve"> תמצית הנימוקים לכל אחת מהן </w:t>
      </w:r>
      <w:r>
        <w:rPr>
          <w:rStyle w:val="default"/>
          <w:rFonts w:cs="FrankRuehl"/>
          <w:rtl/>
        </w:rPr>
        <w:t>–</w:t>
      </w:r>
      <w:r>
        <w:rPr>
          <w:rStyle w:val="default"/>
          <w:rFonts w:cs="FrankRuehl" w:hint="cs"/>
          <w:rtl/>
        </w:rPr>
        <w:t xml:space="preserve"> תמצית עמדות המשיב/ה </w:t>
      </w:r>
      <w:r>
        <w:rPr>
          <w:rStyle w:val="default"/>
          <w:rFonts w:cs="FrankRuehl"/>
          <w:rtl/>
        </w:rPr>
        <w:t>–</w:t>
      </w:r>
      <w:r>
        <w:rPr>
          <w:rStyle w:val="default"/>
          <w:rFonts w:cs="FrankRuehl" w:hint="cs"/>
          <w:rtl/>
        </w:rPr>
        <w:t xml:space="preserve"> מועדי הדיון בבית המשפט </w:t>
      </w:r>
      <w:r>
        <w:rPr>
          <w:rStyle w:val="default"/>
          <w:rFonts w:cs="FrankRuehl"/>
          <w:rtl/>
        </w:rPr>
        <w:t>–</w:t>
      </w:r>
      <w:r>
        <w:rPr>
          <w:rStyle w:val="default"/>
          <w:rFonts w:cs="FrankRuehl" w:hint="cs"/>
          <w:rtl/>
        </w:rPr>
        <w:t xml:space="preserve"> תמצית החלטות בית המשפט </w:t>
      </w:r>
      <w:r>
        <w:rPr>
          <w:rStyle w:val="default"/>
          <w:rFonts w:cs="FrankRuehl"/>
          <w:rtl/>
        </w:rPr>
        <w:t>–</w:t>
      </w:r>
      <w:r>
        <w:rPr>
          <w:rStyle w:val="default"/>
          <w:rFonts w:cs="FrankRuehl" w:hint="cs"/>
          <w:rtl/>
        </w:rPr>
        <w:t xml:space="preserve"> המועדים שנקבעו לביצוע הצו.</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מועדי הגשת הערעור </w:t>
      </w:r>
      <w:r>
        <w:rPr>
          <w:rStyle w:val="default"/>
          <w:rFonts w:cs="FrankRuehl"/>
          <w:rtl/>
        </w:rPr>
        <w:t>–</w:t>
      </w:r>
      <w:r>
        <w:rPr>
          <w:rStyle w:val="default"/>
          <w:rFonts w:cs="FrankRuehl" w:hint="cs"/>
          <w:rtl/>
        </w:rPr>
        <w:t xml:space="preserve"> תמצית הנימוקים לערעור </w:t>
      </w:r>
      <w:r>
        <w:rPr>
          <w:rStyle w:val="default"/>
          <w:rFonts w:cs="FrankRuehl"/>
          <w:rtl/>
        </w:rPr>
        <w:t>–</w:t>
      </w:r>
      <w:r>
        <w:rPr>
          <w:rStyle w:val="default"/>
          <w:rFonts w:cs="FrankRuehl" w:hint="cs"/>
          <w:rtl/>
        </w:rPr>
        <w:t xml:space="preserve"> תמצית עמדות המשיב/ה בערעור </w:t>
      </w:r>
      <w:r>
        <w:rPr>
          <w:rStyle w:val="default"/>
          <w:rFonts w:cs="FrankRuehl"/>
          <w:rtl/>
        </w:rPr>
        <w:t>–</w:t>
      </w:r>
      <w:r>
        <w:rPr>
          <w:rStyle w:val="default"/>
          <w:rFonts w:cs="FrankRuehl" w:hint="cs"/>
          <w:rtl/>
        </w:rPr>
        <w:t xml:space="preserve"> מועדי הדיון בערעור </w:t>
      </w:r>
      <w:r>
        <w:rPr>
          <w:rStyle w:val="default"/>
          <w:rFonts w:cs="FrankRuehl"/>
          <w:rtl/>
        </w:rPr>
        <w:t>–</w:t>
      </w:r>
      <w:r>
        <w:rPr>
          <w:rStyle w:val="default"/>
          <w:rFonts w:cs="FrankRuehl" w:hint="cs"/>
          <w:rtl/>
        </w:rPr>
        <w:t xml:space="preserve"> מועדי פסקי הדין ותמצית תוכנם </w:t>
      </w:r>
      <w:r>
        <w:rPr>
          <w:rStyle w:val="default"/>
          <w:rFonts w:cs="FrankRuehl"/>
          <w:rtl/>
        </w:rPr>
        <w:t>–</w:t>
      </w:r>
      <w:r>
        <w:rPr>
          <w:rStyle w:val="default"/>
          <w:rFonts w:cs="FrankRuehl" w:hint="cs"/>
          <w:rtl/>
        </w:rPr>
        <w:t xml:space="preserve"> המועדים שנקבעו לביצוע הצו.</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מועדי הגשת בקשות רשות הערעור </w:t>
      </w:r>
      <w:r>
        <w:rPr>
          <w:rStyle w:val="default"/>
          <w:rFonts w:cs="FrankRuehl"/>
          <w:rtl/>
        </w:rPr>
        <w:t>–</w:t>
      </w:r>
      <w:r>
        <w:rPr>
          <w:rStyle w:val="default"/>
          <w:rFonts w:cs="FrankRuehl" w:hint="cs"/>
          <w:rtl/>
        </w:rPr>
        <w:t xml:space="preserve"> תמצית הנימוקים לבקשת רשות הערעור </w:t>
      </w:r>
      <w:r>
        <w:rPr>
          <w:rStyle w:val="default"/>
          <w:rFonts w:cs="FrankRuehl"/>
          <w:rtl/>
        </w:rPr>
        <w:t>–</w:t>
      </w:r>
      <w:r>
        <w:rPr>
          <w:rStyle w:val="default"/>
          <w:rFonts w:cs="FrankRuehl" w:hint="cs"/>
          <w:rtl/>
        </w:rPr>
        <w:t xml:space="preserve"> תמצית תגובות המשיב/ה לבקשות רשות הערעור </w:t>
      </w:r>
      <w:r>
        <w:rPr>
          <w:rStyle w:val="default"/>
          <w:rFonts w:cs="FrankRuehl"/>
          <w:rtl/>
        </w:rPr>
        <w:t>–</w:t>
      </w:r>
      <w:r>
        <w:rPr>
          <w:rStyle w:val="default"/>
          <w:rFonts w:cs="FrankRuehl" w:hint="cs"/>
          <w:rtl/>
        </w:rPr>
        <w:t xml:space="preserve"> החלטות בית המשפט העליון </w:t>
      </w:r>
      <w:r>
        <w:rPr>
          <w:rStyle w:val="default"/>
          <w:rFonts w:cs="FrankRuehl"/>
          <w:rtl/>
        </w:rPr>
        <w:t>–</w:t>
      </w:r>
      <w:r>
        <w:rPr>
          <w:rStyle w:val="default"/>
          <w:rFonts w:cs="FrankRuehl" w:hint="cs"/>
          <w:rtl/>
        </w:rPr>
        <w:t xml:space="preserve"> המועדים שנקבעו לביצוע הצו.</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ה.</w:t>
      </w:r>
      <w:r>
        <w:rPr>
          <w:rStyle w:val="default"/>
          <w:rFonts w:cs="FrankRuehl" w:hint="cs"/>
          <w:rtl/>
        </w:rPr>
        <w:tab/>
        <w:t>תצהיר</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12"/>
            <w:enabled/>
            <w:calcOnExit w:val="0"/>
            <w:textInput/>
          </w:ffData>
        </w:fldChar>
      </w:r>
      <w:bookmarkStart w:id="21"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21"/>
      <w:r>
        <w:rPr>
          <w:rStyle w:val="default"/>
          <w:rFonts w:cs="FrankRuehl" w:hint="cs"/>
          <w:rtl/>
        </w:rPr>
        <w:t xml:space="preserve"> מס' זהות </w:t>
      </w:r>
      <w:r>
        <w:rPr>
          <w:rStyle w:val="default"/>
          <w:rFonts w:cs="FrankRuehl"/>
          <w:rtl/>
        </w:rPr>
        <w:fldChar w:fldCharType="begin">
          <w:ffData>
            <w:name w:val="Text13"/>
            <w:enabled/>
            <w:calcOnExit w:val="0"/>
            <w:textInput/>
          </w:ffData>
        </w:fldChar>
      </w:r>
      <w:bookmarkStart w:id="22"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22"/>
      <w:r>
        <w:rPr>
          <w:rStyle w:val="default"/>
          <w:rFonts w:cs="FrankRuehl" w:hint="cs"/>
          <w:rtl/>
        </w:rPr>
        <w:t xml:space="preserve"> הגר ב</w:t>
      </w:r>
      <w:r>
        <w:rPr>
          <w:rStyle w:val="default"/>
          <w:rFonts w:cs="FrankRuehl"/>
          <w:rtl/>
        </w:rPr>
        <w:fldChar w:fldCharType="begin">
          <w:ffData>
            <w:name w:val="Text14"/>
            <w:enabled/>
            <w:calcOnExit w:val="0"/>
            <w:textInput/>
          </w:ffData>
        </w:fldChar>
      </w:r>
      <w:bookmarkStart w:id="23"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23"/>
      <w:r>
        <w:rPr>
          <w:rStyle w:val="default"/>
          <w:rFonts w:cs="FrankRuehl" w:hint="cs"/>
          <w:rtl/>
        </w:rPr>
        <w:t xml:space="preserve"> מצהיר בזה כי הפרטים הכלולים בבקשה הם נכונים.</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אני הח"מ, עו"ד </w:t>
      </w:r>
      <w:r>
        <w:rPr>
          <w:rStyle w:val="default"/>
          <w:rFonts w:cs="FrankRuehl"/>
          <w:rtl/>
        </w:rPr>
        <w:fldChar w:fldCharType="begin">
          <w:ffData>
            <w:name w:val="Text15"/>
            <w:enabled/>
            <w:calcOnExit w:val="0"/>
            <w:textInput/>
          </w:ffData>
        </w:fldChar>
      </w:r>
      <w:bookmarkStart w:id="24"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24"/>
      <w:r>
        <w:rPr>
          <w:rStyle w:val="default"/>
          <w:rFonts w:cs="FrankRuehl" w:hint="cs"/>
          <w:rtl/>
        </w:rPr>
        <w:t xml:space="preserve"> מס' רישיון </w:t>
      </w:r>
      <w:r>
        <w:rPr>
          <w:rStyle w:val="default"/>
          <w:rFonts w:cs="FrankRuehl"/>
          <w:rtl/>
        </w:rPr>
        <w:fldChar w:fldCharType="begin">
          <w:ffData>
            <w:name w:val="Text16"/>
            <w:enabled/>
            <w:calcOnExit w:val="0"/>
            <w:textInput/>
          </w:ffData>
        </w:fldChar>
      </w:r>
      <w:bookmarkStart w:id="25"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25"/>
      <w:r>
        <w:rPr>
          <w:rStyle w:val="default"/>
          <w:rFonts w:cs="FrankRuehl" w:hint="cs"/>
          <w:rtl/>
        </w:rPr>
        <w:t xml:space="preserve"> מאשר בזה כי ביום </w:t>
      </w:r>
      <w:r>
        <w:rPr>
          <w:rStyle w:val="default"/>
          <w:rFonts w:cs="FrankRuehl"/>
          <w:rtl/>
        </w:rPr>
        <w:fldChar w:fldCharType="begin">
          <w:ffData>
            <w:name w:val="Text17"/>
            <w:enabled/>
            <w:calcOnExit w:val="0"/>
            <w:textInput/>
          </w:ffData>
        </w:fldChar>
      </w:r>
      <w:bookmarkStart w:id="26"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26"/>
      <w:r>
        <w:rPr>
          <w:rStyle w:val="default"/>
          <w:rFonts w:cs="FrankRuehl" w:hint="cs"/>
          <w:rtl/>
        </w:rPr>
        <w:t xml:space="preserve"> הופיע לפני </w:t>
      </w:r>
      <w:r>
        <w:rPr>
          <w:rStyle w:val="default"/>
          <w:rFonts w:cs="FrankRuehl"/>
          <w:rtl/>
        </w:rPr>
        <w:fldChar w:fldCharType="begin">
          <w:ffData>
            <w:name w:val="Text18"/>
            <w:enabled/>
            <w:calcOnExit w:val="0"/>
            <w:textInput/>
          </w:ffData>
        </w:fldChar>
      </w:r>
      <w:bookmarkStart w:id="27"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27"/>
      <w:r>
        <w:rPr>
          <w:rStyle w:val="default"/>
          <w:rFonts w:cs="FrankRuehl" w:hint="cs"/>
          <w:rtl/>
        </w:rPr>
        <w:t xml:space="preserve"> שזיהה את עצמו על ידי תעודת זהות מס' </w:t>
      </w:r>
      <w:r>
        <w:rPr>
          <w:rStyle w:val="default"/>
          <w:rFonts w:cs="FrankRuehl"/>
          <w:rtl/>
        </w:rPr>
        <w:fldChar w:fldCharType="begin">
          <w:ffData>
            <w:name w:val="Text19"/>
            <w:enabled/>
            <w:calcOnExit w:val="0"/>
            <w:textInput/>
          </w:ffData>
        </w:fldChar>
      </w:r>
      <w:bookmarkStart w:id="28"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28"/>
      <w:r>
        <w:rPr>
          <w:rStyle w:val="default"/>
          <w:rFonts w:cs="FrankRuehl" w:hint="cs"/>
          <w:rtl/>
        </w:rPr>
        <w:t xml:space="preserve"> / המוכר לי אישית, ואחרי שהזהרתיו כי עליו לומר את האמת בלבד ואת האמת כולה וכי יהיה צפוי לעונשים הקבועים בחוק אם לא יעשה כן, אישר את נכונות הצהרתו דלעיל וחתם עליה בפני.</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חתימת מקבל התצהיר ______________</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ו.</w:t>
      </w:r>
      <w:r>
        <w:rPr>
          <w:rStyle w:val="default"/>
          <w:rFonts w:cs="FrankRuehl" w:hint="cs"/>
          <w:rtl/>
        </w:rPr>
        <w:tab/>
        <w:t xml:space="preserve">במקרה שבו הבקשה כוללת טענות עובדתיות בדבר שינוי במצב התכנוני שנעשה ביוזמת המבקש, או בדבר קיומם של הליכי תכנון או רישוי תלויים ועומדים, יצורף גם תצהיר כדלקמן </w:t>
      </w:r>
      <w:r>
        <w:rPr>
          <w:rStyle w:val="default"/>
          <w:rFonts w:cs="FrankRuehl"/>
          <w:rtl/>
        </w:rPr>
        <w:t>–</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אני החתום מטה </w:t>
      </w:r>
      <w:r>
        <w:rPr>
          <w:rStyle w:val="default"/>
          <w:rFonts w:cs="FrankRuehl"/>
          <w:rtl/>
        </w:rPr>
        <w:fldChar w:fldCharType="begin">
          <w:ffData>
            <w:name w:val="Text20"/>
            <w:enabled/>
            <w:calcOnExit w:val="0"/>
            <w:textInput/>
          </w:ffData>
        </w:fldChar>
      </w:r>
      <w:bookmarkStart w:id="29"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29"/>
      <w:r>
        <w:rPr>
          <w:rStyle w:val="default"/>
          <w:rFonts w:cs="FrankRuehl" w:hint="cs"/>
          <w:rtl/>
        </w:rPr>
        <w:t xml:space="preserve"> מס' זהות </w:t>
      </w:r>
      <w:r>
        <w:rPr>
          <w:rStyle w:val="default"/>
          <w:rFonts w:cs="FrankRuehl"/>
          <w:rtl/>
        </w:rPr>
        <w:fldChar w:fldCharType="begin">
          <w:ffData>
            <w:name w:val="Text21"/>
            <w:enabled/>
            <w:calcOnExit w:val="0"/>
            <w:textInput/>
          </w:ffData>
        </w:fldChar>
      </w:r>
      <w:bookmarkStart w:id="30"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30"/>
      <w:r>
        <w:rPr>
          <w:rStyle w:val="default"/>
          <w:rFonts w:cs="FrankRuehl" w:hint="cs"/>
          <w:rtl/>
        </w:rPr>
        <w:t xml:space="preserve"> מספר רישיון </w:t>
      </w:r>
      <w:r>
        <w:rPr>
          <w:rStyle w:val="default"/>
          <w:rFonts w:cs="FrankRuehl"/>
          <w:rtl/>
        </w:rPr>
        <w:fldChar w:fldCharType="begin">
          <w:ffData>
            <w:name w:val="Dropdown3"/>
            <w:enabled/>
            <w:calcOnExit w:val="0"/>
            <w:ddList>
              <w:listEntry w:val="מהנדס"/>
              <w:listEntry w:val="אדריכל"/>
              <w:listEntry w:val="עורך דין"/>
            </w:ddList>
          </w:ffData>
        </w:fldChar>
      </w:r>
      <w:bookmarkStart w:id="31" w:name="Dropdown3"/>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F1A99" w:rsidRPr="00FA558E">
        <w:rPr>
          <w:rFonts w:cs="FrankRuehl"/>
          <w:sz w:val="26"/>
        </w:rPr>
      </w:r>
      <w:r>
        <w:rPr>
          <w:rStyle w:val="default"/>
          <w:rFonts w:cs="FrankRuehl"/>
          <w:rtl/>
        </w:rPr>
        <w:fldChar w:fldCharType="end"/>
      </w:r>
      <w:bookmarkEnd w:id="31"/>
      <w:r>
        <w:rPr>
          <w:rStyle w:val="default"/>
          <w:rFonts w:cs="FrankRuehl" w:hint="cs"/>
          <w:rtl/>
        </w:rPr>
        <w:t xml:space="preserve"> </w:t>
      </w:r>
      <w:r>
        <w:rPr>
          <w:rStyle w:val="default"/>
          <w:rFonts w:cs="FrankRuehl"/>
          <w:rtl/>
        </w:rPr>
        <w:fldChar w:fldCharType="begin">
          <w:ffData>
            <w:name w:val="Text22"/>
            <w:enabled/>
            <w:calcOnExit w:val="0"/>
            <w:textInput/>
          </w:ffData>
        </w:fldChar>
      </w:r>
      <w:bookmarkStart w:id="32"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32"/>
      <w:r>
        <w:rPr>
          <w:rStyle w:val="default"/>
          <w:rFonts w:cs="FrankRuehl" w:hint="cs"/>
          <w:rtl/>
        </w:rPr>
        <w:t xml:space="preserve"> הגר ב</w:t>
      </w:r>
      <w:r>
        <w:rPr>
          <w:rStyle w:val="default"/>
          <w:rFonts w:cs="FrankRuehl"/>
          <w:rtl/>
        </w:rPr>
        <w:fldChar w:fldCharType="begin">
          <w:ffData>
            <w:name w:val="Text23"/>
            <w:enabled/>
            <w:calcOnExit w:val="0"/>
            <w:textInput/>
          </w:ffData>
        </w:fldChar>
      </w:r>
      <w:bookmarkStart w:id="33"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33"/>
      <w:r>
        <w:rPr>
          <w:rStyle w:val="default"/>
          <w:rFonts w:cs="FrankRuehl" w:hint="cs"/>
          <w:rtl/>
        </w:rPr>
        <w:t xml:space="preserve"> מצהיר בזה כי טיפלתי בבקשה בעבור המבקש וכי כל הפרטים שנמסרו בבקשה בעניין הליכי </w:t>
      </w:r>
      <w:r>
        <w:rPr>
          <w:rStyle w:val="default"/>
          <w:rFonts w:cs="FrankRuehl"/>
          <w:rtl/>
        </w:rPr>
        <w:fldChar w:fldCharType="begin">
          <w:ffData>
            <w:name w:val="Dropdown4"/>
            <w:enabled/>
            <w:calcOnExit w:val="0"/>
            <w:ddList>
              <w:listEntry w:val="התכנון"/>
              <w:listEntry w:val="הרישוי"/>
            </w:ddList>
          </w:ffData>
        </w:fldChar>
      </w:r>
      <w:bookmarkStart w:id="34" w:name="Dropdown4"/>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F1A99" w:rsidRPr="00FA558E">
        <w:rPr>
          <w:rFonts w:cs="FrankRuehl"/>
          <w:sz w:val="26"/>
        </w:rPr>
      </w:r>
      <w:r>
        <w:rPr>
          <w:rStyle w:val="default"/>
          <w:rFonts w:cs="FrankRuehl"/>
          <w:rtl/>
        </w:rPr>
        <w:fldChar w:fldCharType="end"/>
      </w:r>
      <w:bookmarkEnd w:id="34"/>
      <w:r>
        <w:rPr>
          <w:rStyle w:val="default"/>
          <w:rFonts w:cs="FrankRuehl" w:hint="cs"/>
          <w:rtl/>
        </w:rPr>
        <w:t xml:space="preserve"> התלויים ועומדים הם נכונים.</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אני הח"מ, עו"ד </w:t>
      </w:r>
      <w:r>
        <w:rPr>
          <w:rStyle w:val="default"/>
          <w:rFonts w:cs="FrankRuehl"/>
          <w:rtl/>
        </w:rPr>
        <w:fldChar w:fldCharType="begin">
          <w:ffData>
            <w:name w:val="Text24"/>
            <w:enabled/>
            <w:calcOnExit w:val="0"/>
            <w:textInput/>
          </w:ffData>
        </w:fldChar>
      </w:r>
      <w:bookmarkStart w:id="35"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35"/>
      <w:r>
        <w:rPr>
          <w:rStyle w:val="default"/>
          <w:rFonts w:cs="FrankRuehl" w:hint="cs"/>
          <w:rtl/>
        </w:rPr>
        <w:t xml:space="preserve"> מס' רישיון </w:t>
      </w:r>
      <w:r>
        <w:rPr>
          <w:rStyle w:val="default"/>
          <w:rFonts w:cs="FrankRuehl"/>
          <w:rtl/>
        </w:rPr>
        <w:fldChar w:fldCharType="begin">
          <w:ffData>
            <w:name w:val="Text25"/>
            <w:enabled/>
            <w:calcOnExit w:val="0"/>
            <w:textInput/>
          </w:ffData>
        </w:fldChar>
      </w:r>
      <w:bookmarkStart w:id="36"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36"/>
      <w:r>
        <w:rPr>
          <w:rStyle w:val="default"/>
          <w:rFonts w:cs="FrankRuehl" w:hint="cs"/>
          <w:rtl/>
        </w:rPr>
        <w:t xml:space="preserve"> מאשר בזה כי ביום </w:t>
      </w:r>
      <w:r>
        <w:rPr>
          <w:rStyle w:val="default"/>
          <w:rFonts w:cs="FrankRuehl"/>
          <w:rtl/>
        </w:rPr>
        <w:fldChar w:fldCharType="begin">
          <w:ffData>
            <w:name w:val="Text26"/>
            <w:enabled/>
            <w:calcOnExit w:val="0"/>
            <w:textInput/>
          </w:ffData>
        </w:fldChar>
      </w:r>
      <w:bookmarkStart w:id="37"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37"/>
      <w:r>
        <w:rPr>
          <w:rStyle w:val="default"/>
          <w:rFonts w:cs="FrankRuehl" w:hint="cs"/>
          <w:rtl/>
        </w:rPr>
        <w:t xml:space="preserve"> הופיע לפני </w:t>
      </w:r>
      <w:r>
        <w:rPr>
          <w:rStyle w:val="default"/>
          <w:rFonts w:cs="FrankRuehl"/>
          <w:rtl/>
        </w:rPr>
        <w:fldChar w:fldCharType="begin">
          <w:ffData>
            <w:name w:val="Text27"/>
            <w:enabled/>
            <w:calcOnExit w:val="0"/>
            <w:textInput/>
          </w:ffData>
        </w:fldChar>
      </w:r>
      <w:bookmarkStart w:id="38"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38"/>
      <w:r>
        <w:rPr>
          <w:rStyle w:val="default"/>
          <w:rFonts w:cs="FrankRuehl" w:hint="cs"/>
          <w:rtl/>
        </w:rPr>
        <w:t xml:space="preserve"> שזיהה את עצמו על ידי תעודת זהות מס' </w:t>
      </w:r>
      <w:r>
        <w:rPr>
          <w:rStyle w:val="default"/>
          <w:rFonts w:cs="FrankRuehl"/>
          <w:rtl/>
        </w:rPr>
        <w:fldChar w:fldCharType="begin">
          <w:ffData>
            <w:name w:val="Text28"/>
            <w:enabled/>
            <w:calcOnExit w:val="0"/>
            <w:textInput/>
          </w:ffData>
        </w:fldChar>
      </w:r>
      <w:bookmarkStart w:id="39"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F1A99" w:rsidRPr="00FA558E">
        <w:rPr>
          <w:rFonts w:cs="FrankRuehl"/>
          <w:sz w:val="26"/>
        </w:rPr>
      </w:r>
      <w:r>
        <w:rPr>
          <w:rStyle w:val="default"/>
          <w:rFonts w:cs="FrankRuehl"/>
          <w:rtl/>
        </w:rPr>
        <w:fldChar w:fldCharType="separate"/>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sidR="00E81A53">
        <w:rPr>
          <w:rStyle w:val="default"/>
          <w:rFonts w:cs="FrankRuehl"/>
          <w:rtl/>
        </w:rPr>
        <w:t> </w:t>
      </w:r>
      <w:r>
        <w:rPr>
          <w:rStyle w:val="default"/>
          <w:rFonts w:cs="FrankRuehl"/>
          <w:rtl/>
        </w:rPr>
        <w:fldChar w:fldCharType="end"/>
      </w:r>
      <w:bookmarkEnd w:id="39"/>
      <w:r>
        <w:rPr>
          <w:rStyle w:val="default"/>
          <w:rFonts w:cs="FrankRuehl" w:hint="cs"/>
          <w:rtl/>
        </w:rPr>
        <w:t xml:space="preserve"> / המוכר לי אישית, ואחרי שהזהרתיו כי עליו לומר את האמת בלבד ואת האמת כולה וכי יהיה צפוי לעונשים הקבועים בחוק אם לא יעשה כן, אישר את נכונות הצהרתו דלעיל וחתם עליה בפני.</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חתימת מקבל התצהיר _______________</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FA558E" w:rsidRP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FA558E">
        <w:rPr>
          <w:rStyle w:val="default"/>
          <w:rFonts w:cs="FrankRuehl" w:hint="cs"/>
          <w:b/>
          <w:bCs/>
          <w:sz w:val="22"/>
          <w:szCs w:val="22"/>
          <w:rtl/>
        </w:rPr>
        <w:t xml:space="preserve">לבקשה מצורפים </w:t>
      </w:r>
      <w:r w:rsidRPr="00FA558E">
        <w:rPr>
          <w:rStyle w:val="default"/>
          <w:rFonts w:cs="FrankRuehl"/>
          <w:b/>
          <w:bCs/>
          <w:sz w:val="22"/>
          <w:szCs w:val="22"/>
          <w:rtl/>
        </w:rPr>
        <w:t>–</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תגובת המשיב בכתב;</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המסמכים בעניין כל הבקשות הקודמות </w:t>
      </w:r>
      <w:r>
        <w:rPr>
          <w:rStyle w:val="default"/>
          <w:rFonts w:cs="FrankRuehl"/>
          <w:rtl/>
        </w:rPr>
        <w:t>–</w:t>
      </w:r>
    </w:p>
    <w:p w:rsidR="00FA558E" w:rsidRDefault="00FA558E" w:rsidP="00501F0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העתקי כל הצויים, פסקי הדין וההחלטות הנוגעים לבניה או לשימוש שאליהם מתייחס הצו;</w:t>
      </w:r>
    </w:p>
    <w:p w:rsidR="00FA558E" w:rsidRDefault="00FA558E" w:rsidP="00501F0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העתק כתב האישום, הכרעת הדין, פרוטוקול הטיעונים לעונש וגזר הדין; או העתק הבקשה למתן צו, פרוטוקול הדיון בבקשה וההחלטה, לפי העניין;</w:t>
      </w:r>
    </w:p>
    <w:p w:rsidR="00FA558E" w:rsidRDefault="00FA558E" w:rsidP="00501F0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העתקי כל הבקשות הקודמות לעיכוב ביצוע הצו, על צרופותיהן; העתקי כל תגובות המשיב/ה, על צרופותיהן; העתקי כל פרוטוקולי הדיונים בבקשות, לרבות מוצגים ומסמכים שהוגשו במסגרתם; כל החלטות בתי המשפט;</w:t>
      </w:r>
    </w:p>
    <w:p w:rsidR="00FA558E" w:rsidRDefault="00FA558E" w:rsidP="00501F0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(ד)</w:t>
      </w:r>
      <w:r>
        <w:rPr>
          <w:rStyle w:val="default"/>
          <w:rFonts w:cs="FrankRuehl" w:hint="cs"/>
          <w:rtl/>
        </w:rPr>
        <w:tab/>
        <w:t>העתקי כל הודעות הערעור על צרופותיהן; תגובות המשיב/ה לערעור, על צרופותיהן; העתקי כל פרוטוקולי הדיונים בבקשות, לרבות מוצגים ומסמכים שהוגשו במסגרתם; העתקי כל פסקי הדין בערעור;</w:t>
      </w:r>
    </w:p>
    <w:p w:rsidR="00FA558E" w:rsidRDefault="00FA558E" w:rsidP="00501F0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hint="cs"/>
          <w:rtl/>
        </w:rPr>
        <w:tab/>
        <w:t>העתקי כל בקשות רשות הערעור על צרופותיהן; תגובות המשיב/ה לבקשות רשות הערעור, על צרופותיהן; העתקי כל פרוטוקולי הדיונים בבקשות, לרבות מוצגים ומסמכים שהוגשו במסגרתם; העתקי כל החלטות בית המשפט העליון;</w:t>
      </w:r>
    </w:p>
    <w:p w:rsidR="00FA558E" w:rsidRDefault="00FA558E" w:rsidP="00FA55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במקרה שבו הבקשה כוללת טענות עובדתיות בדבר שינוי במצב התכנוני שנעשה ביוזמת המבקש, או בדבר קיומם של הליכי תכנון או רישוי תלויים ועומדים </w:t>
      </w:r>
      <w:r>
        <w:rPr>
          <w:rStyle w:val="default"/>
          <w:rFonts w:cs="FrankRuehl"/>
          <w:rtl/>
        </w:rPr>
        <w:t>–</w:t>
      </w:r>
      <w:r>
        <w:rPr>
          <w:rStyle w:val="default"/>
          <w:rFonts w:cs="FrankRuehl" w:hint="cs"/>
          <w:rtl/>
        </w:rPr>
        <w:t xml:space="preserve"> יצורפו כל המסמכים הנוגעים לעניין.</w:t>
      </w:r>
    </w:p>
    <w:p w:rsidR="009C3538" w:rsidRDefault="009C3538"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F5093F" w:rsidP="00F5093F">
      <w:pPr>
        <w:pStyle w:val="sig-0"/>
        <w:tabs>
          <w:tab w:val="clear" w:pos="4820"/>
          <w:tab w:val="center" w:pos="5103"/>
        </w:tabs>
        <w:ind w:left="0" w:right="1134"/>
        <w:rPr>
          <w:rFonts w:cs="FrankRuehl" w:hint="cs"/>
          <w:sz w:val="26"/>
          <w:rtl/>
        </w:rPr>
      </w:pPr>
      <w:r>
        <w:rPr>
          <w:rFonts w:cs="FrankRuehl" w:hint="cs"/>
          <w:sz w:val="26"/>
          <w:rtl/>
        </w:rPr>
        <w:t>י"א באלול התשס"ח (11 בספטמבר 2008)</w:t>
      </w:r>
      <w:r w:rsidR="00AC69D7">
        <w:rPr>
          <w:rFonts w:cs="FrankRuehl" w:hint="cs"/>
          <w:sz w:val="26"/>
          <w:rtl/>
        </w:rPr>
        <w:tab/>
      </w:r>
      <w:r>
        <w:rPr>
          <w:rFonts w:cs="FrankRuehl" w:hint="cs"/>
          <w:sz w:val="26"/>
          <w:rtl/>
        </w:rPr>
        <w:t>דניאל פרידמן</w:t>
      </w:r>
    </w:p>
    <w:p w:rsidR="00577A69" w:rsidRDefault="00AC69D7" w:rsidP="00F5093F">
      <w:pPr>
        <w:pStyle w:val="sig-0"/>
        <w:tabs>
          <w:tab w:val="clear" w:pos="4820"/>
          <w:tab w:val="center" w:pos="5103"/>
        </w:tabs>
        <w:ind w:left="0" w:right="1134"/>
        <w:rPr>
          <w:rFonts w:cs="FrankRuehl" w:hint="cs"/>
          <w:sz w:val="22"/>
          <w:szCs w:val="22"/>
          <w:rtl/>
        </w:rPr>
      </w:pPr>
      <w:r>
        <w:rPr>
          <w:rFonts w:cs="FrankRuehl" w:hint="cs"/>
          <w:sz w:val="22"/>
          <w:szCs w:val="22"/>
          <w:rtl/>
        </w:rPr>
        <w:tab/>
        <w:t xml:space="preserve">שר </w:t>
      </w:r>
      <w:r w:rsidR="00F5093F">
        <w:rPr>
          <w:rFonts w:cs="FrankRuehl" w:hint="cs"/>
          <w:sz w:val="22"/>
          <w:szCs w:val="22"/>
          <w:rtl/>
        </w:rPr>
        <w:t>המשפטים</w:t>
      </w:r>
    </w:p>
    <w:p w:rsidR="009C3538" w:rsidRDefault="009C3538">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5112DE" w:rsidRDefault="005112DE">
      <w:pPr>
        <w:pStyle w:val="P00"/>
        <w:spacing w:before="72"/>
        <w:ind w:left="0" w:right="1134"/>
        <w:rPr>
          <w:rStyle w:val="default"/>
          <w:rFonts w:cs="FrankRuehl" w:hint="cs"/>
          <w:rtl/>
        </w:rPr>
      </w:pPr>
    </w:p>
    <w:sectPr w:rsidR="005112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3400" w:rsidRDefault="00743400">
      <w:r>
        <w:separator/>
      </w:r>
    </w:p>
  </w:endnote>
  <w:endnote w:type="continuationSeparator" w:id="0">
    <w:p w:rsidR="00743400" w:rsidRDefault="00743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FC3FE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C3FE7" w:rsidRDefault="00FC3F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C3FE7" w:rsidRDefault="00FC3F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81A53">
      <w:rPr>
        <w:rFonts w:cs="TopType Jerushalmi"/>
        <w:noProof/>
        <w:color w:val="000000"/>
        <w:sz w:val="14"/>
        <w:szCs w:val="14"/>
      </w:rPr>
      <w:t>Z:\000000000000-law\yael\08-10-23\01\500_020.doc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FC3FE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C3EF3">
      <w:rPr>
        <w:rFonts w:hAnsi="FrankRuehl" w:cs="FrankRuehl"/>
        <w:noProof/>
        <w:sz w:val="24"/>
        <w:szCs w:val="24"/>
        <w:rtl/>
      </w:rPr>
      <w:t>2</w:t>
    </w:r>
    <w:r>
      <w:rPr>
        <w:rFonts w:hAnsi="FrankRuehl" w:cs="FrankRuehl"/>
        <w:sz w:val="24"/>
        <w:szCs w:val="24"/>
        <w:rtl/>
      </w:rPr>
      <w:fldChar w:fldCharType="end"/>
    </w:r>
  </w:p>
  <w:p w:rsidR="00FC3FE7" w:rsidRDefault="00FC3F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C3FE7" w:rsidRDefault="00FC3F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81A53">
      <w:rPr>
        <w:rFonts w:cs="TopType Jerushalmi"/>
        <w:noProof/>
        <w:color w:val="000000"/>
        <w:sz w:val="14"/>
        <w:szCs w:val="14"/>
      </w:rPr>
      <w:t>Z:\000000000000-law\yael\08-10-23\01\500_020.doc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3400" w:rsidRDefault="00743400">
      <w:pPr>
        <w:spacing w:before="60"/>
        <w:ind w:right="1134"/>
      </w:pPr>
      <w:r>
        <w:separator/>
      </w:r>
    </w:p>
  </w:footnote>
  <w:footnote w:type="continuationSeparator" w:id="0">
    <w:p w:rsidR="00743400" w:rsidRDefault="00743400">
      <w:r>
        <w:continuationSeparator/>
      </w:r>
    </w:p>
  </w:footnote>
  <w:footnote w:id="1">
    <w:p w:rsidR="00B3150E" w:rsidRDefault="00FC3FE7" w:rsidP="00B315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9C3538">
        <w:rPr>
          <w:rFonts w:cs="FrankRuehl" w:hint="cs"/>
          <w:rtl/>
        </w:rPr>
        <w:t xml:space="preserve"> פורסמו</w:t>
      </w:r>
      <w:r>
        <w:rPr>
          <w:rFonts w:cs="FrankRuehl" w:hint="cs"/>
          <w:rtl/>
        </w:rPr>
        <w:t xml:space="preserve"> </w:t>
      </w:r>
      <w:hyperlink r:id="rId1" w:history="1">
        <w:r w:rsidR="009C3538" w:rsidRPr="00B3150E">
          <w:rPr>
            <w:rStyle w:val="Hyperlink"/>
            <w:rFonts w:cs="FrankRuehl" w:hint="cs"/>
            <w:rtl/>
          </w:rPr>
          <w:t>ק"ת תשס"ט מס' 6716</w:t>
        </w:r>
      </w:hyperlink>
      <w:r w:rsidR="009C3538">
        <w:rPr>
          <w:rFonts w:cs="FrankRuehl" w:hint="cs"/>
          <w:rtl/>
        </w:rPr>
        <w:t xml:space="preserve"> מיום 6.10.2008 עמ' 10</w:t>
      </w:r>
      <w:r w:rsidR="007A05A0">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FC3FE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9C3538" w:rsidP="009C353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(סדרי דין בבקשה לפי סעיף 207 לחוק)</w:t>
    </w:r>
    <w:r w:rsidR="00C728D6">
      <w:rPr>
        <w:rFonts w:hAnsi="FrankRuehl" w:cs="FrankRuehl" w:hint="cs"/>
        <w:color w:val="000000"/>
        <w:sz w:val="28"/>
        <w:szCs w:val="28"/>
        <w:rtl/>
      </w:rPr>
      <w:t>, תשס"</w:t>
    </w:r>
    <w:r>
      <w:rPr>
        <w:rFonts w:hAnsi="FrankRuehl" w:cs="FrankRuehl" w:hint="cs"/>
        <w:color w:val="000000"/>
        <w:sz w:val="28"/>
        <w:szCs w:val="28"/>
        <w:rtl/>
      </w:rPr>
      <w:t>ט-2008</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19930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24239"/>
    <w:rsid w:val="00024FDC"/>
    <w:rsid w:val="00031B81"/>
    <w:rsid w:val="00032136"/>
    <w:rsid w:val="00033558"/>
    <w:rsid w:val="0003781E"/>
    <w:rsid w:val="000536FC"/>
    <w:rsid w:val="00054D32"/>
    <w:rsid w:val="00057227"/>
    <w:rsid w:val="00057985"/>
    <w:rsid w:val="00057ED8"/>
    <w:rsid w:val="000632D8"/>
    <w:rsid w:val="00063E7C"/>
    <w:rsid w:val="00065DCA"/>
    <w:rsid w:val="00066EA6"/>
    <w:rsid w:val="00071A24"/>
    <w:rsid w:val="00071FF5"/>
    <w:rsid w:val="00073902"/>
    <w:rsid w:val="000820F0"/>
    <w:rsid w:val="00082632"/>
    <w:rsid w:val="00090F26"/>
    <w:rsid w:val="00092533"/>
    <w:rsid w:val="0009382D"/>
    <w:rsid w:val="00097C86"/>
    <w:rsid w:val="000A2DD5"/>
    <w:rsid w:val="000A53DB"/>
    <w:rsid w:val="000B020E"/>
    <w:rsid w:val="000B6E25"/>
    <w:rsid w:val="000B700B"/>
    <w:rsid w:val="000C220C"/>
    <w:rsid w:val="000C389E"/>
    <w:rsid w:val="000C6CA6"/>
    <w:rsid w:val="000D4D83"/>
    <w:rsid w:val="000D65C3"/>
    <w:rsid w:val="000D6A8A"/>
    <w:rsid w:val="000E32ED"/>
    <w:rsid w:val="000E6BA5"/>
    <w:rsid w:val="000F1375"/>
    <w:rsid w:val="000F2128"/>
    <w:rsid w:val="000F6789"/>
    <w:rsid w:val="000F6917"/>
    <w:rsid w:val="00102D7B"/>
    <w:rsid w:val="00107E62"/>
    <w:rsid w:val="00117775"/>
    <w:rsid w:val="00117E6C"/>
    <w:rsid w:val="00124B0E"/>
    <w:rsid w:val="00125926"/>
    <w:rsid w:val="00127328"/>
    <w:rsid w:val="0014552A"/>
    <w:rsid w:val="00153E09"/>
    <w:rsid w:val="001612F5"/>
    <w:rsid w:val="00163D97"/>
    <w:rsid w:val="0016569A"/>
    <w:rsid w:val="00167D7D"/>
    <w:rsid w:val="00171228"/>
    <w:rsid w:val="0017423B"/>
    <w:rsid w:val="00175BD4"/>
    <w:rsid w:val="00175E8A"/>
    <w:rsid w:val="00181E88"/>
    <w:rsid w:val="001832FD"/>
    <w:rsid w:val="00194CB6"/>
    <w:rsid w:val="00196FB5"/>
    <w:rsid w:val="001A4822"/>
    <w:rsid w:val="001A4BA5"/>
    <w:rsid w:val="001A6427"/>
    <w:rsid w:val="001B13ED"/>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68E1"/>
    <w:rsid w:val="001F72CA"/>
    <w:rsid w:val="002030DA"/>
    <w:rsid w:val="00203E73"/>
    <w:rsid w:val="00204FC9"/>
    <w:rsid w:val="00216CF2"/>
    <w:rsid w:val="00225DCB"/>
    <w:rsid w:val="00231BC3"/>
    <w:rsid w:val="00235E77"/>
    <w:rsid w:val="002364BF"/>
    <w:rsid w:val="00236C63"/>
    <w:rsid w:val="0024660D"/>
    <w:rsid w:val="00246766"/>
    <w:rsid w:val="00246BF2"/>
    <w:rsid w:val="002473B3"/>
    <w:rsid w:val="00247417"/>
    <w:rsid w:val="002527B2"/>
    <w:rsid w:val="00260315"/>
    <w:rsid w:val="00266A4A"/>
    <w:rsid w:val="00274CD2"/>
    <w:rsid w:val="00275516"/>
    <w:rsid w:val="00280926"/>
    <w:rsid w:val="0028117D"/>
    <w:rsid w:val="00283BD9"/>
    <w:rsid w:val="00290BE9"/>
    <w:rsid w:val="00291FC3"/>
    <w:rsid w:val="00293112"/>
    <w:rsid w:val="00294A27"/>
    <w:rsid w:val="0029679E"/>
    <w:rsid w:val="00296A59"/>
    <w:rsid w:val="002A24E2"/>
    <w:rsid w:val="002A324E"/>
    <w:rsid w:val="002A4351"/>
    <w:rsid w:val="002A4ECE"/>
    <w:rsid w:val="002A660A"/>
    <w:rsid w:val="002B4310"/>
    <w:rsid w:val="002C6AA5"/>
    <w:rsid w:val="002C7D10"/>
    <w:rsid w:val="002D35D3"/>
    <w:rsid w:val="002D7CDB"/>
    <w:rsid w:val="002E024B"/>
    <w:rsid w:val="002E1294"/>
    <w:rsid w:val="002E1AA2"/>
    <w:rsid w:val="002E5A89"/>
    <w:rsid w:val="002E5C09"/>
    <w:rsid w:val="002E5D55"/>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3083B"/>
    <w:rsid w:val="00330CDD"/>
    <w:rsid w:val="003349C1"/>
    <w:rsid w:val="00337799"/>
    <w:rsid w:val="00337F23"/>
    <w:rsid w:val="003418C6"/>
    <w:rsid w:val="00343217"/>
    <w:rsid w:val="00347E25"/>
    <w:rsid w:val="0035395F"/>
    <w:rsid w:val="0035408C"/>
    <w:rsid w:val="00355ED0"/>
    <w:rsid w:val="00360E6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30CE3"/>
    <w:rsid w:val="00431295"/>
    <w:rsid w:val="004363C6"/>
    <w:rsid w:val="00445177"/>
    <w:rsid w:val="00462F24"/>
    <w:rsid w:val="004672EC"/>
    <w:rsid w:val="00471625"/>
    <w:rsid w:val="0047257D"/>
    <w:rsid w:val="004728C6"/>
    <w:rsid w:val="00473500"/>
    <w:rsid w:val="00475AAF"/>
    <w:rsid w:val="004803D1"/>
    <w:rsid w:val="00480EEF"/>
    <w:rsid w:val="00494D9C"/>
    <w:rsid w:val="00495303"/>
    <w:rsid w:val="00495BA4"/>
    <w:rsid w:val="00495C01"/>
    <w:rsid w:val="004A0287"/>
    <w:rsid w:val="004A1E7C"/>
    <w:rsid w:val="004A1FAB"/>
    <w:rsid w:val="004A2ABE"/>
    <w:rsid w:val="004A36C5"/>
    <w:rsid w:val="004A79BF"/>
    <w:rsid w:val="004B314F"/>
    <w:rsid w:val="004C1425"/>
    <w:rsid w:val="004C2B6D"/>
    <w:rsid w:val="004D30EF"/>
    <w:rsid w:val="004D57F2"/>
    <w:rsid w:val="004D679A"/>
    <w:rsid w:val="004E25D7"/>
    <w:rsid w:val="004E4667"/>
    <w:rsid w:val="004E4A6E"/>
    <w:rsid w:val="004F093E"/>
    <w:rsid w:val="004F2FD5"/>
    <w:rsid w:val="004F444E"/>
    <w:rsid w:val="004F5693"/>
    <w:rsid w:val="004F5E9D"/>
    <w:rsid w:val="00501C0C"/>
    <w:rsid w:val="00501D1E"/>
    <w:rsid w:val="00501F05"/>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61C3"/>
    <w:rsid w:val="005941CA"/>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416C"/>
    <w:rsid w:val="0060704F"/>
    <w:rsid w:val="0060741E"/>
    <w:rsid w:val="0061056E"/>
    <w:rsid w:val="006119FA"/>
    <w:rsid w:val="0061214E"/>
    <w:rsid w:val="006123F2"/>
    <w:rsid w:val="0061289B"/>
    <w:rsid w:val="00613CF6"/>
    <w:rsid w:val="006212F5"/>
    <w:rsid w:val="006243F8"/>
    <w:rsid w:val="00625D6C"/>
    <w:rsid w:val="00631C45"/>
    <w:rsid w:val="00631D33"/>
    <w:rsid w:val="00635F52"/>
    <w:rsid w:val="00644CC7"/>
    <w:rsid w:val="00646D87"/>
    <w:rsid w:val="0064715C"/>
    <w:rsid w:val="00654783"/>
    <w:rsid w:val="00660E2F"/>
    <w:rsid w:val="00666250"/>
    <w:rsid w:val="006711F2"/>
    <w:rsid w:val="006727FD"/>
    <w:rsid w:val="006755DE"/>
    <w:rsid w:val="00683744"/>
    <w:rsid w:val="00686267"/>
    <w:rsid w:val="0069018C"/>
    <w:rsid w:val="00690AD3"/>
    <w:rsid w:val="00696014"/>
    <w:rsid w:val="006A0838"/>
    <w:rsid w:val="006A0B7F"/>
    <w:rsid w:val="006B63AC"/>
    <w:rsid w:val="006C1008"/>
    <w:rsid w:val="006C23ED"/>
    <w:rsid w:val="006C3EF3"/>
    <w:rsid w:val="006D50DB"/>
    <w:rsid w:val="006D71A5"/>
    <w:rsid w:val="006F3807"/>
    <w:rsid w:val="006F574C"/>
    <w:rsid w:val="0070464D"/>
    <w:rsid w:val="00704C70"/>
    <w:rsid w:val="0071088C"/>
    <w:rsid w:val="0071430C"/>
    <w:rsid w:val="0071493B"/>
    <w:rsid w:val="00723439"/>
    <w:rsid w:val="00723F96"/>
    <w:rsid w:val="00724A7D"/>
    <w:rsid w:val="007277E5"/>
    <w:rsid w:val="00731D27"/>
    <w:rsid w:val="007323DD"/>
    <w:rsid w:val="00732D64"/>
    <w:rsid w:val="0073388B"/>
    <w:rsid w:val="00743400"/>
    <w:rsid w:val="00745882"/>
    <w:rsid w:val="00751FA6"/>
    <w:rsid w:val="00754935"/>
    <w:rsid w:val="00755090"/>
    <w:rsid w:val="00755A87"/>
    <w:rsid w:val="00757BD6"/>
    <w:rsid w:val="007607F7"/>
    <w:rsid w:val="0076285C"/>
    <w:rsid w:val="007636B5"/>
    <w:rsid w:val="00763C55"/>
    <w:rsid w:val="00763C9A"/>
    <w:rsid w:val="00764085"/>
    <w:rsid w:val="007646A6"/>
    <w:rsid w:val="00765FEE"/>
    <w:rsid w:val="00772BC1"/>
    <w:rsid w:val="007741C4"/>
    <w:rsid w:val="00781DA6"/>
    <w:rsid w:val="007828A6"/>
    <w:rsid w:val="007864CE"/>
    <w:rsid w:val="00787C76"/>
    <w:rsid w:val="00796D78"/>
    <w:rsid w:val="00797944"/>
    <w:rsid w:val="007A05A0"/>
    <w:rsid w:val="007A46E3"/>
    <w:rsid w:val="007A74AC"/>
    <w:rsid w:val="007A779A"/>
    <w:rsid w:val="007B56E6"/>
    <w:rsid w:val="007C38A0"/>
    <w:rsid w:val="007C4A42"/>
    <w:rsid w:val="007C706E"/>
    <w:rsid w:val="007E10B4"/>
    <w:rsid w:val="007E3338"/>
    <w:rsid w:val="007E3A78"/>
    <w:rsid w:val="007E481C"/>
    <w:rsid w:val="007E54DD"/>
    <w:rsid w:val="007F0547"/>
    <w:rsid w:val="007F05EF"/>
    <w:rsid w:val="008056E8"/>
    <w:rsid w:val="00807E3F"/>
    <w:rsid w:val="008108B9"/>
    <w:rsid w:val="00812460"/>
    <w:rsid w:val="00812E01"/>
    <w:rsid w:val="00817139"/>
    <w:rsid w:val="0082360D"/>
    <w:rsid w:val="00824074"/>
    <w:rsid w:val="00827D0D"/>
    <w:rsid w:val="0083137E"/>
    <w:rsid w:val="00836B35"/>
    <w:rsid w:val="00846224"/>
    <w:rsid w:val="00846430"/>
    <w:rsid w:val="00847E6F"/>
    <w:rsid w:val="00852A6A"/>
    <w:rsid w:val="00852F43"/>
    <w:rsid w:val="00853B6E"/>
    <w:rsid w:val="00855B38"/>
    <w:rsid w:val="008562EC"/>
    <w:rsid w:val="00861960"/>
    <w:rsid w:val="00865054"/>
    <w:rsid w:val="00866DE6"/>
    <w:rsid w:val="008713AF"/>
    <w:rsid w:val="0087434F"/>
    <w:rsid w:val="0087457C"/>
    <w:rsid w:val="0088411C"/>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2E6D"/>
    <w:rsid w:val="008D3D90"/>
    <w:rsid w:val="008D4835"/>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3D60"/>
    <w:rsid w:val="0091680D"/>
    <w:rsid w:val="009176DD"/>
    <w:rsid w:val="00917F92"/>
    <w:rsid w:val="009221FF"/>
    <w:rsid w:val="0093033C"/>
    <w:rsid w:val="00931EBF"/>
    <w:rsid w:val="0093303D"/>
    <w:rsid w:val="00933308"/>
    <w:rsid w:val="009334F4"/>
    <w:rsid w:val="0093515A"/>
    <w:rsid w:val="009370B0"/>
    <w:rsid w:val="00940AAD"/>
    <w:rsid w:val="00942693"/>
    <w:rsid w:val="00950144"/>
    <w:rsid w:val="009506BC"/>
    <w:rsid w:val="00955714"/>
    <w:rsid w:val="00964C4D"/>
    <w:rsid w:val="00965B15"/>
    <w:rsid w:val="00966902"/>
    <w:rsid w:val="00971D6A"/>
    <w:rsid w:val="00974CD5"/>
    <w:rsid w:val="00977509"/>
    <w:rsid w:val="00977F9D"/>
    <w:rsid w:val="009838AD"/>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DB2"/>
    <w:rsid w:val="00A12354"/>
    <w:rsid w:val="00A127EF"/>
    <w:rsid w:val="00A148C2"/>
    <w:rsid w:val="00A16499"/>
    <w:rsid w:val="00A23AFC"/>
    <w:rsid w:val="00A25779"/>
    <w:rsid w:val="00A278B4"/>
    <w:rsid w:val="00A31343"/>
    <w:rsid w:val="00A31B26"/>
    <w:rsid w:val="00A33F3A"/>
    <w:rsid w:val="00A37867"/>
    <w:rsid w:val="00A40CC8"/>
    <w:rsid w:val="00A421D0"/>
    <w:rsid w:val="00A431A4"/>
    <w:rsid w:val="00A44743"/>
    <w:rsid w:val="00A5084F"/>
    <w:rsid w:val="00A50EFF"/>
    <w:rsid w:val="00A539E2"/>
    <w:rsid w:val="00A54558"/>
    <w:rsid w:val="00A5463E"/>
    <w:rsid w:val="00A562FC"/>
    <w:rsid w:val="00A568B2"/>
    <w:rsid w:val="00A60C88"/>
    <w:rsid w:val="00A6276B"/>
    <w:rsid w:val="00A62D61"/>
    <w:rsid w:val="00A652F6"/>
    <w:rsid w:val="00A67279"/>
    <w:rsid w:val="00A678C8"/>
    <w:rsid w:val="00A732C4"/>
    <w:rsid w:val="00A740EB"/>
    <w:rsid w:val="00A741EC"/>
    <w:rsid w:val="00A77CD2"/>
    <w:rsid w:val="00A805B8"/>
    <w:rsid w:val="00A87B96"/>
    <w:rsid w:val="00A908AD"/>
    <w:rsid w:val="00A957C8"/>
    <w:rsid w:val="00A95E77"/>
    <w:rsid w:val="00A95E79"/>
    <w:rsid w:val="00AA0235"/>
    <w:rsid w:val="00AA1CFE"/>
    <w:rsid w:val="00AA3300"/>
    <w:rsid w:val="00AA6485"/>
    <w:rsid w:val="00AA6D70"/>
    <w:rsid w:val="00AB43F6"/>
    <w:rsid w:val="00AB4D2B"/>
    <w:rsid w:val="00AC1095"/>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67FF"/>
    <w:rsid w:val="00B120A0"/>
    <w:rsid w:val="00B12896"/>
    <w:rsid w:val="00B16AF4"/>
    <w:rsid w:val="00B200DB"/>
    <w:rsid w:val="00B232C0"/>
    <w:rsid w:val="00B232FE"/>
    <w:rsid w:val="00B23C1F"/>
    <w:rsid w:val="00B254A8"/>
    <w:rsid w:val="00B26D22"/>
    <w:rsid w:val="00B3108D"/>
    <w:rsid w:val="00B3150E"/>
    <w:rsid w:val="00B32857"/>
    <w:rsid w:val="00B40FB9"/>
    <w:rsid w:val="00B4243F"/>
    <w:rsid w:val="00B4351C"/>
    <w:rsid w:val="00B447BE"/>
    <w:rsid w:val="00B44AD0"/>
    <w:rsid w:val="00B45044"/>
    <w:rsid w:val="00B4671C"/>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4B73"/>
    <w:rsid w:val="00BA5AD6"/>
    <w:rsid w:val="00BB15E1"/>
    <w:rsid w:val="00BB7F4F"/>
    <w:rsid w:val="00BC46B4"/>
    <w:rsid w:val="00BD0EFE"/>
    <w:rsid w:val="00BD4EC0"/>
    <w:rsid w:val="00BD6587"/>
    <w:rsid w:val="00BD79D6"/>
    <w:rsid w:val="00BE2B90"/>
    <w:rsid w:val="00BE3091"/>
    <w:rsid w:val="00BE6DA2"/>
    <w:rsid w:val="00BF6AEE"/>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B5DAE"/>
    <w:rsid w:val="00CC29E6"/>
    <w:rsid w:val="00CC3408"/>
    <w:rsid w:val="00CC403D"/>
    <w:rsid w:val="00CD157D"/>
    <w:rsid w:val="00CD41ED"/>
    <w:rsid w:val="00CD43D9"/>
    <w:rsid w:val="00CD5365"/>
    <w:rsid w:val="00CD55FE"/>
    <w:rsid w:val="00CE1140"/>
    <w:rsid w:val="00CE2E39"/>
    <w:rsid w:val="00CE4B6B"/>
    <w:rsid w:val="00CF1A99"/>
    <w:rsid w:val="00D04CAE"/>
    <w:rsid w:val="00D06804"/>
    <w:rsid w:val="00D10EA8"/>
    <w:rsid w:val="00D14CD5"/>
    <w:rsid w:val="00D228E0"/>
    <w:rsid w:val="00D308E1"/>
    <w:rsid w:val="00D324E2"/>
    <w:rsid w:val="00D33934"/>
    <w:rsid w:val="00D47C72"/>
    <w:rsid w:val="00D52406"/>
    <w:rsid w:val="00D54186"/>
    <w:rsid w:val="00D5647F"/>
    <w:rsid w:val="00D6235D"/>
    <w:rsid w:val="00D62B42"/>
    <w:rsid w:val="00D643D6"/>
    <w:rsid w:val="00D66DC7"/>
    <w:rsid w:val="00D726B1"/>
    <w:rsid w:val="00D729D1"/>
    <w:rsid w:val="00D74A0F"/>
    <w:rsid w:val="00D76C09"/>
    <w:rsid w:val="00D7774C"/>
    <w:rsid w:val="00D8237B"/>
    <w:rsid w:val="00D8315B"/>
    <w:rsid w:val="00D832E7"/>
    <w:rsid w:val="00D865BD"/>
    <w:rsid w:val="00D91AED"/>
    <w:rsid w:val="00D91C80"/>
    <w:rsid w:val="00D94065"/>
    <w:rsid w:val="00D96DD0"/>
    <w:rsid w:val="00DA0EBC"/>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1A53"/>
    <w:rsid w:val="00E847D7"/>
    <w:rsid w:val="00E91F3F"/>
    <w:rsid w:val="00E93982"/>
    <w:rsid w:val="00E93DD9"/>
    <w:rsid w:val="00E96A6C"/>
    <w:rsid w:val="00EA19C1"/>
    <w:rsid w:val="00EA73BA"/>
    <w:rsid w:val="00EB5437"/>
    <w:rsid w:val="00EC07E4"/>
    <w:rsid w:val="00EC1B5B"/>
    <w:rsid w:val="00EC357F"/>
    <w:rsid w:val="00ED5765"/>
    <w:rsid w:val="00ED5DFE"/>
    <w:rsid w:val="00ED7468"/>
    <w:rsid w:val="00EE011A"/>
    <w:rsid w:val="00EE2B63"/>
    <w:rsid w:val="00EE3A0C"/>
    <w:rsid w:val="00EF2A1B"/>
    <w:rsid w:val="00EF5AAC"/>
    <w:rsid w:val="00EF6FED"/>
    <w:rsid w:val="00F01B28"/>
    <w:rsid w:val="00F03702"/>
    <w:rsid w:val="00F13835"/>
    <w:rsid w:val="00F14272"/>
    <w:rsid w:val="00F23090"/>
    <w:rsid w:val="00F23B0A"/>
    <w:rsid w:val="00F262CB"/>
    <w:rsid w:val="00F305FF"/>
    <w:rsid w:val="00F354B1"/>
    <w:rsid w:val="00F3647C"/>
    <w:rsid w:val="00F46CC5"/>
    <w:rsid w:val="00F5093F"/>
    <w:rsid w:val="00F51DD8"/>
    <w:rsid w:val="00F57B43"/>
    <w:rsid w:val="00F6096E"/>
    <w:rsid w:val="00F60D32"/>
    <w:rsid w:val="00F63B87"/>
    <w:rsid w:val="00F66E34"/>
    <w:rsid w:val="00F732F9"/>
    <w:rsid w:val="00F74ED8"/>
    <w:rsid w:val="00F75C7E"/>
    <w:rsid w:val="00F779CE"/>
    <w:rsid w:val="00F86FF2"/>
    <w:rsid w:val="00F87F4F"/>
    <w:rsid w:val="00F971BA"/>
    <w:rsid w:val="00FA558E"/>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7F38699-F361-4A65-88CF-40E9EEED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5922</CharactersWithSpaces>
  <SharedDoc>false</SharedDoc>
  <HLinks>
    <vt:vector size="54" baseType="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8257545</vt:i4>
      </vt:variant>
      <vt:variant>
        <vt:i4>0</vt:i4>
      </vt:variant>
      <vt:variant>
        <vt:i4>0</vt:i4>
      </vt:variant>
      <vt:variant>
        <vt:i4>5</vt:i4>
      </vt:variant>
      <vt:variant>
        <vt:lpwstr>http://www.nevo.co.il/Law_word/law06/TAK-6716.pdf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התכנון והבניה (סדרי דין בבקשה לפי סעיף 207 לחוק), תשס"ט-2008</vt:lpwstr>
  </property>
  <property fmtid="{D5CDD505-2E9C-101B-9397-08002B2CF9AE}" pid="4" name="LAWNUMBER">
    <vt:lpwstr>0020</vt:lpwstr>
  </property>
  <property fmtid="{D5CDD505-2E9C-101B-9397-08002B2CF9AE}" pid="5" name="TYPE">
    <vt:lpwstr>01</vt:lpwstr>
  </property>
  <property fmtid="{D5CDD505-2E9C-101B-9397-08002B2CF9AE}" pid="6" name="CHNAME">
    <vt:lpwstr>תכנון ובניה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http://www.nevo.co.il/Law_word/law06/TAK-6716.pdf;‎רשומות - תקנות כלליות#פורסמו ק"ת ‏תשס"ט מס' 6716 #מיום 6.10.2008 עמ' 10‏</vt:lpwstr>
  </property>
  <property fmtid="{D5CDD505-2E9C-101B-9397-08002B2CF9AE}" pid="23" name="MEKOR_NAME1">
    <vt:lpwstr>חוק התכנון והבניה</vt:lpwstr>
  </property>
  <property fmtid="{D5CDD505-2E9C-101B-9397-08002B2CF9AE}" pid="24" name="MEKOR_SAIF1">
    <vt:lpwstr>268X</vt:lpwstr>
  </property>
  <property fmtid="{D5CDD505-2E9C-101B-9397-08002B2CF9AE}" pid="25" name="NOSE11">
    <vt:lpwstr>רשויות ומשפט מנהלי</vt:lpwstr>
  </property>
  <property fmtid="{D5CDD505-2E9C-101B-9397-08002B2CF9AE}" pid="26" name="NOSE21">
    <vt:lpwstr>תכנון ובניה</vt:lpwstr>
  </property>
  <property fmtid="{D5CDD505-2E9C-101B-9397-08002B2CF9AE}" pid="27" name="NOSE31">
    <vt:lpwstr>סדרי דין</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