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674F" w:rsidRDefault="0071674F">
      <w:pPr>
        <w:pStyle w:val="big-header"/>
        <w:ind w:left="0" w:right="1134"/>
        <w:rPr>
          <w:rFonts w:cs="FrankRuehl" w:hint="cs"/>
          <w:sz w:val="32"/>
          <w:rtl/>
        </w:rPr>
      </w:pPr>
      <w:r>
        <w:rPr>
          <w:rFonts w:cs="FrankRuehl" w:hint="cs"/>
          <w:sz w:val="32"/>
          <w:rtl/>
        </w:rPr>
        <w:t xml:space="preserve">תקנות התכנון והבניה (סדרי הדיון בקיום דיון חוזר במוסד תכנון), </w:t>
      </w:r>
      <w:r>
        <w:rPr>
          <w:rFonts w:cs="FrankRuehl"/>
          <w:sz w:val="32"/>
          <w:rtl/>
        </w:rPr>
        <w:br/>
      </w:r>
      <w:r>
        <w:rPr>
          <w:rFonts w:cs="FrankRuehl" w:hint="cs"/>
          <w:sz w:val="32"/>
          <w:rtl/>
        </w:rPr>
        <w:t>תשס"ג-2003</w:t>
      </w:r>
    </w:p>
    <w:p w:rsidR="00BF0330" w:rsidRDefault="00BF0330" w:rsidP="00BF0330">
      <w:pPr>
        <w:spacing w:line="320" w:lineRule="auto"/>
        <w:rPr>
          <w:rFonts w:hint="cs"/>
          <w:rtl/>
        </w:rPr>
      </w:pPr>
    </w:p>
    <w:p w:rsidR="00CB41E2" w:rsidRDefault="00CB41E2" w:rsidP="00BF0330">
      <w:pPr>
        <w:spacing w:line="320" w:lineRule="auto"/>
        <w:rPr>
          <w:rFonts w:hint="cs"/>
          <w:rtl/>
        </w:rPr>
      </w:pPr>
    </w:p>
    <w:p w:rsidR="00BF0330" w:rsidRPr="00BF0330" w:rsidRDefault="00BF0330" w:rsidP="00BF0330">
      <w:pPr>
        <w:spacing w:line="320" w:lineRule="auto"/>
        <w:rPr>
          <w:rFonts w:cs="Miriam"/>
          <w:szCs w:val="22"/>
          <w:rtl/>
        </w:rPr>
      </w:pPr>
      <w:r w:rsidRPr="00BF0330">
        <w:rPr>
          <w:rFonts w:cs="Miriam"/>
          <w:szCs w:val="22"/>
          <w:rtl/>
        </w:rPr>
        <w:t>רשויות ומשפט מנהלי</w:t>
      </w:r>
      <w:r w:rsidRPr="00BF0330">
        <w:rPr>
          <w:rFonts w:cs="FrankRuehl"/>
          <w:szCs w:val="26"/>
          <w:rtl/>
        </w:rPr>
        <w:t xml:space="preserve"> – תכנון ובניה</w:t>
      </w:r>
    </w:p>
    <w:p w:rsidR="0071674F" w:rsidRDefault="0071674F">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E2FF3" w:rsidRPr="00CE2FF3" w:rsidTr="00CE2FF3">
        <w:tblPrEx>
          <w:tblCellMar>
            <w:top w:w="0" w:type="dxa"/>
            <w:bottom w:w="0" w:type="dxa"/>
          </w:tblCellMar>
        </w:tblPrEx>
        <w:tc>
          <w:tcPr>
            <w:tcW w:w="1247" w:type="dxa"/>
          </w:tcPr>
          <w:p w:rsidR="00CE2FF3" w:rsidRPr="00CE2FF3" w:rsidRDefault="00CE2FF3" w:rsidP="00CE2FF3">
            <w:pPr>
              <w:rPr>
                <w:rFonts w:cs="Frankruhel"/>
                <w:rtl/>
              </w:rPr>
            </w:pPr>
            <w:r>
              <w:rPr>
                <w:rtl/>
              </w:rPr>
              <w:t xml:space="preserve">סעיף 1 </w:t>
            </w:r>
          </w:p>
        </w:tc>
        <w:tc>
          <w:tcPr>
            <w:tcW w:w="5669" w:type="dxa"/>
          </w:tcPr>
          <w:p w:rsidR="00CE2FF3" w:rsidRPr="00CE2FF3" w:rsidRDefault="00CE2FF3" w:rsidP="00CE2FF3">
            <w:pPr>
              <w:rPr>
                <w:rFonts w:cs="Frankruhel"/>
                <w:rtl/>
              </w:rPr>
            </w:pPr>
            <w:r>
              <w:rPr>
                <w:rtl/>
              </w:rPr>
              <w:t>הגדרות</w:t>
            </w:r>
          </w:p>
        </w:tc>
        <w:tc>
          <w:tcPr>
            <w:tcW w:w="567" w:type="dxa"/>
          </w:tcPr>
          <w:p w:rsidR="00CE2FF3" w:rsidRPr="00CE2FF3" w:rsidRDefault="00CE2FF3" w:rsidP="00CE2FF3">
            <w:pPr>
              <w:rPr>
                <w:rStyle w:val="Hyperlink"/>
                <w:rtl/>
              </w:rPr>
            </w:pPr>
            <w:hyperlink w:anchor="Seif1" w:tooltip="הגדרות" w:history="1">
              <w:r w:rsidRPr="00CE2FF3">
                <w:rPr>
                  <w:rStyle w:val="Hyperlink"/>
                </w:rPr>
                <w:t>Go</w:t>
              </w:r>
            </w:hyperlink>
          </w:p>
        </w:tc>
        <w:tc>
          <w:tcPr>
            <w:tcW w:w="850" w:type="dxa"/>
          </w:tcPr>
          <w:p w:rsidR="00CE2FF3" w:rsidRPr="00CE2FF3" w:rsidRDefault="00CE2FF3" w:rsidP="00CE2FF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E2FF3" w:rsidRPr="00CE2FF3" w:rsidTr="00CE2FF3">
        <w:tblPrEx>
          <w:tblCellMar>
            <w:top w:w="0" w:type="dxa"/>
            <w:bottom w:w="0" w:type="dxa"/>
          </w:tblCellMar>
        </w:tblPrEx>
        <w:tc>
          <w:tcPr>
            <w:tcW w:w="1247" w:type="dxa"/>
          </w:tcPr>
          <w:p w:rsidR="00CE2FF3" w:rsidRPr="00CE2FF3" w:rsidRDefault="00CE2FF3" w:rsidP="00CE2FF3">
            <w:pPr>
              <w:rPr>
                <w:rFonts w:cs="Frankruhel"/>
                <w:rtl/>
              </w:rPr>
            </w:pPr>
            <w:r>
              <w:rPr>
                <w:rtl/>
              </w:rPr>
              <w:t xml:space="preserve">סעיף 2 </w:t>
            </w:r>
          </w:p>
        </w:tc>
        <w:tc>
          <w:tcPr>
            <w:tcW w:w="5669" w:type="dxa"/>
          </w:tcPr>
          <w:p w:rsidR="00CE2FF3" w:rsidRPr="00CE2FF3" w:rsidRDefault="00CE2FF3" w:rsidP="00CE2FF3">
            <w:pPr>
              <w:rPr>
                <w:rFonts w:cs="Frankruhel"/>
                <w:rtl/>
              </w:rPr>
            </w:pPr>
            <w:r>
              <w:rPr>
                <w:rtl/>
              </w:rPr>
              <w:t>הגשת דרישה לדיון חוזר</w:t>
            </w:r>
          </w:p>
        </w:tc>
        <w:tc>
          <w:tcPr>
            <w:tcW w:w="567" w:type="dxa"/>
          </w:tcPr>
          <w:p w:rsidR="00CE2FF3" w:rsidRPr="00CE2FF3" w:rsidRDefault="00CE2FF3" w:rsidP="00CE2FF3">
            <w:pPr>
              <w:rPr>
                <w:rStyle w:val="Hyperlink"/>
                <w:rtl/>
              </w:rPr>
            </w:pPr>
            <w:hyperlink w:anchor="Seif2" w:tooltip="הגשת דרישה לדיון חוזר" w:history="1">
              <w:r w:rsidRPr="00CE2FF3">
                <w:rPr>
                  <w:rStyle w:val="Hyperlink"/>
                </w:rPr>
                <w:t>Go</w:t>
              </w:r>
            </w:hyperlink>
          </w:p>
        </w:tc>
        <w:tc>
          <w:tcPr>
            <w:tcW w:w="850" w:type="dxa"/>
          </w:tcPr>
          <w:p w:rsidR="00CE2FF3" w:rsidRPr="00CE2FF3" w:rsidRDefault="00CE2FF3" w:rsidP="00CE2FF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E2FF3" w:rsidRPr="00CE2FF3" w:rsidTr="00CE2FF3">
        <w:tblPrEx>
          <w:tblCellMar>
            <w:top w:w="0" w:type="dxa"/>
            <w:bottom w:w="0" w:type="dxa"/>
          </w:tblCellMar>
        </w:tblPrEx>
        <w:tc>
          <w:tcPr>
            <w:tcW w:w="1247" w:type="dxa"/>
          </w:tcPr>
          <w:p w:rsidR="00CE2FF3" w:rsidRPr="00CE2FF3" w:rsidRDefault="00CE2FF3" w:rsidP="00CE2FF3">
            <w:pPr>
              <w:rPr>
                <w:rFonts w:cs="Frankruhel"/>
                <w:rtl/>
              </w:rPr>
            </w:pPr>
            <w:r>
              <w:rPr>
                <w:rtl/>
              </w:rPr>
              <w:t xml:space="preserve">סעיף 3 </w:t>
            </w:r>
          </w:p>
        </w:tc>
        <w:tc>
          <w:tcPr>
            <w:tcW w:w="5669" w:type="dxa"/>
          </w:tcPr>
          <w:p w:rsidR="00CE2FF3" w:rsidRPr="00CE2FF3" w:rsidRDefault="00CE2FF3" w:rsidP="00CE2FF3">
            <w:pPr>
              <w:rPr>
                <w:rFonts w:cs="Frankruhel"/>
                <w:rtl/>
              </w:rPr>
            </w:pPr>
            <w:r>
              <w:rPr>
                <w:rtl/>
              </w:rPr>
              <w:t>מועד קיום הדיון החוזר</w:t>
            </w:r>
          </w:p>
        </w:tc>
        <w:tc>
          <w:tcPr>
            <w:tcW w:w="567" w:type="dxa"/>
          </w:tcPr>
          <w:p w:rsidR="00CE2FF3" w:rsidRPr="00CE2FF3" w:rsidRDefault="00CE2FF3" w:rsidP="00CE2FF3">
            <w:pPr>
              <w:rPr>
                <w:rStyle w:val="Hyperlink"/>
                <w:rtl/>
              </w:rPr>
            </w:pPr>
            <w:hyperlink w:anchor="Seif3" w:tooltip="מועד קיום הדיון החוזר" w:history="1">
              <w:r w:rsidRPr="00CE2FF3">
                <w:rPr>
                  <w:rStyle w:val="Hyperlink"/>
                </w:rPr>
                <w:t>Go</w:t>
              </w:r>
            </w:hyperlink>
          </w:p>
        </w:tc>
        <w:tc>
          <w:tcPr>
            <w:tcW w:w="850" w:type="dxa"/>
          </w:tcPr>
          <w:p w:rsidR="00CE2FF3" w:rsidRPr="00CE2FF3" w:rsidRDefault="00CE2FF3" w:rsidP="00CE2FF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CE2FF3" w:rsidRPr="00CE2FF3" w:rsidTr="00CE2FF3">
        <w:tblPrEx>
          <w:tblCellMar>
            <w:top w:w="0" w:type="dxa"/>
            <w:bottom w:w="0" w:type="dxa"/>
          </w:tblCellMar>
        </w:tblPrEx>
        <w:tc>
          <w:tcPr>
            <w:tcW w:w="1247" w:type="dxa"/>
          </w:tcPr>
          <w:p w:rsidR="00CE2FF3" w:rsidRPr="00CE2FF3" w:rsidRDefault="00CE2FF3" w:rsidP="00CE2FF3">
            <w:pPr>
              <w:rPr>
                <w:rFonts w:cs="Frankruhel"/>
                <w:rtl/>
              </w:rPr>
            </w:pPr>
            <w:r>
              <w:rPr>
                <w:rtl/>
              </w:rPr>
              <w:t xml:space="preserve">סעיף 4 </w:t>
            </w:r>
          </w:p>
        </w:tc>
        <w:tc>
          <w:tcPr>
            <w:tcW w:w="5669" w:type="dxa"/>
          </w:tcPr>
          <w:p w:rsidR="00CE2FF3" w:rsidRPr="00CE2FF3" w:rsidRDefault="00CE2FF3" w:rsidP="00CE2FF3">
            <w:pPr>
              <w:rPr>
                <w:rFonts w:cs="Frankruhel"/>
                <w:rtl/>
              </w:rPr>
            </w:pPr>
            <w:r>
              <w:rPr>
                <w:rtl/>
              </w:rPr>
              <w:t>סמכות מוסד תכנון בדיון חוזר</w:t>
            </w:r>
          </w:p>
        </w:tc>
        <w:tc>
          <w:tcPr>
            <w:tcW w:w="567" w:type="dxa"/>
          </w:tcPr>
          <w:p w:rsidR="00CE2FF3" w:rsidRPr="00CE2FF3" w:rsidRDefault="00CE2FF3" w:rsidP="00CE2FF3">
            <w:pPr>
              <w:rPr>
                <w:rStyle w:val="Hyperlink"/>
                <w:rtl/>
              </w:rPr>
            </w:pPr>
            <w:hyperlink w:anchor="Seif4" w:tooltip="סמכות מוסד תכנון בדיון חוזר" w:history="1">
              <w:r w:rsidRPr="00CE2FF3">
                <w:rPr>
                  <w:rStyle w:val="Hyperlink"/>
                </w:rPr>
                <w:t>Go</w:t>
              </w:r>
            </w:hyperlink>
          </w:p>
        </w:tc>
        <w:tc>
          <w:tcPr>
            <w:tcW w:w="850" w:type="dxa"/>
          </w:tcPr>
          <w:p w:rsidR="00CE2FF3" w:rsidRPr="00CE2FF3" w:rsidRDefault="00CE2FF3" w:rsidP="00CE2FF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CE2FF3" w:rsidRPr="00CE2FF3" w:rsidTr="00CE2FF3">
        <w:tblPrEx>
          <w:tblCellMar>
            <w:top w:w="0" w:type="dxa"/>
            <w:bottom w:w="0" w:type="dxa"/>
          </w:tblCellMar>
        </w:tblPrEx>
        <w:tc>
          <w:tcPr>
            <w:tcW w:w="1247" w:type="dxa"/>
          </w:tcPr>
          <w:p w:rsidR="00CE2FF3" w:rsidRPr="00CE2FF3" w:rsidRDefault="00CE2FF3" w:rsidP="00CE2FF3">
            <w:pPr>
              <w:rPr>
                <w:rFonts w:cs="Frankruhel"/>
                <w:rtl/>
              </w:rPr>
            </w:pPr>
            <w:r>
              <w:rPr>
                <w:rtl/>
              </w:rPr>
              <w:t xml:space="preserve">סעיף 5 </w:t>
            </w:r>
          </w:p>
        </w:tc>
        <w:tc>
          <w:tcPr>
            <w:tcW w:w="5669" w:type="dxa"/>
          </w:tcPr>
          <w:p w:rsidR="00CE2FF3" w:rsidRPr="00CE2FF3" w:rsidRDefault="00CE2FF3" w:rsidP="00CE2FF3">
            <w:pPr>
              <w:rPr>
                <w:rFonts w:cs="Frankruhel"/>
                <w:rtl/>
              </w:rPr>
            </w:pPr>
            <w:r>
              <w:rPr>
                <w:rtl/>
              </w:rPr>
              <w:t>סדר הדיון ושמיעת צדדים הנוגעים בדבר</w:t>
            </w:r>
          </w:p>
        </w:tc>
        <w:tc>
          <w:tcPr>
            <w:tcW w:w="567" w:type="dxa"/>
          </w:tcPr>
          <w:p w:rsidR="00CE2FF3" w:rsidRPr="00CE2FF3" w:rsidRDefault="00CE2FF3" w:rsidP="00CE2FF3">
            <w:pPr>
              <w:rPr>
                <w:rStyle w:val="Hyperlink"/>
                <w:rtl/>
              </w:rPr>
            </w:pPr>
            <w:hyperlink w:anchor="Seif5" w:tooltip="סדר הדיון ושמיעת צדדים הנוגעים בדבר" w:history="1">
              <w:r w:rsidRPr="00CE2FF3">
                <w:rPr>
                  <w:rStyle w:val="Hyperlink"/>
                </w:rPr>
                <w:t>Go</w:t>
              </w:r>
            </w:hyperlink>
          </w:p>
        </w:tc>
        <w:tc>
          <w:tcPr>
            <w:tcW w:w="850" w:type="dxa"/>
          </w:tcPr>
          <w:p w:rsidR="00CE2FF3" w:rsidRPr="00CE2FF3" w:rsidRDefault="00CE2FF3" w:rsidP="00CE2FF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CE2FF3" w:rsidRPr="00CE2FF3" w:rsidTr="00CE2FF3">
        <w:tblPrEx>
          <w:tblCellMar>
            <w:top w:w="0" w:type="dxa"/>
            <w:bottom w:w="0" w:type="dxa"/>
          </w:tblCellMar>
        </w:tblPrEx>
        <w:tc>
          <w:tcPr>
            <w:tcW w:w="1247" w:type="dxa"/>
          </w:tcPr>
          <w:p w:rsidR="00CE2FF3" w:rsidRPr="00CE2FF3" w:rsidRDefault="00CE2FF3" w:rsidP="00CE2FF3">
            <w:pPr>
              <w:rPr>
                <w:rFonts w:cs="Frankruhel"/>
                <w:rtl/>
              </w:rPr>
            </w:pPr>
            <w:r>
              <w:rPr>
                <w:rtl/>
              </w:rPr>
              <w:t xml:space="preserve">סעיף 6 </w:t>
            </w:r>
          </w:p>
        </w:tc>
        <w:tc>
          <w:tcPr>
            <w:tcW w:w="5669" w:type="dxa"/>
          </w:tcPr>
          <w:p w:rsidR="00CE2FF3" w:rsidRPr="00CE2FF3" w:rsidRDefault="00CE2FF3" w:rsidP="00CE2FF3">
            <w:pPr>
              <w:rPr>
                <w:rFonts w:cs="Frankruhel"/>
                <w:rtl/>
              </w:rPr>
            </w:pPr>
            <w:r>
              <w:rPr>
                <w:rtl/>
              </w:rPr>
              <w:t>מועד לקבלת החלטה בדיון חוזר</w:t>
            </w:r>
          </w:p>
        </w:tc>
        <w:tc>
          <w:tcPr>
            <w:tcW w:w="567" w:type="dxa"/>
          </w:tcPr>
          <w:p w:rsidR="00CE2FF3" w:rsidRPr="00CE2FF3" w:rsidRDefault="00CE2FF3" w:rsidP="00CE2FF3">
            <w:pPr>
              <w:rPr>
                <w:rStyle w:val="Hyperlink"/>
                <w:rtl/>
              </w:rPr>
            </w:pPr>
            <w:hyperlink w:anchor="Seif6" w:tooltip="מועד לקבלת החלטה בדיון חוזר" w:history="1">
              <w:r w:rsidRPr="00CE2FF3">
                <w:rPr>
                  <w:rStyle w:val="Hyperlink"/>
                </w:rPr>
                <w:t>Go</w:t>
              </w:r>
            </w:hyperlink>
          </w:p>
        </w:tc>
        <w:tc>
          <w:tcPr>
            <w:tcW w:w="850" w:type="dxa"/>
          </w:tcPr>
          <w:p w:rsidR="00CE2FF3" w:rsidRPr="00CE2FF3" w:rsidRDefault="00CE2FF3" w:rsidP="00CE2FF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CE2FF3" w:rsidRPr="00CE2FF3" w:rsidTr="00CE2FF3">
        <w:tblPrEx>
          <w:tblCellMar>
            <w:top w:w="0" w:type="dxa"/>
            <w:bottom w:w="0" w:type="dxa"/>
          </w:tblCellMar>
        </w:tblPrEx>
        <w:tc>
          <w:tcPr>
            <w:tcW w:w="1247" w:type="dxa"/>
          </w:tcPr>
          <w:p w:rsidR="00CE2FF3" w:rsidRPr="00CE2FF3" w:rsidRDefault="00CE2FF3" w:rsidP="00CE2FF3">
            <w:pPr>
              <w:rPr>
                <w:rFonts w:cs="Frankruhel"/>
                <w:rtl/>
              </w:rPr>
            </w:pPr>
            <w:r>
              <w:rPr>
                <w:rtl/>
              </w:rPr>
              <w:t xml:space="preserve">סעיף 7 </w:t>
            </w:r>
          </w:p>
        </w:tc>
        <w:tc>
          <w:tcPr>
            <w:tcW w:w="5669" w:type="dxa"/>
          </w:tcPr>
          <w:p w:rsidR="00CE2FF3" w:rsidRPr="00CE2FF3" w:rsidRDefault="00CE2FF3" w:rsidP="00CE2FF3">
            <w:pPr>
              <w:rPr>
                <w:rFonts w:cs="Frankruhel"/>
                <w:rtl/>
              </w:rPr>
            </w:pPr>
            <w:r>
              <w:rPr>
                <w:rtl/>
              </w:rPr>
              <w:t>תחילה</w:t>
            </w:r>
          </w:p>
        </w:tc>
        <w:tc>
          <w:tcPr>
            <w:tcW w:w="567" w:type="dxa"/>
          </w:tcPr>
          <w:p w:rsidR="00CE2FF3" w:rsidRPr="00CE2FF3" w:rsidRDefault="00CE2FF3" w:rsidP="00CE2FF3">
            <w:pPr>
              <w:rPr>
                <w:rStyle w:val="Hyperlink"/>
                <w:rtl/>
              </w:rPr>
            </w:pPr>
            <w:hyperlink w:anchor="Seif7" w:tooltip="תחילה" w:history="1">
              <w:r w:rsidRPr="00CE2FF3">
                <w:rPr>
                  <w:rStyle w:val="Hyperlink"/>
                </w:rPr>
                <w:t>Go</w:t>
              </w:r>
            </w:hyperlink>
          </w:p>
        </w:tc>
        <w:tc>
          <w:tcPr>
            <w:tcW w:w="850" w:type="dxa"/>
          </w:tcPr>
          <w:p w:rsidR="00CE2FF3" w:rsidRPr="00CE2FF3" w:rsidRDefault="00CE2FF3" w:rsidP="00CE2FF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bl>
    <w:p w:rsidR="0071674F" w:rsidRDefault="0071674F">
      <w:pPr>
        <w:pStyle w:val="big-header"/>
        <w:ind w:left="0" w:right="1134"/>
        <w:rPr>
          <w:rtl/>
        </w:rPr>
      </w:pPr>
    </w:p>
    <w:p w:rsidR="0071674F" w:rsidRDefault="0071674F" w:rsidP="00BF0330">
      <w:pPr>
        <w:pStyle w:val="big-header"/>
        <w:ind w:left="0" w:right="1134"/>
        <w:rPr>
          <w:rStyle w:val="default"/>
          <w:rFonts w:hint="cs"/>
          <w:sz w:val="22"/>
          <w:szCs w:val="22"/>
          <w:rtl/>
        </w:rPr>
      </w:pPr>
      <w:r>
        <w:rPr>
          <w:rtl/>
        </w:rPr>
        <w:br w:type="page"/>
      </w:r>
      <w:r>
        <w:rPr>
          <w:rFonts w:cs="FrankRuehl" w:hint="cs"/>
          <w:sz w:val="32"/>
          <w:rtl/>
        </w:rPr>
        <w:lastRenderedPageBreak/>
        <w:t xml:space="preserve">תקנות התכנון והבניה (סדרי הדיון בקיום דיון חוזר במוסד תכנון), </w:t>
      </w:r>
      <w:r>
        <w:rPr>
          <w:rFonts w:cs="FrankRuehl"/>
          <w:sz w:val="32"/>
          <w:rtl/>
        </w:rPr>
        <w:br/>
      </w:r>
      <w:r>
        <w:rPr>
          <w:rFonts w:cs="FrankRuehl" w:hint="cs"/>
          <w:sz w:val="32"/>
          <w:rtl/>
        </w:rPr>
        <w:t>תשס"ג-2003</w:t>
      </w:r>
      <w:r>
        <w:rPr>
          <w:rStyle w:val="default"/>
          <w:sz w:val="22"/>
          <w:szCs w:val="22"/>
          <w:rtl/>
        </w:rPr>
        <w:footnoteReference w:customMarkFollows="1" w:id="1"/>
        <w:t>*</w:t>
      </w:r>
    </w:p>
    <w:p w:rsidR="0071674F" w:rsidRDefault="0071674F">
      <w:pPr>
        <w:pStyle w:val="P00"/>
        <w:spacing w:before="72"/>
        <w:ind w:left="0" w:right="1134"/>
        <w:rPr>
          <w:rStyle w:val="default"/>
          <w:rFonts w:cs="FrankRuehl"/>
          <w:rtl/>
        </w:rPr>
      </w:pPr>
      <w:r>
        <w:rPr>
          <w:rFonts w:cs="FrankRuehl"/>
          <w:sz w:val="26"/>
          <w:rtl/>
        </w:rPr>
        <w:tab/>
      </w:r>
      <w:r>
        <w:rPr>
          <w:rStyle w:val="default"/>
          <w:rFonts w:cs="FrankRuehl"/>
          <w:rtl/>
        </w:rPr>
        <w:t>בתוקף סמכות</w:t>
      </w:r>
      <w:r>
        <w:rPr>
          <w:rStyle w:val="default"/>
          <w:rFonts w:cs="FrankRuehl" w:hint="cs"/>
          <w:rtl/>
        </w:rPr>
        <w:t>י</w:t>
      </w:r>
      <w:r>
        <w:rPr>
          <w:rStyle w:val="default"/>
          <w:rFonts w:cs="FrankRuehl"/>
          <w:rtl/>
        </w:rPr>
        <w:t xml:space="preserve"> לפי </w:t>
      </w:r>
      <w:r>
        <w:rPr>
          <w:rStyle w:val="default"/>
          <w:rFonts w:cs="FrankRuehl" w:hint="cs"/>
          <w:rtl/>
        </w:rPr>
        <w:t xml:space="preserve">סעיף 265 לחוק התכנון והבניה, התשכ"ה-1965 (להלן </w:t>
      </w:r>
      <w:r>
        <w:rPr>
          <w:rStyle w:val="default"/>
          <w:rFonts w:cs="FrankRuehl"/>
          <w:rtl/>
        </w:rPr>
        <w:t>–</w:t>
      </w:r>
      <w:r>
        <w:rPr>
          <w:rStyle w:val="default"/>
          <w:rFonts w:cs="FrankRuehl" w:hint="cs"/>
          <w:rtl/>
        </w:rPr>
        <w:t xml:space="preserve"> החוק), ולאחר התייעצות עם המועצה הארצית לתכנון ולבניה, אני מתקין תקנות אלה</w:t>
      </w:r>
      <w:r>
        <w:rPr>
          <w:rStyle w:val="default"/>
          <w:rFonts w:cs="FrankRuehl"/>
          <w:rtl/>
        </w:rPr>
        <w:t>:</w:t>
      </w:r>
    </w:p>
    <w:p w:rsidR="0071674F" w:rsidRDefault="0071674F">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8.05pt;width:71.55pt;height:10pt;z-index:251654144" o:allowincell="f" filled="f" stroked="f" strokecolor="lime" strokeweight=".25pt">
            <v:textbox inset="0,0,0,0">
              <w:txbxContent>
                <w:p w:rsidR="0071674F" w:rsidRDefault="0071674F">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rsidR="0071674F" w:rsidRDefault="0071674F">
      <w:pPr>
        <w:pStyle w:val="P00"/>
        <w:spacing w:before="72"/>
        <w:ind w:left="0" w:right="1134"/>
        <w:rPr>
          <w:rStyle w:val="default"/>
          <w:rFonts w:cs="FrankRuehl" w:hint="cs"/>
          <w:rtl/>
        </w:rPr>
      </w:pPr>
      <w:r>
        <w:rPr>
          <w:rStyle w:val="default"/>
          <w:rFonts w:cs="FrankRuehl" w:hint="cs"/>
          <w:rtl/>
        </w:rPr>
        <w:tab/>
        <w:t xml:space="preserve">"דיון חוזר" </w:t>
      </w:r>
      <w:r>
        <w:rPr>
          <w:rStyle w:val="default"/>
          <w:rFonts w:cs="FrankRuehl"/>
          <w:rtl/>
        </w:rPr>
        <w:t>–</w:t>
      </w:r>
      <w:r>
        <w:rPr>
          <w:rStyle w:val="default"/>
          <w:rFonts w:cs="FrankRuehl" w:hint="cs"/>
          <w:rtl/>
        </w:rPr>
        <w:t xml:space="preserve"> דיון חוזר במליאת מוסד תכנון בהחלטת ועדת משנה, בהתאם לדרישת חבר או נציג במוסד כמשמעו בסעיף 18(ב) לחוק (להלן </w:t>
      </w:r>
      <w:r>
        <w:rPr>
          <w:rStyle w:val="default"/>
          <w:rFonts w:cs="FrankRuehl"/>
          <w:rtl/>
        </w:rPr>
        <w:t>–</w:t>
      </w:r>
      <w:r>
        <w:rPr>
          <w:rStyle w:val="default"/>
          <w:rFonts w:cs="FrankRuehl" w:hint="cs"/>
          <w:rtl/>
        </w:rPr>
        <w:t xml:space="preserve"> נציג במוסד תכנון), לפי סעיפים 6(ב), 11ד או 18(ז) לחוק;</w:t>
      </w:r>
    </w:p>
    <w:p w:rsidR="0071674F" w:rsidRDefault="0071674F">
      <w:pPr>
        <w:pStyle w:val="P00"/>
        <w:spacing w:before="72"/>
        <w:ind w:left="0" w:right="1134"/>
        <w:rPr>
          <w:rStyle w:val="default"/>
          <w:rFonts w:cs="FrankRuehl" w:hint="cs"/>
          <w:rtl/>
        </w:rPr>
      </w:pPr>
      <w:r>
        <w:rPr>
          <w:rStyle w:val="default"/>
          <w:rFonts w:cs="FrankRuehl" w:hint="cs"/>
          <w:rtl/>
        </w:rPr>
        <w:tab/>
        <w:t xml:space="preserve">"המועצה הארצית" </w:t>
      </w:r>
      <w:r>
        <w:rPr>
          <w:rStyle w:val="default"/>
          <w:rFonts w:cs="FrankRuehl"/>
          <w:rtl/>
        </w:rPr>
        <w:t>–</w:t>
      </w:r>
      <w:r>
        <w:rPr>
          <w:rStyle w:val="default"/>
          <w:rFonts w:cs="FrankRuehl" w:hint="cs"/>
          <w:rtl/>
        </w:rPr>
        <w:t xml:space="preserve"> המועצה הארצית לתכנון ולבניה כמשמעה בסעיף 2 לחוק;</w:t>
      </w:r>
    </w:p>
    <w:p w:rsidR="0071674F" w:rsidRDefault="0071674F">
      <w:pPr>
        <w:pStyle w:val="P00"/>
        <w:spacing w:before="72"/>
        <w:ind w:left="0" w:right="1134"/>
        <w:rPr>
          <w:rStyle w:val="default"/>
          <w:rFonts w:cs="FrankRuehl" w:hint="cs"/>
          <w:rtl/>
        </w:rPr>
      </w:pPr>
      <w:r>
        <w:rPr>
          <w:rStyle w:val="default"/>
          <w:rFonts w:cs="FrankRuehl" w:hint="cs"/>
          <w:rtl/>
        </w:rPr>
        <w:tab/>
        <w:t xml:space="preserve">"ועדה מחוזית" </w:t>
      </w:r>
      <w:r>
        <w:rPr>
          <w:rStyle w:val="default"/>
          <w:rFonts w:cs="FrankRuehl"/>
          <w:rtl/>
        </w:rPr>
        <w:t>–</w:t>
      </w:r>
      <w:r>
        <w:rPr>
          <w:rStyle w:val="default"/>
          <w:rFonts w:cs="FrankRuehl" w:hint="cs"/>
          <w:rtl/>
        </w:rPr>
        <w:t xml:space="preserve"> ועדה מחוזית לתכנון ולבניה כמשמעה בסעיף 7 לחוק;</w:t>
      </w:r>
    </w:p>
    <w:p w:rsidR="0071674F" w:rsidRDefault="0071674F">
      <w:pPr>
        <w:pStyle w:val="P00"/>
        <w:spacing w:before="72"/>
        <w:ind w:left="0" w:right="1134"/>
        <w:rPr>
          <w:rStyle w:val="default"/>
          <w:rFonts w:cs="FrankRuehl" w:hint="cs"/>
          <w:rtl/>
        </w:rPr>
      </w:pPr>
      <w:r>
        <w:rPr>
          <w:rStyle w:val="default"/>
          <w:rFonts w:cs="FrankRuehl" w:hint="cs"/>
          <w:rtl/>
        </w:rPr>
        <w:tab/>
        <w:t xml:space="preserve">"ועדה מקומית" </w:t>
      </w:r>
      <w:r>
        <w:rPr>
          <w:rStyle w:val="default"/>
          <w:rFonts w:cs="FrankRuehl"/>
          <w:rtl/>
        </w:rPr>
        <w:t>–</w:t>
      </w:r>
      <w:r>
        <w:rPr>
          <w:rStyle w:val="default"/>
          <w:rFonts w:cs="FrankRuehl" w:hint="cs"/>
          <w:rtl/>
        </w:rPr>
        <w:t xml:space="preserve"> ועדה מקומית לתכנון ולבניה כמשמעה בסעיפים 18 או 19 לחוק;</w:t>
      </w:r>
    </w:p>
    <w:p w:rsidR="0071674F" w:rsidRDefault="0071674F">
      <w:pPr>
        <w:pStyle w:val="P00"/>
        <w:spacing w:before="72"/>
        <w:ind w:left="0" w:right="1134"/>
        <w:rPr>
          <w:rStyle w:val="default"/>
          <w:rFonts w:cs="FrankRuehl" w:hint="cs"/>
          <w:rtl/>
        </w:rPr>
      </w:pPr>
      <w:r>
        <w:rPr>
          <w:rStyle w:val="default"/>
          <w:rFonts w:cs="FrankRuehl" w:hint="cs"/>
          <w:rtl/>
        </w:rPr>
        <w:tab/>
        <w:t xml:space="preserve">"ועדת משנה" </w:t>
      </w:r>
      <w:r>
        <w:rPr>
          <w:rStyle w:val="default"/>
          <w:rFonts w:cs="FrankRuehl"/>
          <w:rtl/>
        </w:rPr>
        <w:t>–</w:t>
      </w:r>
      <w:r>
        <w:rPr>
          <w:rStyle w:val="default"/>
          <w:rFonts w:cs="FrankRuehl" w:hint="cs"/>
          <w:rtl/>
        </w:rPr>
        <w:t xml:space="preserve"> ועדת משנה לתכנון ולבניה, ועדת משנה של ועדה מחוזית או ועדת משנה של המועצה הארצית;</w:t>
      </w:r>
    </w:p>
    <w:p w:rsidR="0071674F" w:rsidRDefault="0071674F">
      <w:pPr>
        <w:pStyle w:val="P00"/>
        <w:spacing w:before="72"/>
        <w:ind w:left="0" w:right="1134"/>
        <w:rPr>
          <w:rStyle w:val="default"/>
          <w:rFonts w:cs="FrankRuehl" w:hint="cs"/>
          <w:rtl/>
        </w:rPr>
      </w:pPr>
      <w:r>
        <w:rPr>
          <w:rStyle w:val="default"/>
          <w:rFonts w:cs="FrankRuehl" w:hint="cs"/>
          <w:rtl/>
        </w:rPr>
        <w:tab/>
        <w:t xml:space="preserve">"ועדת משנה לתכנון ולבניה" </w:t>
      </w:r>
      <w:r>
        <w:rPr>
          <w:rStyle w:val="default"/>
          <w:rFonts w:cs="FrankRuehl"/>
          <w:rtl/>
        </w:rPr>
        <w:t>–</w:t>
      </w:r>
      <w:r>
        <w:rPr>
          <w:rStyle w:val="default"/>
          <w:rFonts w:cs="FrankRuehl" w:hint="cs"/>
          <w:rtl/>
        </w:rPr>
        <w:t xml:space="preserve"> ועדת משנה לתכנון ולבניה של ועדה מקומית כמשמעה בסעיפים 18(ה) או 19(א1)(2) לחוק;</w:t>
      </w:r>
    </w:p>
    <w:p w:rsidR="0071674F" w:rsidRDefault="0071674F">
      <w:pPr>
        <w:pStyle w:val="P00"/>
        <w:spacing w:before="72"/>
        <w:ind w:left="0" w:right="1134"/>
        <w:rPr>
          <w:rStyle w:val="default"/>
          <w:rFonts w:cs="FrankRuehl" w:hint="cs"/>
          <w:rtl/>
        </w:rPr>
      </w:pPr>
      <w:r>
        <w:rPr>
          <w:rStyle w:val="default"/>
          <w:rFonts w:cs="FrankRuehl" w:hint="cs"/>
          <w:rtl/>
        </w:rPr>
        <w:tab/>
        <w:t xml:space="preserve">"ועדת משנה של ועדה מחוזית" </w:t>
      </w:r>
      <w:r>
        <w:rPr>
          <w:rStyle w:val="default"/>
          <w:rFonts w:cs="FrankRuehl"/>
          <w:rtl/>
        </w:rPr>
        <w:t>–</w:t>
      </w:r>
      <w:r>
        <w:rPr>
          <w:rStyle w:val="default"/>
          <w:rFonts w:cs="FrankRuehl" w:hint="cs"/>
          <w:rtl/>
        </w:rPr>
        <w:t xml:space="preserve"> כמשמעה בסעיפים 11(א), 11א או 11ב לחוק;</w:t>
      </w:r>
    </w:p>
    <w:p w:rsidR="0071674F" w:rsidRDefault="0071674F">
      <w:pPr>
        <w:pStyle w:val="P00"/>
        <w:spacing w:before="72"/>
        <w:ind w:left="0" w:right="1134"/>
        <w:rPr>
          <w:rStyle w:val="default"/>
          <w:rFonts w:cs="FrankRuehl" w:hint="cs"/>
          <w:rtl/>
        </w:rPr>
      </w:pPr>
      <w:r>
        <w:rPr>
          <w:rStyle w:val="default"/>
          <w:rFonts w:cs="FrankRuehl" w:hint="cs"/>
          <w:rtl/>
        </w:rPr>
        <w:tab/>
        <w:t xml:space="preserve">"ועדת משנה של המועצה הארצית" </w:t>
      </w:r>
      <w:r>
        <w:rPr>
          <w:rStyle w:val="default"/>
          <w:rFonts w:cs="FrankRuehl"/>
          <w:rtl/>
        </w:rPr>
        <w:t>–</w:t>
      </w:r>
      <w:r>
        <w:rPr>
          <w:rStyle w:val="default"/>
          <w:rFonts w:cs="FrankRuehl" w:hint="cs"/>
          <w:rtl/>
        </w:rPr>
        <w:t xml:space="preserve"> כמשמעה בסעיף 6(א) לחוק;</w:t>
      </w:r>
    </w:p>
    <w:p w:rsidR="0071674F" w:rsidRDefault="0071674F">
      <w:pPr>
        <w:pStyle w:val="P00"/>
        <w:spacing w:before="72"/>
        <w:ind w:left="0" w:right="1134"/>
        <w:rPr>
          <w:rStyle w:val="default"/>
          <w:rFonts w:cs="FrankRuehl" w:hint="cs"/>
          <w:rtl/>
        </w:rPr>
      </w:pPr>
      <w:r>
        <w:rPr>
          <w:rStyle w:val="default"/>
          <w:rFonts w:cs="FrankRuehl" w:hint="cs"/>
          <w:rtl/>
        </w:rPr>
        <w:tab/>
        <w:t xml:space="preserve">"מוסד תכנון" </w:t>
      </w:r>
      <w:r>
        <w:rPr>
          <w:rStyle w:val="default"/>
          <w:rFonts w:cs="FrankRuehl"/>
          <w:rtl/>
        </w:rPr>
        <w:t>–</w:t>
      </w:r>
      <w:r>
        <w:rPr>
          <w:rStyle w:val="default"/>
          <w:rFonts w:cs="FrankRuehl" w:hint="cs"/>
          <w:rtl/>
        </w:rPr>
        <w:t xml:space="preserve"> המועצה הארצית, ועדה מחוזית או ועדה מקומית;</w:t>
      </w:r>
    </w:p>
    <w:p w:rsidR="0071674F" w:rsidRDefault="0071674F">
      <w:pPr>
        <w:pStyle w:val="P00"/>
        <w:spacing w:before="72"/>
        <w:ind w:left="0" w:right="1134"/>
        <w:rPr>
          <w:rStyle w:val="default"/>
          <w:rFonts w:cs="FrankRuehl" w:hint="cs"/>
          <w:rtl/>
        </w:rPr>
      </w:pPr>
      <w:r>
        <w:rPr>
          <w:rStyle w:val="default"/>
          <w:rFonts w:cs="FrankRuehl" w:hint="cs"/>
          <w:rtl/>
        </w:rPr>
        <w:tab/>
        <w:t xml:space="preserve">"צדדים הנוגעים בדבר" </w:t>
      </w:r>
      <w:r>
        <w:rPr>
          <w:rStyle w:val="default"/>
          <w:rFonts w:cs="FrankRuehl"/>
          <w:rtl/>
        </w:rPr>
        <w:t>–</w:t>
      </w:r>
      <w:r>
        <w:rPr>
          <w:rStyle w:val="default"/>
          <w:rFonts w:cs="FrankRuehl" w:hint="cs"/>
          <w:rtl/>
        </w:rPr>
        <w:t xml:space="preserve"> לרבות ועדה מקומית או ועדה מחוזית, רשות מקומית, מגיש תכנית או בקשה,מתנגד, וכל מי שהשמיע את טענותיו לפני ועדת המשנה.</w:t>
      </w:r>
    </w:p>
    <w:p w:rsidR="0071674F" w:rsidRDefault="0071674F">
      <w:pPr>
        <w:pStyle w:val="P00"/>
        <w:spacing w:before="72"/>
        <w:ind w:left="0" w:right="1134"/>
        <w:rPr>
          <w:rStyle w:val="big-number"/>
          <w:rFonts w:cs="FrankRuehl" w:hint="cs"/>
          <w:sz w:val="26"/>
          <w:szCs w:val="26"/>
          <w:rtl/>
        </w:rPr>
      </w:pPr>
      <w:bookmarkStart w:id="1" w:name="Seif2"/>
      <w:bookmarkEnd w:id="1"/>
      <w:r>
        <w:rPr>
          <w:rFonts w:cs="Miriam"/>
          <w:lang w:val="he-IL"/>
        </w:rPr>
        <w:pict>
          <v:rect id="_x0000_s1032" style="position:absolute;left:0;text-align:left;margin-left:464.5pt;margin-top:8.05pt;width:75.05pt;height:17.9pt;z-index:251655168" o:allowincell="f" filled="f" stroked="f" strokecolor="lime" strokeweight=".25pt">
            <v:textbox style="mso-next-textbox:#_x0000_s1032" inset="0,0,0,0">
              <w:txbxContent>
                <w:p w:rsidR="0071674F" w:rsidRDefault="0071674F">
                  <w:pPr>
                    <w:spacing w:line="160" w:lineRule="exact"/>
                    <w:rPr>
                      <w:rFonts w:cs="Miriam" w:hint="cs"/>
                      <w:noProof/>
                      <w:sz w:val="18"/>
                      <w:szCs w:val="18"/>
                      <w:rtl/>
                    </w:rPr>
                  </w:pPr>
                  <w:r>
                    <w:rPr>
                      <w:rFonts w:cs="Miriam" w:hint="cs"/>
                      <w:sz w:val="18"/>
                      <w:szCs w:val="18"/>
                      <w:rtl/>
                    </w:rPr>
                    <w:t>הגשת דרישה לדיון חוזר</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חבר או נציג במוסד תכנון, ובועדה מחוזית שני נציגים לפחות, הדורשים לקיים דיון חוזר, יודיעו על כך בדרישה מנומקת בכתב, ליושב ראש מוסד התכנון ולמזכיר מוסד התכנון, בתוך שבעה ימים מיום קבלת החלטתה של ועדת המשנה לידיהם.</w:t>
      </w:r>
    </w:p>
    <w:p w:rsidR="0071674F" w:rsidRDefault="0071674F">
      <w:pPr>
        <w:pStyle w:val="P00"/>
        <w:spacing w:before="72"/>
        <w:ind w:left="0" w:right="1134"/>
        <w:rPr>
          <w:rStyle w:val="default"/>
          <w:rFonts w:cs="FrankRuehl" w:hint="cs"/>
          <w:rtl/>
        </w:rPr>
      </w:pPr>
      <w:bookmarkStart w:id="2" w:name="Seif3"/>
      <w:bookmarkEnd w:id="2"/>
      <w:r>
        <w:rPr>
          <w:rFonts w:cs="Miriam"/>
          <w:lang w:val="he-IL"/>
        </w:rPr>
        <w:pict>
          <v:rect id="_x0000_s1036" style="position:absolute;left:0;text-align:left;margin-left:464.5pt;margin-top:8.4pt;width:75.05pt;height:20.8pt;z-index:251656192" filled="f" stroked="f" strokecolor="lime" strokeweight=".25pt">
            <v:textbox style="mso-next-textbox:#_x0000_s1036" inset="0,0,0,0">
              <w:txbxContent>
                <w:p w:rsidR="0071674F" w:rsidRDefault="0071674F">
                  <w:pPr>
                    <w:spacing w:line="160" w:lineRule="exact"/>
                    <w:rPr>
                      <w:rFonts w:cs="Miriam" w:hint="cs"/>
                      <w:noProof/>
                      <w:sz w:val="18"/>
                      <w:szCs w:val="18"/>
                      <w:rtl/>
                    </w:rPr>
                  </w:pPr>
                  <w:r>
                    <w:rPr>
                      <w:rFonts w:cs="Miriam" w:hint="cs"/>
                      <w:sz w:val="18"/>
                      <w:szCs w:val="18"/>
                      <w:rtl/>
                    </w:rPr>
                    <w:t>מועד קיום הדיון החוזר</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hint="cs"/>
          <w:rtl/>
        </w:rPr>
        <w:t>מוסד תכנון יקיים דיון חוזר בישיבתו הקרובה שלאחר הגשת הדרישה כאמור בתקנה 2, ואולם הוגשה הדרישה במועצה הארצית או בועדה מחוזית חמישה עשר ימים או פחות לפני מועד ישיבתו של מוסד התכנון, יידחה הדיון החוזר לישיבה שלאחר מכן.</w:t>
      </w:r>
    </w:p>
    <w:p w:rsidR="0071674F" w:rsidRDefault="0071674F">
      <w:pPr>
        <w:pStyle w:val="P00"/>
        <w:spacing w:before="72"/>
        <w:ind w:left="0" w:right="1134"/>
        <w:rPr>
          <w:rStyle w:val="default"/>
          <w:rFonts w:cs="FrankRuehl" w:hint="cs"/>
          <w:rtl/>
        </w:rPr>
      </w:pPr>
      <w:bookmarkStart w:id="3" w:name="Seif4"/>
      <w:bookmarkEnd w:id="3"/>
      <w:r>
        <w:rPr>
          <w:rFonts w:cs="Miriam"/>
          <w:lang w:val="he-IL"/>
        </w:rPr>
        <w:pict>
          <v:rect id="_x0000_s1051" style="position:absolute;left:0;text-align:left;margin-left:464.5pt;margin-top:8.05pt;width:75.05pt;height:20.25pt;z-index:251657216" o:allowincell="f" filled="f" stroked="f" strokecolor="lime" strokeweight=".25pt">
            <v:textbox style="mso-next-textbox:#_x0000_s1051" inset="0,0,0,0">
              <w:txbxContent>
                <w:p w:rsidR="0071674F" w:rsidRDefault="0071674F">
                  <w:pPr>
                    <w:spacing w:line="160" w:lineRule="exact"/>
                    <w:rPr>
                      <w:rFonts w:cs="Miriam" w:hint="cs"/>
                      <w:noProof/>
                      <w:sz w:val="18"/>
                      <w:szCs w:val="18"/>
                      <w:rtl/>
                    </w:rPr>
                  </w:pPr>
                  <w:r>
                    <w:rPr>
                      <w:rFonts w:cs="Miriam" w:hint="cs"/>
                      <w:sz w:val="18"/>
                      <w:szCs w:val="18"/>
                      <w:rtl/>
                    </w:rPr>
                    <w:t>סמכות מוסד תכנון בדיון חוזר</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מוסד תכנון המקיים דיון חוזר רשאי להותיר את החלטת ועדת המשנה על כנה, להחזיר את הענין לדיון בועדת המשנה שלגבי החלטתה נדרש הדיון החוזר, עם הוראות או בלעדיהן, או לשנות את החלטת ועדת המשנה.</w:t>
      </w:r>
    </w:p>
    <w:p w:rsidR="0071674F" w:rsidRDefault="0071674F">
      <w:pPr>
        <w:pStyle w:val="P00"/>
        <w:spacing w:before="72"/>
        <w:ind w:left="0" w:right="1134"/>
        <w:rPr>
          <w:rStyle w:val="default"/>
          <w:rFonts w:cs="FrankRuehl" w:hint="cs"/>
          <w:rtl/>
        </w:rPr>
      </w:pPr>
      <w:bookmarkStart w:id="4" w:name="Seif5"/>
      <w:bookmarkEnd w:id="4"/>
      <w:r>
        <w:rPr>
          <w:rFonts w:cs="Miriam"/>
          <w:lang w:val="he-IL"/>
        </w:rPr>
        <w:pict>
          <v:rect id="_x0000_s1052" style="position:absolute;left:0;text-align:left;margin-left:464.5pt;margin-top:8.05pt;width:75.05pt;height:16.3pt;z-index:251658240" o:allowincell="f" filled="f" stroked="f" strokecolor="lime" strokeweight=".25pt">
            <v:textbox style="mso-next-textbox:#_x0000_s1052" inset="0,0,0,0">
              <w:txbxContent>
                <w:p w:rsidR="0071674F" w:rsidRDefault="0071674F">
                  <w:pPr>
                    <w:spacing w:line="160" w:lineRule="exact"/>
                    <w:rPr>
                      <w:rFonts w:cs="Miriam" w:hint="cs"/>
                      <w:sz w:val="18"/>
                      <w:szCs w:val="18"/>
                      <w:rtl/>
                    </w:rPr>
                  </w:pPr>
                  <w:r>
                    <w:rPr>
                      <w:rFonts w:cs="Miriam" w:hint="cs"/>
                      <w:sz w:val="18"/>
                      <w:szCs w:val="18"/>
                      <w:rtl/>
                    </w:rPr>
                    <w:t>סדר הדיון ושמיעת צדדים הנוגעים בדבר</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מוסד תכנון שמקיים דיון חוזר, יחליט תחילה אם יש להותיר את החלטת ועדת המשנה על כנה או להחזיר את הענין לועדת המשנה.</w:t>
      </w:r>
    </w:p>
    <w:p w:rsidR="0071674F" w:rsidRDefault="0071674F">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61" type="#_x0000_t202" style="position:absolute;left:0;text-align:left;margin-left:470.35pt;margin-top:7.1pt;width:1in;height:11.35pt;z-index:251661312" filled="f" stroked="f">
            <v:textbox inset="1mm,0,1mm,0">
              <w:txbxContent>
                <w:p w:rsidR="0071674F" w:rsidRDefault="0071674F">
                  <w:pPr>
                    <w:spacing w:line="160" w:lineRule="exact"/>
                    <w:rPr>
                      <w:rFonts w:cs="Miriam" w:hint="cs"/>
                      <w:noProof/>
                      <w:sz w:val="18"/>
                      <w:szCs w:val="18"/>
                      <w:rtl/>
                    </w:rPr>
                  </w:pPr>
                  <w:r>
                    <w:rPr>
                      <w:rFonts w:cs="Miriam" w:hint="cs"/>
                      <w:sz w:val="18"/>
                      <w:szCs w:val="18"/>
                      <w:rtl/>
                    </w:rPr>
                    <w:t>ת"ט תשס"ג-2003</w:t>
                  </w:r>
                </w:p>
              </w:txbxContent>
            </v:textbox>
          </v:shape>
        </w:pict>
      </w:r>
      <w:r>
        <w:rPr>
          <w:rStyle w:val="default"/>
          <w:rFonts w:cs="FrankRuehl" w:hint="cs"/>
          <w:rtl/>
        </w:rPr>
        <w:tab/>
        <w:t>(ב)</w:t>
      </w:r>
      <w:r>
        <w:rPr>
          <w:rStyle w:val="default"/>
          <w:rFonts w:cs="FrankRuehl" w:hint="cs"/>
          <w:rtl/>
        </w:rPr>
        <w:tab/>
        <w:t xml:space="preserve">לא החליט מוסד התכנון כאמור בתקנת משנה (א) </w:t>
      </w:r>
      <w:r>
        <w:rPr>
          <w:rStyle w:val="default"/>
          <w:rFonts w:cs="FrankRuehl"/>
          <w:rtl/>
        </w:rPr>
        <w:t>–</w:t>
      </w:r>
      <w:r>
        <w:rPr>
          <w:rStyle w:val="default"/>
          <w:rFonts w:cs="FrankRuehl" w:hint="cs"/>
          <w:rtl/>
        </w:rPr>
        <w:t xml:space="preserve"> לא ישנה את החלטת ועדת המשנה בטרם נתן הזדמנות לצדדים הנוגעים בדבר להשמיע את טענותיהם בענין, בכתב או בעל פה, כפי שיחליט.</w:t>
      </w:r>
    </w:p>
    <w:p w:rsidR="0071674F" w:rsidRPr="00F7733B" w:rsidRDefault="0071674F">
      <w:pPr>
        <w:pStyle w:val="P00"/>
        <w:spacing w:before="0"/>
        <w:ind w:left="0" w:right="1134"/>
        <w:rPr>
          <w:rFonts w:cs="FrankRuehl" w:hint="cs"/>
          <w:b/>
          <w:bCs/>
          <w:vanish/>
          <w:szCs w:val="20"/>
          <w:shd w:val="clear" w:color="auto" w:fill="FFFF99"/>
          <w:rtl/>
        </w:rPr>
      </w:pPr>
      <w:bookmarkStart w:id="5" w:name="Rov4"/>
      <w:r w:rsidRPr="00F7733B">
        <w:rPr>
          <w:rFonts w:cs="FrankRuehl" w:hint="cs"/>
          <w:vanish/>
          <w:color w:val="FF0000"/>
          <w:szCs w:val="20"/>
          <w:shd w:val="clear" w:color="auto" w:fill="FFFF99"/>
          <w:rtl/>
        </w:rPr>
        <w:t>מיום 8.9.2003</w:t>
      </w:r>
    </w:p>
    <w:p w:rsidR="0071674F" w:rsidRPr="00F7733B" w:rsidRDefault="0071674F">
      <w:pPr>
        <w:pStyle w:val="P00"/>
        <w:spacing w:before="0"/>
        <w:ind w:left="0" w:right="1134"/>
        <w:rPr>
          <w:rFonts w:cs="FrankRuehl" w:hint="cs"/>
          <w:b/>
          <w:bCs/>
          <w:vanish/>
          <w:szCs w:val="20"/>
          <w:shd w:val="clear" w:color="auto" w:fill="FFFF99"/>
          <w:rtl/>
        </w:rPr>
      </w:pPr>
      <w:r w:rsidRPr="00F7733B">
        <w:rPr>
          <w:rFonts w:cs="FrankRuehl" w:hint="cs"/>
          <w:b/>
          <w:bCs/>
          <w:vanish/>
          <w:szCs w:val="20"/>
          <w:shd w:val="clear" w:color="auto" w:fill="FFFF99"/>
          <w:rtl/>
        </w:rPr>
        <w:t>ת"ט תשס"ג-2003</w:t>
      </w:r>
    </w:p>
    <w:p w:rsidR="0071674F" w:rsidRPr="00F7733B" w:rsidRDefault="0071674F">
      <w:pPr>
        <w:pStyle w:val="P00"/>
        <w:tabs>
          <w:tab w:val="clear" w:pos="6259"/>
        </w:tabs>
        <w:spacing w:before="0"/>
        <w:ind w:left="0" w:right="1134"/>
        <w:rPr>
          <w:rFonts w:cs="FrankRuehl" w:hint="cs"/>
          <w:vanish/>
          <w:szCs w:val="20"/>
          <w:shd w:val="clear" w:color="auto" w:fill="FFFF99"/>
          <w:rtl/>
        </w:rPr>
      </w:pPr>
      <w:hyperlink r:id="rId7" w:history="1">
        <w:r w:rsidRPr="00F7733B">
          <w:rPr>
            <w:rStyle w:val="Hyperlink"/>
            <w:rFonts w:cs="FrankRuehl" w:hint="cs"/>
            <w:vanish/>
            <w:szCs w:val="20"/>
            <w:shd w:val="clear" w:color="auto" w:fill="FFFF99"/>
            <w:rtl/>
          </w:rPr>
          <w:t>ק"ת תשס"ג מס' 6263</w:t>
        </w:r>
      </w:hyperlink>
      <w:r w:rsidRPr="00F7733B">
        <w:rPr>
          <w:rFonts w:cs="FrankRuehl" w:hint="cs"/>
          <w:vanish/>
          <w:szCs w:val="20"/>
          <w:shd w:val="clear" w:color="auto" w:fill="FFFF99"/>
          <w:rtl/>
        </w:rPr>
        <w:t xml:space="preserve"> מיום 8.9.2003 עמ' 1114</w:t>
      </w:r>
    </w:p>
    <w:p w:rsidR="0071674F" w:rsidRDefault="0071674F">
      <w:pPr>
        <w:pStyle w:val="P00"/>
        <w:ind w:left="0" w:right="1134"/>
        <w:rPr>
          <w:rStyle w:val="default"/>
          <w:rFonts w:cs="FrankRuehl" w:hint="cs"/>
          <w:sz w:val="2"/>
          <w:szCs w:val="2"/>
          <w:rtl/>
        </w:rPr>
      </w:pPr>
      <w:r w:rsidRPr="00F7733B">
        <w:rPr>
          <w:rStyle w:val="default"/>
          <w:rFonts w:cs="FrankRuehl" w:hint="cs"/>
          <w:vanish/>
          <w:sz w:val="22"/>
          <w:szCs w:val="22"/>
          <w:shd w:val="clear" w:color="auto" w:fill="FFFF99"/>
          <w:rtl/>
        </w:rPr>
        <w:tab/>
        <w:t>(ב)</w:t>
      </w:r>
      <w:r w:rsidRPr="00F7733B">
        <w:rPr>
          <w:rStyle w:val="default"/>
          <w:rFonts w:cs="FrankRuehl" w:hint="cs"/>
          <w:vanish/>
          <w:sz w:val="22"/>
          <w:szCs w:val="22"/>
          <w:shd w:val="clear" w:color="auto" w:fill="FFFF99"/>
          <w:rtl/>
        </w:rPr>
        <w:tab/>
        <w:t xml:space="preserve">לא החליט מוסד התכנון כאמור </w:t>
      </w:r>
      <w:r w:rsidRPr="00F7733B">
        <w:rPr>
          <w:rStyle w:val="default"/>
          <w:rFonts w:cs="FrankRuehl" w:hint="cs"/>
          <w:strike/>
          <w:vanish/>
          <w:sz w:val="22"/>
          <w:szCs w:val="22"/>
          <w:shd w:val="clear" w:color="auto" w:fill="FFFF99"/>
          <w:rtl/>
        </w:rPr>
        <w:t>בתקנת משנה (ב)</w:t>
      </w:r>
      <w:r w:rsidRPr="00F7733B">
        <w:rPr>
          <w:rStyle w:val="default"/>
          <w:rFonts w:cs="FrankRuehl" w:hint="cs"/>
          <w:vanish/>
          <w:sz w:val="22"/>
          <w:szCs w:val="22"/>
          <w:shd w:val="clear" w:color="auto" w:fill="FFFF99"/>
          <w:rtl/>
        </w:rPr>
        <w:t xml:space="preserve"> </w:t>
      </w:r>
      <w:r w:rsidRPr="00F7733B">
        <w:rPr>
          <w:rStyle w:val="default"/>
          <w:rFonts w:cs="FrankRuehl" w:hint="cs"/>
          <w:vanish/>
          <w:sz w:val="22"/>
          <w:szCs w:val="22"/>
          <w:u w:val="single"/>
          <w:shd w:val="clear" w:color="auto" w:fill="FFFF99"/>
          <w:rtl/>
        </w:rPr>
        <w:t>בתקנת משנה (א)</w:t>
      </w:r>
      <w:r w:rsidRPr="00F7733B">
        <w:rPr>
          <w:rStyle w:val="default"/>
          <w:rFonts w:cs="FrankRuehl" w:hint="cs"/>
          <w:vanish/>
          <w:sz w:val="22"/>
          <w:szCs w:val="22"/>
          <w:shd w:val="clear" w:color="auto" w:fill="FFFF99"/>
          <w:rtl/>
        </w:rPr>
        <w:t xml:space="preserve"> </w:t>
      </w:r>
      <w:r w:rsidRPr="00F7733B">
        <w:rPr>
          <w:rStyle w:val="default"/>
          <w:rFonts w:cs="FrankRuehl"/>
          <w:vanish/>
          <w:sz w:val="22"/>
          <w:szCs w:val="22"/>
          <w:shd w:val="clear" w:color="auto" w:fill="FFFF99"/>
          <w:rtl/>
        </w:rPr>
        <w:t>–</w:t>
      </w:r>
      <w:r w:rsidRPr="00F7733B">
        <w:rPr>
          <w:rStyle w:val="default"/>
          <w:rFonts w:cs="FrankRuehl" w:hint="cs"/>
          <w:vanish/>
          <w:sz w:val="22"/>
          <w:szCs w:val="22"/>
          <w:shd w:val="clear" w:color="auto" w:fill="FFFF99"/>
          <w:rtl/>
        </w:rPr>
        <w:t xml:space="preserve"> לא ישנה את החלטת ועדת המשנה בטרם נתן הזדמנות לצדדים הנוגעים בדבר להשמיע את טענותיהם בענין, בכתב או בעל פה, כפי שיחליט.</w:t>
      </w:r>
      <w:bookmarkEnd w:id="5"/>
    </w:p>
    <w:p w:rsidR="0071674F" w:rsidRDefault="0071674F">
      <w:pPr>
        <w:pStyle w:val="P00"/>
        <w:spacing w:before="72"/>
        <w:ind w:left="0" w:right="1134"/>
        <w:rPr>
          <w:rStyle w:val="default"/>
          <w:rFonts w:cs="FrankRuehl" w:hint="cs"/>
          <w:rtl/>
        </w:rPr>
      </w:pPr>
      <w:bookmarkStart w:id="6" w:name="Seif6"/>
      <w:bookmarkEnd w:id="6"/>
      <w:r>
        <w:rPr>
          <w:rFonts w:cs="Miriam"/>
          <w:lang w:val="he-IL"/>
        </w:rPr>
        <w:pict>
          <v:rect id="_x0000_s1053" style="position:absolute;left:0;text-align:left;margin-left:464.5pt;margin-top:8.05pt;width:75.05pt;height:15.7pt;z-index:251659264" filled="f" stroked="f" strokecolor="lime" strokeweight=".25pt">
            <v:textbox style="mso-next-textbox:#_x0000_s1053" inset="0,0,0,0">
              <w:txbxContent>
                <w:p w:rsidR="0071674F" w:rsidRDefault="0071674F">
                  <w:pPr>
                    <w:spacing w:line="160" w:lineRule="exact"/>
                    <w:rPr>
                      <w:rFonts w:cs="Miriam" w:hint="cs"/>
                      <w:noProof/>
                      <w:sz w:val="18"/>
                      <w:szCs w:val="18"/>
                      <w:rtl/>
                    </w:rPr>
                  </w:pPr>
                  <w:r>
                    <w:rPr>
                      <w:rFonts w:cs="Miriam" w:hint="cs"/>
                      <w:sz w:val="18"/>
                      <w:szCs w:val="18"/>
                      <w:rtl/>
                    </w:rPr>
                    <w:t>מועד לקבלת החלטה בדיון חוזר</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קיים מוסד תכנון דיון חוזר, יכריע בענין בתוך שלושים ימים ממועד הדיון.</w:t>
      </w:r>
    </w:p>
    <w:p w:rsidR="0071674F" w:rsidRDefault="0071674F">
      <w:pPr>
        <w:pStyle w:val="P00"/>
        <w:spacing w:before="72"/>
        <w:ind w:left="0" w:right="1134"/>
        <w:rPr>
          <w:rStyle w:val="default"/>
          <w:rFonts w:cs="FrankRuehl" w:hint="cs"/>
          <w:rtl/>
        </w:rPr>
      </w:pPr>
      <w:bookmarkStart w:id="7" w:name="Seif7"/>
      <w:bookmarkEnd w:id="7"/>
      <w:r>
        <w:rPr>
          <w:rFonts w:cs="Miriam"/>
          <w:lang w:val="he-IL"/>
        </w:rPr>
        <w:pict>
          <v:rect id="_x0000_s1054" style="position:absolute;left:0;text-align:left;margin-left:464.5pt;margin-top:8.05pt;width:75.05pt;height:9.65pt;z-index:251660288" o:allowincell="f" filled="f" stroked="f" strokecolor="lime" strokeweight=".25pt">
            <v:textbox style="mso-next-textbox:#_x0000_s1054" inset="0,0,0,0">
              <w:txbxContent>
                <w:p w:rsidR="0071674F" w:rsidRDefault="0071674F">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תחילתן של תקנות אלה 30 ימים מיום פרסומן.</w:t>
      </w:r>
    </w:p>
    <w:p w:rsidR="0071674F" w:rsidRDefault="0071674F">
      <w:pPr>
        <w:pStyle w:val="page"/>
        <w:widowControl/>
        <w:ind w:right="1134"/>
        <w:rPr>
          <w:rStyle w:val="default"/>
          <w:rFonts w:cs="FrankRuehl"/>
          <w:position w:val="0"/>
          <w:rtl/>
        </w:rPr>
      </w:pPr>
    </w:p>
    <w:p w:rsidR="0071674F" w:rsidRDefault="0071674F" w:rsidP="00CB41E2">
      <w:pPr>
        <w:pStyle w:val="sig-0"/>
        <w:tabs>
          <w:tab w:val="clear" w:pos="4820"/>
          <w:tab w:val="center" w:pos="5670"/>
        </w:tabs>
        <w:spacing w:before="72"/>
        <w:ind w:left="0" w:right="1134"/>
        <w:rPr>
          <w:rFonts w:cs="FrankRuehl" w:hint="cs"/>
          <w:sz w:val="26"/>
          <w:rtl/>
        </w:rPr>
      </w:pPr>
      <w:r>
        <w:rPr>
          <w:rFonts w:cs="FrankRuehl" w:hint="cs"/>
          <w:sz w:val="26"/>
          <w:rtl/>
        </w:rPr>
        <w:t>כ"א בתמוז התשס"ג (21 ביולי 2003)</w:t>
      </w:r>
      <w:r>
        <w:rPr>
          <w:rFonts w:cs="FrankRuehl"/>
          <w:sz w:val="26"/>
          <w:rtl/>
        </w:rPr>
        <w:tab/>
      </w:r>
      <w:r>
        <w:rPr>
          <w:rFonts w:cs="FrankRuehl" w:hint="cs"/>
          <w:sz w:val="26"/>
          <w:rtl/>
        </w:rPr>
        <w:t>אברהם פורז</w:t>
      </w:r>
    </w:p>
    <w:p w:rsidR="0071674F" w:rsidRDefault="0071674F" w:rsidP="00CB41E2">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שר הפנים</w:t>
      </w:r>
    </w:p>
    <w:p w:rsidR="0071674F" w:rsidRPr="00CB41E2" w:rsidRDefault="0071674F" w:rsidP="00CB41E2">
      <w:pPr>
        <w:pStyle w:val="P00"/>
        <w:spacing w:before="72"/>
        <w:ind w:left="0" w:right="1134"/>
        <w:rPr>
          <w:rStyle w:val="default"/>
          <w:rFonts w:cs="FrankRuehl"/>
          <w:rtl/>
        </w:rPr>
      </w:pPr>
    </w:p>
    <w:p w:rsidR="0068187A" w:rsidRPr="00CB41E2" w:rsidRDefault="0068187A" w:rsidP="00CB41E2">
      <w:pPr>
        <w:pStyle w:val="P00"/>
        <w:spacing w:before="72"/>
        <w:ind w:left="0" w:right="1134"/>
        <w:rPr>
          <w:rStyle w:val="default"/>
          <w:rFonts w:cs="FrankRuehl"/>
          <w:rtl/>
        </w:rPr>
      </w:pPr>
    </w:p>
    <w:p w:rsidR="0068187A" w:rsidRPr="00CB41E2" w:rsidRDefault="0068187A" w:rsidP="00CB41E2">
      <w:pPr>
        <w:pStyle w:val="P00"/>
        <w:spacing w:before="72"/>
        <w:ind w:left="0" w:right="1134"/>
        <w:rPr>
          <w:rStyle w:val="default"/>
          <w:rFonts w:cs="FrankRuehl"/>
          <w:rtl/>
        </w:rPr>
      </w:pPr>
    </w:p>
    <w:p w:rsidR="0068187A" w:rsidRDefault="0068187A" w:rsidP="0068187A">
      <w:pPr>
        <w:pStyle w:val="sig-1"/>
        <w:widowControl/>
        <w:ind w:left="0" w:right="1134"/>
        <w:jc w:val="center"/>
        <w:rPr>
          <w:rFonts w:cs="David"/>
          <w:color w:val="0000FF"/>
          <w:sz w:val="22"/>
          <w:szCs w:val="24"/>
          <w:u w:val="single"/>
          <w:rtl/>
        </w:rPr>
      </w:pPr>
      <w:hyperlink r:id="rId8" w:history="1">
        <w:r>
          <w:rPr>
            <w:rFonts w:cs="David"/>
            <w:color w:val="0000FF"/>
            <w:sz w:val="22"/>
            <w:szCs w:val="24"/>
            <w:u w:val="single"/>
            <w:rtl/>
          </w:rPr>
          <w:t>הודעה למנויים על עריכה ושינויים במסמכי פסיקה, חקיקה ועוד באתר נבו - הקש כאן</w:t>
        </w:r>
      </w:hyperlink>
    </w:p>
    <w:p w:rsidR="00CE2FF3" w:rsidRDefault="00CE2FF3" w:rsidP="0068187A">
      <w:pPr>
        <w:pStyle w:val="sig-1"/>
        <w:widowControl/>
        <w:ind w:left="0" w:right="1134"/>
        <w:jc w:val="center"/>
        <w:rPr>
          <w:rFonts w:cs="David"/>
          <w:color w:val="0000FF"/>
          <w:sz w:val="22"/>
          <w:szCs w:val="24"/>
          <w:u w:val="single"/>
          <w:rtl/>
        </w:rPr>
      </w:pPr>
    </w:p>
    <w:p w:rsidR="00CE2FF3" w:rsidRDefault="00CE2FF3" w:rsidP="0068187A">
      <w:pPr>
        <w:pStyle w:val="sig-1"/>
        <w:widowControl/>
        <w:ind w:left="0" w:right="1134"/>
        <w:jc w:val="center"/>
        <w:rPr>
          <w:rFonts w:cs="David"/>
          <w:color w:val="0000FF"/>
          <w:sz w:val="22"/>
          <w:szCs w:val="24"/>
          <w:u w:val="single"/>
          <w:rtl/>
        </w:rPr>
      </w:pPr>
    </w:p>
    <w:p w:rsidR="00CE2FF3" w:rsidRDefault="00CE2FF3" w:rsidP="00CE2FF3">
      <w:pPr>
        <w:pStyle w:val="sig-1"/>
        <w:widowControl/>
        <w:ind w:left="0" w:right="1134"/>
        <w:jc w:val="center"/>
        <w:rPr>
          <w:rFonts w:cs="David"/>
          <w:color w:val="0000FF"/>
          <w:sz w:val="22"/>
          <w:szCs w:val="24"/>
          <w:u w:val="single"/>
          <w:rtl/>
        </w:rPr>
      </w:pPr>
      <w:hyperlink r:id="rId9" w:history="1">
        <w:r>
          <w:rPr>
            <w:rStyle w:val="Hyperlink"/>
            <w:noProof w:val="0"/>
            <w:sz w:val="24"/>
            <w:szCs w:val="24"/>
            <w:rtl/>
          </w:rPr>
          <w:t>הודעה למנויים על עריכה ושינויים במסמכי פסיקה, חקיקה ועוד באתר נבו - הקש כאן</w:t>
        </w:r>
      </w:hyperlink>
    </w:p>
    <w:p w:rsidR="0058719F" w:rsidRPr="00CE2FF3" w:rsidRDefault="0058719F" w:rsidP="00CE2FF3">
      <w:pPr>
        <w:pStyle w:val="sig-1"/>
        <w:widowControl/>
        <w:ind w:left="0" w:right="1134"/>
        <w:jc w:val="center"/>
        <w:rPr>
          <w:rFonts w:cs="David"/>
          <w:color w:val="0000FF"/>
          <w:sz w:val="22"/>
          <w:szCs w:val="24"/>
          <w:u w:val="single"/>
          <w:rtl/>
        </w:rPr>
      </w:pPr>
    </w:p>
    <w:sectPr w:rsidR="0058719F" w:rsidRPr="00CE2FF3">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7E55" w:rsidRDefault="008B7E55">
      <w:r>
        <w:separator/>
      </w:r>
    </w:p>
  </w:endnote>
  <w:endnote w:type="continuationSeparator" w:id="0">
    <w:p w:rsidR="008B7E55" w:rsidRDefault="008B7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674F" w:rsidRDefault="0071674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1674F" w:rsidRDefault="0071674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1674F" w:rsidRDefault="0071674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8719F">
      <w:rPr>
        <w:rFonts w:cs="TopType Jerushalmi"/>
        <w:noProof/>
        <w:color w:val="000000"/>
        <w:sz w:val="14"/>
        <w:szCs w:val="14"/>
      </w:rPr>
      <w:t>Y:\Temp\Misrad-2003\00000000\2009----------------\09-Sep\2009-09-09\law\tav\Laws\999_187.doc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674F" w:rsidRDefault="0071674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E2FF3">
      <w:rPr>
        <w:rFonts w:hAnsi="FrankRuehl" w:cs="FrankRuehl"/>
        <w:noProof/>
        <w:sz w:val="24"/>
        <w:szCs w:val="24"/>
        <w:rtl/>
      </w:rPr>
      <w:t>2</w:t>
    </w:r>
    <w:r>
      <w:rPr>
        <w:rFonts w:hAnsi="FrankRuehl" w:cs="FrankRuehl"/>
        <w:sz w:val="24"/>
        <w:szCs w:val="24"/>
        <w:rtl/>
      </w:rPr>
      <w:fldChar w:fldCharType="end"/>
    </w:r>
  </w:p>
  <w:p w:rsidR="0071674F" w:rsidRDefault="0071674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1674F" w:rsidRDefault="0071674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8719F">
      <w:rPr>
        <w:rFonts w:cs="TopType Jerushalmi"/>
        <w:noProof/>
        <w:color w:val="000000"/>
        <w:sz w:val="14"/>
        <w:szCs w:val="14"/>
      </w:rPr>
      <w:t>Y:\Temp\Misrad-2003\00000000\2009----------------\09-Sep\2009-09-09\law\tav\Laws\999_187.doc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7E55" w:rsidRDefault="008B7E55">
      <w:pPr>
        <w:spacing w:before="60"/>
        <w:ind w:right="1134"/>
      </w:pPr>
      <w:r>
        <w:separator/>
      </w:r>
    </w:p>
  </w:footnote>
  <w:footnote w:type="continuationSeparator" w:id="0">
    <w:p w:rsidR="008B7E55" w:rsidRDefault="008B7E55">
      <w:r>
        <w:continuationSeparator/>
      </w:r>
    </w:p>
  </w:footnote>
  <w:footnote w:id="1">
    <w:p w:rsidR="0071674F" w:rsidRDefault="00716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תשס"ג מס' 6257</w:t>
        </w:r>
      </w:hyperlink>
      <w:r>
        <w:rPr>
          <w:rFonts w:cs="FrankRuehl" w:hint="cs"/>
          <w:rtl/>
        </w:rPr>
        <w:t xml:space="preserve"> מיום 20.8.2003 עמ' 959.</w:t>
      </w:r>
    </w:p>
    <w:p w:rsidR="0071674F" w:rsidRDefault="0071674F" w:rsidP="005076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Pr>
            <w:rStyle w:val="Hyperlink"/>
            <w:rFonts w:cs="FrankRuehl" w:hint="cs"/>
            <w:rtl/>
          </w:rPr>
          <w:t>ק"ת תש</w:t>
        </w:r>
        <w:r>
          <w:rPr>
            <w:rStyle w:val="Hyperlink"/>
            <w:rFonts w:cs="FrankRuehl" w:hint="cs"/>
            <w:rtl/>
          </w:rPr>
          <w:t>ס</w:t>
        </w:r>
        <w:r>
          <w:rPr>
            <w:rStyle w:val="Hyperlink"/>
            <w:rFonts w:cs="FrankRuehl" w:hint="cs"/>
            <w:rtl/>
          </w:rPr>
          <w:t>"ג מס' 6263</w:t>
        </w:r>
      </w:hyperlink>
      <w:r>
        <w:rPr>
          <w:rFonts w:cs="FrankRuehl" w:hint="cs"/>
          <w:rtl/>
        </w:rPr>
        <w:t xml:space="preserve"> מיום 8.9.2003 עמ' 1114.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674F" w:rsidRDefault="0071674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71674F" w:rsidRDefault="0071674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1674F" w:rsidRDefault="0071674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674F" w:rsidRDefault="0071674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התכנון והבניה (סדרי הדיון בקיום דיון חוזר במוסד תכנון), תשס"ג-2003</w:t>
    </w:r>
  </w:p>
  <w:p w:rsidR="0071674F" w:rsidRDefault="0071674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1674F" w:rsidRDefault="0071674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9395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33B"/>
    <w:rsid w:val="002D129B"/>
    <w:rsid w:val="00327C75"/>
    <w:rsid w:val="0037008C"/>
    <w:rsid w:val="004A2930"/>
    <w:rsid w:val="004F1132"/>
    <w:rsid w:val="005076C9"/>
    <w:rsid w:val="0058719F"/>
    <w:rsid w:val="0068187A"/>
    <w:rsid w:val="0071674F"/>
    <w:rsid w:val="007555F1"/>
    <w:rsid w:val="008B7E55"/>
    <w:rsid w:val="00BF0330"/>
    <w:rsid w:val="00CB41E2"/>
    <w:rsid w:val="00CE2FF3"/>
    <w:rsid w:val="00F7733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14B9E1C-903A-4223-AB9B-5E18634D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6263.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263.pdf" TargetMode="External"/><Relationship Id="rId1" Type="http://schemas.openxmlformats.org/officeDocument/2006/relationships/hyperlink" Target="http://www.nevo.co.il/Law_word/law06/TAK-62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3708</CharactersWithSpaces>
  <SharedDoc>false</SharedDoc>
  <HLinks>
    <vt:vector size="72" baseType="variant">
      <vt:variant>
        <vt:i4>393283</vt:i4>
      </vt:variant>
      <vt:variant>
        <vt:i4>48</vt:i4>
      </vt:variant>
      <vt:variant>
        <vt:i4>0</vt:i4>
      </vt:variant>
      <vt:variant>
        <vt:i4>5</vt:i4>
      </vt:variant>
      <vt:variant>
        <vt:lpwstr>http://www.nevo.co.il/advertisements/nevo-100.doc</vt:lpwstr>
      </vt:variant>
      <vt:variant>
        <vt:lpwstr/>
      </vt:variant>
      <vt:variant>
        <vt:i4>393283</vt:i4>
      </vt:variant>
      <vt:variant>
        <vt:i4>45</vt:i4>
      </vt:variant>
      <vt:variant>
        <vt:i4>0</vt:i4>
      </vt:variant>
      <vt:variant>
        <vt:i4>5</vt:i4>
      </vt:variant>
      <vt:variant>
        <vt:lpwstr>http://www.nevo.co.il/advertisements/nevo-100.doc</vt:lpwstr>
      </vt:variant>
      <vt:variant>
        <vt:lpwstr/>
      </vt:variant>
      <vt:variant>
        <vt:i4>7929865</vt:i4>
      </vt:variant>
      <vt:variant>
        <vt:i4>42</vt:i4>
      </vt:variant>
      <vt:variant>
        <vt:i4>0</vt:i4>
      </vt:variant>
      <vt:variant>
        <vt:i4>5</vt:i4>
      </vt:variant>
      <vt:variant>
        <vt:lpwstr>http://www.nevo.co.il/Law_word/law06/TAK-6263.pdf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7929865</vt:i4>
      </vt:variant>
      <vt:variant>
        <vt:i4>3</vt:i4>
      </vt:variant>
      <vt:variant>
        <vt:i4>0</vt:i4>
      </vt:variant>
      <vt:variant>
        <vt:i4>5</vt:i4>
      </vt:variant>
      <vt:variant>
        <vt:lpwstr>http://www.nevo.co.il/Law_word/law06/TAK-6263.pdf</vt:lpwstr>
      </vt:variant>
      <vt:variant>
        <vt:lpwstr/>
      </vt:variant>
      <vt:variant>
        <vt:i4>7995405</vt:i4>
      </vt:variant>
      <vt:variant>
        <vt:i4>0</vt:i4>
      </vt:variant>
      <vt:variant>
        <vt:i4>0</vt:i4>
      </vt:variant>
      <vt:variant>
        <vt:i4>5</vt:i4>
      </vt:variant>
      <vt:variant>
        <vt:lpwstr>http://www.nevo.co.il/Law_word/law06/TAK-6257.pdf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התכנון והבניה (סדרי הדיון בקיום דיון חוזר במוסד תכנון), תשס"ג-2003</vt:lpwstr>
  </property>
  <property fmtid="{D5CDD505-2E9C-101B-9397-08002B2CF9AE}" pid="4" name="LAWNUMBER">
    <vt:lpwstr>0187</vt:lpwstr>
  </property>
  <property fmtid="{D5CDD505-2E9C-101B-9397-08002B2CF9AE}" pid="5" name="TYPE">
    <vt:lpwstr>01</vt:lpwstr>
  </property>
  <property fmtid="{D5CDD505-2E9C-101B-9397-08002B2CF9AE}" pid="6" name="CHNAME">
    <vt:lpwstr>תכנון ובניה</vt:lpwstr>
  </property>
  <property fmtid="{D5CDD505-2E9C-101B-9397-08002B2CF9AE}" pid="7" name="NOSE11">
    <vt:lpwstr>רשויות ומשפט מנהלי</vt:lpwstr>
  </property>
  <property fmtid="{D5CDD505-2E9C-101B-9397-08002B2CF9AE}" pid="8" name="NOSE21">
    <vt:lpwstr>תכנון ובניה</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