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72C" w:rsidRDefault="00F9072C">
      <w:pPr>
        <w:pStyle w:val="big-header"/>
        <w:ind w:left="0" w:right="1134"/>
        <w:rPr>
          <w:rFonts w:hint="cs"/>
          <w:rtl/>
        </w:rPr>
      </w:pPr>
      <w:r>
        <w:rPr>
          <w:rtl/>
        </w:rPr>
        <w:t>תקנות התכנון והבניה (סדרי הדין בועדות ערר), תשנ"ו-1996</w:t>
      </w:r>
    </w:p>
    <w:p w:rsidR="00770D5A" w:rsidRDefault="00770D5A" w:rsidP="00770D5A">
      <w:pPr>
        <w:spacing w:line="320" w:lineRule="auto"/>
        <w:jc w:val="left"/>
        <w:rPr>
          <w:rFonts w:hint="cs"/>
          <w:rtl/>
        </w:rPr>
      </w:pPr>
    </w:p>
    <w:p w:rsidR="00B708AD" w:rsidRDefault="00B708AD" w:rsidP="00770D5A">
      <w:pPr>
        <w:spacing w:line="320" w:lineRule="auto"/>
        <w:jc w:val="left"/>
        <w:rPr>
          <w:rFonts w:hint="cs"/>
          <w:rtl/>
        </w:rPr>
      </w:pPr>
    </w:p>
    <w:p w:rsidR="00770D5A" w:rsidRPr="00770D5A" w:rsidRDefault="00770D5A" w:rsidP="00770D5A">
      <w:pPr>
        <w:spacing w:line="320" w:lineRule="auto"/>
        <w:jc w:val="left"/>
        <w:rPr>
          <w:rFonts w:cs="Miriam"/>
          <w:szCs w:val="22"/>
          <w:rtl/>
        </w:rPr>
      </w:pPr>
      <w:r w:rsidRPr="00770D5A">
        <w:rPr>
          <w:rFonts w:cs="Miriam"/>
          <w:szCs w:val="22"/>
          <w:rtl/>
        </w:rPr>
        <w:t>רשויות ומשפט מנהלי</w:t>
      </w:r>
      <w:r w:rsidRPr="00770D5A">
        <w:rPr>
          <w:rFonts w:cs="FrankRuehl"/>
          <w:szCs w:val="26"/>
          <w:rtl/>
        </w:rPr>
        <w:t xml:space="preserve"> – תכנון ובניה – ערעור וערר – סדרי דין</w:t>
      </w:r>
    </w:p>
    <w:p w:rsidR="00F9072C" w:rsidRDefault="00F9072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1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הגדרות</w:t>
            </w:r>
          </w:p>
        </w:tc>
        <w:tc>
          <w:tcPr>
            <w:tcW w:w="567" w:type="dxa"/>
          </w:tcPr>
          <w:p w:rsidR="00B73163" w:rsidRPr="00B73163" w:rsidRDefault="00B73163" w:rsidP="00B73163">
            <w:pPr>
              <w:spacing w:line="240" w:lineRule="auto"/>
              <w:jc w:val="left"/>
              <w:rPr>
                <w:rStyle w:val="Hyperlink"/>
                <w:rtl/>
              </w:rPr>
            </w:pPr>
            <w:hyperlink w:anchor="Seif1" w:tooltip="הגדרות"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2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הגשת ערר</w:t>
            </w:r>
          </w:p>
        </w:tc>
        <w:tc>
          <w:tcPr>
            <w:tcW w:w="567" w:type="dxa"/>
          </w:tcPr>
          <w:p w:rsidR="00B73163" w:rsidRPr="00B73163" w:rsidRDefault="00B73163" w:rsidP="00B73163">
            <w:pPr>
              <w:spacing w:line="240" w:lineRule="auto"/>
              <w:jc w:val="left"/>
              <w:rPr>
                <w:rStyle w:val="Hyperlink"/>
                <w:rtl/>
              </w:rPr>
            </w:pPr>
            <w:hyperlink w:anchor="Seif2" w:tooltip="הגשת ערר"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3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פרטי הערר</w:t>
            </w:r>
          </w:p>
        </w:tc>
        <w:tc>
          <w:tcPr>
            <w:tcW w:w="567" w:type="dxa"/>
          </w:tcPr>
          <w:p w:rsidR="00B73163" w:rsidRPr="00B73163" w:rsidRDefault="00B73163" w:rsidP="00B73163">
            <w:pPr>
              <w:spacing w:line="240" w:lineRule="auto"/>
              <w:jc w:val="left"/>
              <w:rPr>
                <w:rStyle w:val="Hyperlink"/>
                <w:rtl/>
              </w:rPr>
            </w:pPr>
            <w:hyperlink w:anchor="Seif3" w:tooltip="פרטי הערר"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4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המשיבים בערר</w:t>
            </w:r>
          </w:p>
        </w:tc>
        <w:tc>
          <w:tcPr>
            <w:tcW w:w="567" w:type="dxa"/>
          </w:tcPr>
          <w:p w:rsidR="00B73163" w:rsidRPr="00B73163" w:rsidRDefault="00B73163" w:rsidP="00B73163">
            <w:pPr>
              <w:spacing w:line="240" w:lineRule="auto"/>
              <w:jc w:val="left"/>
              <w:rPr>
                <w:rStyle w:val="Hyperlink"/>
                <w:rtl/>
              </w:rPr>
            </w:pPr>
            <w:hyperlink w:anchor="Seif4" w:tooltip="המשיבים בערר"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5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מסירת העתקי הערר למשיבים</w:t>
            </w:r>
          </w:p>
        </w:tc>
        <w:tc>
          <w:tcPr>
            <w:tcW w:w="567" w:type="dxa"/>
          </w:tcPr>
          <w:p w:rsidR="00B73163" w:rsidRPr="00B73163" w:rsidRDefault="00B73163" w:rsidP="00B73163">
            <w:pPr>
              <w:spacing w:line="240" w:lineRule="auto"/>
              <w:jc w:val="left"/>
              <w:rPr>
                <w:rStyle w:val="Hyperlink"/>
                <w:rtl/>
              </w:rPr>
            </w:pPr>
            <w:hyperlink w:anchor="Seif5" w:tooltip="מסירת העתקי הערר למשיבים"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6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תשובה לערר</w:t>
            </w:r>
          </w:p>
        </w:tc>
        <w:tc>
          <w:tcPr>
            <w:tcW w:w="567" w:type="dxa"/>
          </w:tcPr>
          <w:p w:rsidR="00B73163" w:rsidRPr="00B73163" w:rsidRDefault="00B73163" w:rsidP="00B73163">
            <w:pPr>
              <w:spacing w:line="240" w:lineRule="auto"/>
              <w:jc w:val="left"/>
              <w:rPr>
                <w:rStyle w:val="Hyperlink"/>
                <w:rtl/>
              </w:rPr>
            </w:pPr>
            <w:hyperlink w:anchor="Seif6" w:tooltip="תשובה לערר"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7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דיון בהעדר תשובה בכתב</w:t>
            </w:r>
          </w:p>
        </w:tc>
        <w:tc>
          <w:tcPr>
            <w:tcW w:w="567" w:type="dxa"/>
          </w:tcPr>
          <w:p w:rsidR="00B73163" w:rsidRPr="00B73163" w:rsidRDefault="00B73163" w:rsidP="00B73163">
            <w:pPr>
              <w:spacing w:line="240" w:lineRule="auto"/>
              <w:jc w:val="left"/>
              <w:rPr>
                <w:rStyle w:val="Hyperlink"/>
                <w:rtl/>
              </w:rPr>
            </w:pPr>
            <w:hyperlink w:anchor="Seif7" w:tooltip="דיון בהעדר תשובה בכתב"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8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זימון לדיון בערר</w:t>
            </w:r>
          </w:p>
        </w:tc>
        <w:tc>
          <w:tcPr>
            <w:tcW w:w="567" w:type="dxa"/>
          </w:tcPr>
          <w:p w:rsidR="00B73163" w:rsidRPr="00B73163" w:rsidRDefault="00B73163" w:rsidP="00B73163">
            <w:pPr>
              <w:spacing w:line="240" w:lineRule="auto"/>
              <w:jc w:val="left"/>
              <w:rPr>
                <w:rStyle w:val="Hyperlink"/>
                <w:rtl/>
              </w:rPr>
            </w:pPr>
            <w:hyperlink w:anchor="Seif8" w:tooltip="זימון לדיון בערר"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9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דיון בהעדר צד</w:t>
            </w:r>
          </w:p>
        </w:tc>
        <w:tc>
          <w:tcPr>
            <w:tcW w:w="567" w:type="dxa"/>
          </w:tcPr>
          <w:p w:rsidR="00B73163" w:rsidRPr="00B73163" w:rsidRDefault="00B73163" w:rsidP="00B73163">
            <w:pPr>
              <w:spacing w:line="240" w:lineRule="auto"/>
              <w:jc w:val="left"/>
              <w:rPr>
                <w:rStyle w:val="Hyperlink"/>
                <w:rtl/>
              </w:rPr>
            </w:pPr>
            <w:hyperlink w:anchor="Seif9" w:tooltip="דיון בהעדר צד"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10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איחוד עררים ותשובות</w:t>
            </w:r>
          </w:p>
        </w:tc>
        <w:tc>
          <w:tcPr>
            <w:tcW w:w="567" w:type="dxa"/>
          </w:tcPr>
          <w:p w:rsidR="00B73163" w:rsidRPr="00B73163" w:rsidRDefault="00B73163" w:rsidP="00B73163">
            <w:pPr>
              <w:spacing w:line="240" w:lineRule="auto"/>
              <w:jc w:val="left"/>
              <w:rPr>
                <w:rStyle w:val="Hyperlink"/>
                <w:rtl/>
              </w:rPr>
            </w:pPr>
            <w:hyperlink w:anchor="Seif10" w:tooltip="איחוד עררים ותשובות"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11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סדר הדיון בערר</w:t>
            </w:r>
          </w:p>
        </w:tc>
        <w:tc>
          <w:tcPr>
            <w:tcW w:w="567" w:type="dxa"/>
          </w:tcPr>
          <w:p w:rsidR="00B73163" w:rsidRPr="00B73163" w:rsidRDefault="00B73163" w:rsidP="00B73163">
            <w:pPr>
              <w:spacing w:line="240" w:lineRule="auto"/>
              <w:jc w:val="left"/>
              <w:rPr>
                <w:rStyle w:val="Hyperlink"/>
                <w:rtl/>
              </w:rPr>
            </w:pPr>
            <w:hyperlink w:anchor="Seif11" w:tooltip="סדר הדיון בערר"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12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הפסקת טיעון</w:t>
            </w:r>
          </w:p>
        </w:tc>
        <w:tc>
          <w:tcPr>
            <w:tcW w:w="567" w:type="dxa"/>
          </w:tcPr>
          <w:p w:rsidR="00B73163" w:rsidRPr="00B73163" w:rsidRDefault="00B73163" w:rsidP="00B73163">
            <w:pPr>
              <w:spacing w:line="240" w:lineRule="auto"/>
              <w:jc w:val="left"/>
              <w:rPr>
                <w:rStyle w:val="Hyperlink"/>
                <w:rtl/>
              </w:rPr>
            </w:pPr>
            <w:hyperlink w:anchor="Seif12" w:tooltip="הפסקת טיעון"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13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צירוף צד</w:t>
            </w:r>
          </w:p>
        </w:tc>
        <w:tc>
          <w:tcPr>
            <w:tcW w:w="567" w:type="dxa"/>
          </w:tcPr>
          <w:p w:rsidR="00B73163" w:rsidRPr="00B73163" w:rsidRDefault="00B73163" w:rsidP="00B73163">
            <w:pPr>
              <w:spacing w:line="240" w:lineRule="auto"/>
              <w:jc w:val="left"/>
              <w:rPr>
                <w:rStyle w:val="Hyperlink"/>
                <w:rtl/>
              </w:rPr>
            </w:pPr>
            <w:hyperlink w:anchor="Seif13" w:tooltip="צירוף צד"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14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המצאת מסמכים וידיעות נוספות</w:t>
            </w:r>
          </w:p>
        </w:tc>
        <w:tc>
          <w:tcPr>
            <w:tcW w:w="567" w:type="dxa"/>
          </w:tcPr>
          <w:p w:rsidR="00B73163" w:rsidRPr="00B73163" w:rsidRDefault="00B73163" w:rsidP="00B73163">
            <w:pPr>
              <w:spacing w:line="240" w:lineRule="auto"/>
              <w:jc w:val="left"/>
              <w:rPr>
                <w:rStyle w:val="Hyperlink"/>
                <w:rtl/>
              </w:rPr>
            </w:pPr>
            <w:hyperlink w:anchor="Seif14" w:tooltip="המצאת מסמכים וידיעות נוספות"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15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סמכות יושב ראש ועדת הערר</w:t>
            </w:r>
          </w:p>
        </w:tc>
        <w:tc>
          <w:tcPr>
            <w:tcW w:w="567" w:type="dxa"/>
          </w:tcPr>
          <w:p w:rsidR="00B73163" w:rsidRPr="00B73163" w:rsidRDefault="00B73163" w:rsidP="00B73163">
            <w:pPr>
              <w:spacing w:line="240" w:lineRule="auto"/>
              <w:jc w:val="left"/>
              <w:rPr>
                <w:rStyle w:val="Hyperlink"/>
                <w:rtl/>
              </w:rPr>
            </w:pPr>
            <w:hyperlink w:anchor="Seif15" w:tooltip="סמכות יושב ראש ועדת הערר"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16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פרוטוקול</w:t>
            </w:r>
          </w:p>
        </w:tc>
        <w:tc>
          <w:tcPr>
            <w:tcW w:w="567" w:type="dxa"/>
          </w:tcPr>
          <w:p w:rsidR="00B73163" w:rsidRPr="00B73163" w:rsidRDefault="00B73163" w:rsidP="00B73163">
            <w:pPr>
              <w:spacing w:line="240" w:lineRule="auto"/>
              <w:jc w:val="left"/>
              <w:rPr>
                <w:rStyle w:val="Hyperlink"/>
                <w:rtl/>
              </w:rPr>
            </w:pPr>
            <w:hyperlink w:anchor="Seif16" w:tooltip="פרוטוקול"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17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מועד מתן החלטה</w:t>
            </w:r>
          </w:p>
        </w:tc>
        <w:tc>
          <w:tcPr>
            <w:tcW w:w="567" w:type="dxa"/>
          </w:tcPr>
          <w:p w:rsidR="00B73163" w:rsidRPr="00B73163" w:rsidRDefault="00B73163" w:rsidP="00B73163">
            <w:pPr>
              <w:spacing w:line="240" w:lineRule="auto"/>
              <w:jc w:val="left"/>
              <w:rPr>
                <w:rStyle w:val="Hyperlink"/>
                <w:rtl/>
              </w:rPr>
            </w:pPr>
            <w:hyperlink w:anchor="Seif17" w:tooltip="מועד מתן החלטה"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18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החלטה</w:t>
            </w:r>
          </w:p>
        </w:tc>
        <w:tc>
          <w:tcPr>
            <w:tcW w:w="567" w:type="dxa"/>
          </w:tcPr>
          <w:p w:rsidR="00B73163" w:rsidRPr="00B73163" w:rsidRDefault="00B73163" w:rsidP="00B73163">
            <w:pPr>
              <w:spacing w:line="240" w:lineRule="auto"/>
              <w:jc w:val="left"/>
              <w:rPr>
                <w:rStyle w:val="Hyperlink"/>
                <w:rtl/>
              </w:rPr>
            </w:pPr>
            <w:hyperlink w:anchor="Seif18" w:tooltip="החלטה"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73163" w:rsidRPr="00B73163" w:rsidTr="00B73163">
        <w:tblPrEx>
          <w:tblCellMar>
            <w:top w:w="0" w:type="dxa"/>
            <w:bottom w:w="0" w:type="dxa"/>
          </w:tblCellMar>
        </w:tblPrEx>
        <w:tc>
          <w:tcPr>
            <w:tcW w:w="1247" w:type="dxa"/>
          </w:tcPr>
          <w:p w:rsidR="00B73163" w:rsidRPr="00B73163" w:rsidRDefault="00B73163" w:rsidP="00B73163">
            <w:pPr>
              <w:spacing w:line="240" w:lineRule="auto"/>
              <w:jc w:val="left"/>
              <w:rPr>
                <w:rFonts w:cs="Frankruhel"/>
                <w:sz w:val="24"/>
                <w:rtl/>
              </w:rPr>
            </w:pPr>
            <w:r>
              <w:rPr>
                <w:rFonts w:cs="Times New Roman"/>
                <w:sz w:val="24"/>
                <w:rtl/>
              </w:rPr>
              <w:t xml:space="preserve">סעיף 19 </w:t>
            </w:r>
          </w:p>
        </w:tc>
        <w:tc>
          <w:tcPr>
            <w:tcW w:w="5669" w:type="dxa"/>
          </w:tcPr>
          <w:p w:rsidR="00B73163" w:rsidRPr="00B73163" w:rsidRDefault="00B73163" w:rsidP="00B73163">
            <w:pPr>
              <w:spacing w:line="240" w:lineRule="auto"/>
              <w:jc w:val="left"/>
              <w:rPr>
                <w:rFonts w:cs="Frankruhel"/>
                <w:sz w:val="24"/>
                <w:rtl/>
              </w:rPr>
            </w:pPr>
            <w:r>
              <w:rPr>
                <w:rFonts w:cs="Times New Roman"/>
                <w:sz w:val="24"/>
                <w:rtl/>
              </w:rPr>
              <w:t>איסור פעולות עד מתן החלטה בערר</w:t>
            </w:r>
          </w:p>
        </w:tc>
        <w:tc>
          <w:tcPr>
            <w:tcW w:w="567" w:type="dxa"/>
          </w:tcPr>
          <w:p w:rsidR="00B73163" w:rsidRPr="00B73163" w:rsidRDefault="00B73163" w:rsidP="00B73163">
            <w:pPr>
              <w:spacing w:line="240" w:lineRule="auto"/>
              <w:jc w:val="left"/>
              <w:rPr>
                <w:rStyle w:val="Hyperlink"/>
                <w:rtl/>
              </w:rPr>
            </w:pPr>
            <w:hyperlink w:anchor="Seif19" w:tooltip="איסור פעולות עד מתן החלטה בערר" w:history="1">
              <w:r w:rsidRPr="00B73163">
                <w:rPr>
                  <w:rStyle w:val="Hyperlink"/>
                </w:rPr>
                <w:t>Go</w:t>
              </w:r>
            </w:hyperlink>
          </w:p>
        </w:tc>
        <w:tc>
          <w:tcPr>
            <w:tcW w:w="850" w:type="dxa"/>
          </w:tcPr>
          <w:p w:rsidR="00B73163" w:rsidRPr="00B73163" w:rsidRDefault="00B73163" w:rsidP="00B731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F9072C" w:rsidRDefault="00F9072C">
      <w:pPr>
        <w:pStyle w:val="big-header"/>
        <w:ind w:left="0" w:right="1134"/>
        <w:rPr>
          <w:rtl/>
        </w:rPr>
      </w:pPr>
    </w:p>
    <w:p w:rsidR="00F9072C" w:rsidRDefault="00F9072C" w:rsidP="00770D5A">
      <w:pPr>
        <w:pStyle w:val="big-header"/>
        <w:ind w:left="0" w:right="1134"/>
        <w:rPr>
          <w:rStyle w:val="default"/>
          <w:rFonts w:cs="FrankRuehl" w:hint="cs"/>
          <w:rtl/>
        </w:rPr>
      </w:pPr>
      <w:r>
        <w:rPr>
          <w:rtl/>
        </w:rPr>
        <w:br w:type="page"/>
      </w:r>
      <w:r>
        <w:rPr>
          <w:rtl/>
        </w:rPr>
        <w:lastRenderedPageBreak/>
        <w:t>ת</w:t>
      </w:r>
      <w:r>
        <w:rPr>
          <w:rFonts w:hint="cs"/>
          <w:rtl/>
        </w:rPr>
        <w:t>קנות התכנון והבניה (סדרי הדין בועדות ערר), תשנ"ו-1996</w:t>
      </w:r>
      <w:r>
        <w:rPr>
          <w:rStyle w:val="default"/>
          <w:rtl/>
        </w:rPr>
        <w:footnoteReference w:customMarkFollows="1" w:id="1"/>
        <w:t>*</w:t>
      </w:r>
    </w:p>
    <w:p w:rsidR="00F9072C" w:rsidRDefault="00F9072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12ד לחוק התכנון והבניה, תשכ"ה-1965 (להלן </w:t>
      </w:r>
      <w:r w:rsidR="00B708AD">
        <w:rPr>
          <w:rStyle w:val="default"/>
          <w:rFonts w:cs="FrankRuehl"/>
          <w:rtl/>
        </w:rPr>
        <w:t>–</w:t>
      </w:r>
      <w:r>
        <w:rPr>
          <w:rStyle w:val="default"/>
          <w:rFonts w:cs="FrankRuehl" w:hint="cs"/>
          <w:rtl/>
        </w:rPr>
        <w:t xml:space="preserve"> החוק), בהסכמת שר הפנים לאחר שהתיי</w:t>
      </w:r>
      <w:r>
        <w:rPr>
          <w:rStyle w:val="default"/>
          <w:rFonts w:cs="FrankRuehl"/>
          <w:rtl/>
        </w:rPr>
        <w:t>ע</w:t>
      </w:r>
      <w:r>
        <w:rPr>
          <w:rStyle w:val="default"/>
          <w:rFonts w:cs="FrankRuehl" w:hint="cs"/>
          <w:rtl/>
        </w:rPr>
        <w:t>ץ עם המועצה הארצית לתכנון ולבניה, אני מתקין תקנות אלה:</w:t>
      </w:r>
    </w:p>
    <w:p w:rsidR="00F9072C" w:rsidRDefault="00F9072C">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pt;z-index:251648512"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B708AD">
        <w:rPr>
          <w:rStyle w:val="default"/>
          <w:rFonts w:cs="FrankRuehl" w:hint="cs"/>
          <w:rtl/>
        </w:rPr>
        <w:t xml:space="preserve">תקנות אלה </w:t>
      </w:r>
      <w:r w:rsidR="00B708AD">
        <w:rPr>
          <w:rStyle w:val="default"/>
          <w:rFonts w:cs="FrankRuehl"/>
          <w:rtl/>
        </w:rPr>
        <w:t>–</w:t>
      </w:r>
    </w:p>
    <w:p w:rsidR="00F9072C" w:rsidRDefault="00F907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ועדת ערר" </w:t>
      </w:r>
      <w:r w:rsidR="00B708AD">
        <w:rPr>
          <w:rStyle w:val="default"/>
          <w:rFonts w:cs="FrankRuehl"/>
          <w:rtl/>
        </w:rPr>
        <w:t>–</w:t>
      </w:r>
      <w:r>
        <w:rPr>
          <w:rStyle w:val="default"/>
          <w:rFonts w:cs="FrankRuehl" w:hint="cs"/>
          <w:rtl/>
        </w:rPr>
        <w:t xml:space="preserve"> ועדה לפי סעיף 12א לחוק;</w:t>
      </w:r>
    </w:p>
    <w:p w:rsidR="00F9072C" w:rsidRDefault="00F907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ערר" </w:t>
      </w:r>
      <w:r w:rsidR="00B708AD">
        <w:rPr>
          <w:rStyle w:val="default"/>
          <w:rFonts w:cs="FrankRuehl"/>
          <w:rtl/>
        </w:rPr>
        <w:t>–</w:t>
      </w:r>
      <w:r>
        <w:rPr>
          <w:rStyle w:val="default"/>
          <w:rFonts w:cs="FrankRuehl" w:hint="cs"/>
          <w:rtl/>
        </w:rPr>
        <w:t xml:space="preserve"> ערר על החלטה של ועדה מקומית בענין תכניות ותשריטי חלוקה לפי סעיפים 78(ב)(2), 98(ב), 112, 140, 142 ו-184(ב) לחוק, וכן ערר על הח</w:t>
      </w:r>
      <w:r>
        <w:rPr>
          <w:rStyle w:val="default"/>
          <w:rFonts w:cs="FrankRuehl"/>
          <w:rtl/>
        </w:rPr>
        <w:t>ל</w:t>
      </w:r>
      <w:r>
        <w:rPr>
          <w:rStyle w:val="default"/>
          <w:rFonts w:cs="FrankRuehl" w:hint="cs"/>
          <w:rtl/>
        </w:rPr>
        <w:t>טה בכל ענין הנוגע למתן היתר לבניה או לשימוש בקרקע לפי סעיפים 152, 157, 158לד, לרבות הקלות ושימושים חורגים, וכן בענין הנוגע למתן אישור לפי סעיף 157א(ז) לחוק, ולרבות כל ערר אחר שבסמכות ועדת הערר, למעט בענין תביעה לפיצויים לפי סעיף 198 לחוק.</w:t>
      </w:r>
    </w:p>
    <w:p w:rsidR="00F9072C" w:rsidRDefault="00F9072C">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0pt;z-index:251649536"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ה</w:t>
                  </w:r>
                  <w:r>
                    <w:rPr>
                      <w:rFonts w:cs="Miriam" w:hint="cs"/>
                      <w:szCs w:val="18"/>
                      <w:rtl/>
                    </w:rPr>
                    <w:t>גשת ערר</w:t>
                  </w:r>
                </w:p>
              </w:txbxContent>
            </v:textbox>
            <w10:anchorlock/>
          </v:rect>
        </w:pict>
      </w:r>
      <w:r>
        <w:rPr>
          <w:rStyle w:val="big-number"/>
          <w:rFonts w:cs="Miriam"/>
          <w:rtl/>
        </w:rPr>
        <w:t>2.</w:t>
      </w:r>
      <w:r>
        <w:rPr>
          <w:rStyle w:val="big-number"/>
          <w:rFonts w:cs="Miriam"/>
          <w:rtl/>
        </w:rPr>
        <w:tab/>
      </w:r>
      <w:r>
        <w:rPr>
          <w:rStyle w:val="default"/>
          <w:rFonts w:cs="FrankRuehl"/>
          <w:rtl/>
        </w:rPr>
        <w:t>ער</w:t>
      </w:r>
      <w:r>
        <w:rPr>
          <w:rStyle w:val="default"/>
          <w:rFonts w:cs="FrankRuehl" w:hint="cs"/>
          <w:rtl/>
        </w:rPr>
        <w:t>ר יוגש בידי העורר למזכירות ועדת הערר בכתב, בששה עותקים, בצירוף עותקים נוספים לפי מספר המשיבים; מזכיר הועדה או עובד מטעמו יאשר, בכתב, את קבלת הערר, לאחר תשלום האגרה שנקבעה בתקנות לפי סעיף 265(17ב) לחוק; בכתב האישור יצויין תאריך ההגשה ומספר תיק הערר.</w:t>
      </w:r>
    </w:p>
    <w:p w:rsidR="00F9072C" w:rsidRDefault="00F9072C">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0pt;z-index:251650560"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פ</w:t>
                  </w:r>
                  <w:r>
                    <w:rPr>
                      <w:rFonts w:cs="Miriam" w:hint="cs"/>
                      <w:szCs w:val="18"/>
                      <w:rtl/>
                    </w:rPr>
                    <w:t>רטי ה</w:t>
                  </w:r>
                  <w:r>
                    <w:rPr>
                      <w:rFonts w:cs="Miriam"/>
                      <w:szCs w:val="18"/>
                      <w:rtl/>
                    </w:rPr>
                    <w:t>ע</w:t>
                  </w:r>
                  <w:r>
                    <w:rPr>
                      <w:rFonts w:cs="Miriam" w:hint="cs"/>
                      <w:szCs w:val="18"/>
                      <w:rtl/>
                    </w:rPr>
                    <w:t>רר</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כתב ערר יכלול את כל אלה:</w:t>
      </w:r>
    </w:p>
    <w:p w:rsidR="00F9072C" w:rsidRDefault="00F9072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העורר ומענו;</w:t>
      </w:r>
    </w:p>
    <w:p w:rsidR="00F9072C" w:rsidRDefault="00F9072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בא כוח העורר, אם הערר מוגש באמצעות עורך-דין, ומען למסירת מסמכים;</w:t>
      </w:r>
    </w:p>
    <w:p w:rsidR="00F9072C" w:rsidRDefault="00F9072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פרטי התכנית או הבקשה שלגביה ניתנה ההחלטה נושא הערר;</w:t>
      </w:r>
    </w:p>
    <w:p w:rsidR="00F9072C" w:rsidRDefault="00F9072C">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פרטי ההחלטה שעליה מוגש הערר, והעתק הודעת</w:t>
      </w:r>
      <w:r>
        <w:rPr>
          <w:rStyle w:val="default"/>
          <w:rFonts w:cs="FrankRuehl"/>
          <w:rtl/>
        </w:rPr>
        <w:t xml:space="preserve"> </w:t>
      </w:r>
      <w:r>
        <w:rPr>
          <w:rStyle w:val="default"/>
          <w:rFonts w:cs="FrankRuehl" w:hint="cs"/>
          <w:rtl/>
        </w:rPr>
        <w:t>הועדה או הרשות על ההחל</w:t>
      </w:r>
      <w:r>
        <w:rPr>
          <w:rStyle w:val="default"/>
          <w:rFonts w:cs="FrankRuehl"/>
          <w:rtl/>
        </w:rPr>
        <w:t>ט</w:t>
      </w:r>
      <w:r>
        <w:rPr>
          <w:rStyle w:val="default"/>
          <w:rFonts w:cs="FrankRuehl" w:hint="cs"/>
          <w:rtl/>
        </w:rPr>
        <w:t>ה;</w:t>
      </w:r>
    </w:p>
    <w:p w:rsidR="00F9072C" w:rsidRDefault="00F9072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פרטי המשיבים, שמותיהם ומענם;</w:t>
      </w:r>
    </w:p>
    <w:p w:rsidR="00F9072C" w:rsidRDefault="00F9072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נימוקי הערר;</w:t>
      </w:r>
    </w:p>
    <w:p w:rsidR="00F9072C" w:rsidRDefault="00F9072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עיקר הראיות שהעורר מבקש להביא בפני ועדת הערר.</w:t>
      </w:r>
    </w:p>
    <w:p w:rsidR="00F9072C" w:rsidRDefault="00F907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לבקשת עורר, תמציא לו הועדה המקומית את פרטי הצדדים ל</w:t>
      </w:r>
      <w:r>
        <w:rPr>
          <w:rStyle w:val="default"/>
          <w:rFonts w:cs="FrankRuehl"/>
          <w:rtl/>
        </w:rPr>
        <w:t>ה</w:t>
      </w:r>
      <w:r>
        <w:rPr>
          <w:rStyle w:val="default"/>
          <w:rFonts w:cs="FrankRuehl" w:hint="cs"/>
          <w:rtl/>
        </w:rPr>
        <w:t>ליך נושא הערר, שמותיהם ומעניהם, תוך שלושה ימים מיום הגשת הבקשה.</w:t>
      </w:r>
    </w:p>
    <w:p w:rsidR="00F9072C" w:rsidRDefault="00F9072C">
      <w:pPr>
        <w:pStyle w:val="P00"/>
        <w:spacing w:before="72"/>
        <w:ind w:left="0" w:right="1134"/>
        <w:rPr>
          <w:rStyle w:val="default"/>
          <w:rFonts w:cs="FrankRuehl" w:hint="cs"/>
          <w:rtl/>
        </w:rPr>
      </w:pPr>
      <w:bookmarkStart w:id="3" w:name="Seif4"/>
      <w:bookmarkEnd w:id="3"/>
      <w:r>
        <w:rPr>
          <w:lang w:val="he-IL"/>
        </w:rPr>
        <w:pict>
          <v:rect id="_x0000_s1029" style="position:absolute;left:0;text-align:left;margin-left:464.5pt;margin-top:8.05pt;width:75.05pt;height:10pt;z-index:251651584"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ה</w:t>
                  </w:r>
                  <w:r>
                    <w:rPr>
                      <w:rFonts w:cs="Miriam" w:hint="cs"/>
                      <w:szCs w:val="18"/>
                      <w:rtl/>
                    </w:rPr>
                    <w:t>משיבים בערר</w:t>
                  </w:r>
                </w:p>
              </w:txbxContent>
            </v:textbox>
            <w10:anchorlock/>
          </v:rect>
        </w:pict>
      </w:r>
      <w:r>
        <w:rPr>
          <w:rStyle w:val="big-number"/>
          <w:rFonts w:cs="Miriam"/>
          <w:rtl/>
        </w:rPr>
        <w:t>4.</w:t>
      </w:r>
      <w:r>
        <w:rPr>
          <w:rStyle w:val="big-number"/>
          <w:rFonts w:cs="Miriam"/>
          <w:rtl/>
        </w:rPr>
        <w:tab/>
      </w:r>
      <w:r>
        <w:rPr>
          <w:rStyle w:val="default"/>
          <w:rFonts w:cs="FrankRuehl"/>
          <w:rtl/>
        </w:rPr>
        <w:t>ה</w:t>
      </w:r>
      <w:r w:rsidR="00B708AD">
        <w:rPr>
          <w:rStyle w:val="default"/>
          <w:rFonts w:cs="FrankRuehl" w:hint="cs"/>
          <w:rtl/>
        </w:rPr>
        <w:t xml:space="preserve">משיבים בערר יהיו, לפי הענין </w:t>
      </w:r>
      <w:r w:rsidR="00B708AD">
        <w:rPr>
          <w:rStyle w:val="default"/>
          <w:rFonts w:cs="FrankRuehl"/>
          <w:rtl/>
        </w:rPr>
        <w:t>–</w:t>
      </w:r>
    </w:p>
    <w:p w:rsidR="00F9072C" w:rsidRDefault="00F9072C">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בערר על החלטה בענין התנגדות לתכנית או על החלטה לפי סעיפים 78(א), 98(א) או 184(א) לחוק:</w:t>
      </w:r>
    </w:p>
    <w:p w:rsidR="00F9072C" w:rsidRDefault="00F9072C">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הועדה המקומית;</w:t>
      </w:r>
    </w:p>
    <w:p w:rsidR="00F9072C" w:rsidRDefault="00F9072C">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מגיש התכנית;</w:t>
      </w:r>
    </w:p>
    <w:p w:rsidR="00F9072C" w:rsidRDefault="00F9072C">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שהתנגדותו לתכנית שבסמכות ועדה מקומית נתקבלה ובשל כך הוגש ערר;</w:t>
      </w:r>
    </w:p>
    <w:p w:rsidR="00F9072C" w:rsidRDefault="00F9072C">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מי שהשמיע טענה לפי סעיף 106(ב) לחוק, והערר נוגע לענין שבקשר אליו נשמעה הטענה.</w:t>
      </w:r>
    </w:p>
    <w:p w:rsidR="00F9072C" w:rsidRDefault="00F9072C">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בערר על החלטה בענין אישור, היתר או תשריט לחלוקת קרקע:</w:t>
      </w:r>
    </w:p>
    <w:p w:rsidR="00F9072C" w:rsidRDefault="00F9072C">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ה</w:t>
      </w:r>
      <w:r>
        <w:rPr>
          <w:rStyle w:val="default"/>
          <w:rFonts w:cs="FrankRuehl"/>
          <w:rtl/>
        </w:rPr>
        <w:t>מ</w:t>
      </w:r>
      <w:r>
        <w:rPr>
          <w:rStyle w:val="default"/>
          <w:rFonts w:cs="FrankRuehl" w:hint="cs"/>
          <w:rtl/>
        </w:rPr>
        <w:t>קומית או רשות הרישוי המקומית, לפי הענין;</w:t>
      </w:r>
    </w:p>
    <w:p w:rsidR="00F9072C" w:rsidRDefault="00F9072C">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מגיש הבקשה להיתר או ההתנגדות להיתר;</w:t>
      </w:r>
    </w:p>
    <w:p w:rsidR="00F9072C" w:rsidRDefault="00F9072C">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מגיש הבקשה לתשריט חלוקה או לאיחוד קרקע או המתנגד לאישור החלוקה או האיחוד;</w:t>
      </w:r>
    </w:p>
    <w:p w:rsidR="00F9072C" w:rsidRDefault="00F9072C">
      <w:pPr>
        <w:pStyle w:val="P22"/>
        <w:spacing w:before="72"/>
        <w:ind w:left="1021" w:right="1134"/>
        <w:rPr>
          <w:rStyle w:val="default"/>
          <w:rFonts w:cs="FrankRuehl"/>
          <w:rtl/>
        </w:rPr>
      </w:pPr>
      <w:r>
        <w:rPr>
          <w:rStyle w:val="default"/>
          <w:rFonts w:cs="FrankRuehl"/>
          <w:rtl/>
        </w:rPr>
        <w:lastRenderedPageBreak/>
        <w:t>(</w:t>
      </w:r>
      <w:r>
        <w:rPr>
          <w:rStyle w:val="default"/>
          <w:rFonts w:cs="FrankRuehl" w:hint="cs"/>
          <w:rtl/>
        </w:rPr>
        <w:t>ד)</w:t>
      </w:r>
      <w:r>
        <w:rPr>
          <w:rStyle w:val="default"/>
          <w:rFonts w:cs="FrankRuehl"/>
          <w:rtl/>
        </w:rPr>
        <w:tab/>
      </w:r>
      <w:r>
        <w:rPr>
          <w:rStyle w:val="default"/>
          <w:rFonts w:cs="FrankRuehl" w:hint="cs"/>
          <w:rtl/>
        </w:rPr>
        <w:t xml:space="preserve">בערר לפי סעיף 157א לחוק </w:t>
      </w:r>
      <w:r w:rsidR="00B708AD">
        <w:rPr>
          <w:rStyle w:val="default"/>
          <w:rFonts w:cs="FrankRuehl"/>
          <w:rtl/>
        </w:rPr>
        <w:t>–</w:t>
      </w:r>
      <w:r>
        <w:rPr>
          <w:rStyle w:val="default"/>
          <w:rFonts w:cs="FrankRuehl" w:hint="cs"/>
          <w:rtl/>
        </w:rPr>
        <w:t xml:space="preserve"> גם הרשות המאשרת.</w:t>
      </w:r>
    </w:p>
    <w:p w:rsidR="00F9072C" w:rsidRDefault="00F9072C">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20pt;z-index:251652608"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מ</w:t>
                  </w:r>
                  <w:r>
                    <w:rPr>
                      <w:rFonts w:cs="Miriam" w:hint="cs"/>
                      <w:szCs w:val="18"/>
                      <w:rtl/>
                    </w:rPr>
                    <w:t>סירת העתקי הערר למשיבים</w:t>
                  </w:r>
                </w:p>
              </w:txbxContent>
            </v:textbox>
            <w10:anchorlock/>
          </v:rect>
        </w:pict>
      </w:r>
      <w:r>
        <w:rPr>
          <w:rStyle w:val="big-number"/>
          <w:rFonts w:cs="Miriam"/>
          <w:rtl/>
        </w:rPr>
        <w:t>5.</w:t>
      </w:r>
      <w:r>
        <w:rPr>
          <w:rStyle w:val="big-number"/>
          <w:rFonts w:cs="Miriam"/>
          <w:rtl/>
        </w:rPr>
        <w:tab/>
      </w:r>
      <w:r>
        <w:rPr>
          <w:rStyle w:val="default"/>
          <w:rFonts w:cs="FrankRuehl"/>
          <w:rtl/>
        </w:rPr>
        <w:t>מ</w:t>
      </w:r>
      <w:r>
        <w:rPr>
          <w:rStyle w:val="default"/>
          <w:rFonts w:cs="FrankRuehl" w:hint="cs"/>
          <w:rtl/>
        </w:rPr>
        <w:t>זכיר ועדת הערר יש</w:t>
      </w:r>
      <w:r>
        <w:rPr>
          <w:rStyle w:val="default"/>
          <w:rFonts w:cs="FrankRuehl"/>
          <w:rtl/>
        </w:rPr>
        <w:t>ל</w:t>
      </w:r>
      <w:r>
        <w:rPr>
          <w:rStyle w:val="default"/>
          <w:rFonts w:cs="FrankRuehl" w:hint="cs"/>
          <w:rtl/>
        </w:rPr>
        <w:t>ח, תוך חמישה ימים מיום קבלת הערר, לכל אחד מהמשיבים עותק של הערר על נספחיו, בדואר רשום או באמצעות שליח, וידאג לקבלת אישור על מסירת הערר למשיבים.</w:t>
      </w:r>
    </w:p>
    <w:p w:rsidR="00F9072C" w:rsidRDefault="00F9072C">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10pt;z-index:251653632"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ת</w:t>
                  </w:r>
                  <w:r>
                    <w:rPr>
                      <w:rFonts w:cs="Miriam" w:hint="cs"/>
                      <w:szCs w:val="18"/>
                      <w:rtl/>
                    </w:rPr>
                    <w:t>שובה לערר</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משיב בערר רשאי להגיש תשובתו ועיקרי ראיותיו:</w:t>
      </w:r>
    </w:p>
    <w:p w:rsidR="00F9072C" w:rsidRDefault="00F9072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בערר כאמור, בתקנה 4(1) </w:t>
      </w:r>
      <w:r w:rsidR="00B708AD">
        <w:rPr>
          <w:rStyle w:val="default"/>
          <w:rFonts w:cs="FrankRuehl"/>
          <w:rtl/>
        </w:rPr>
        <w:t>–</w:t>
      </w:r>
      <w:r>
        <w:rPr>
          <w:rStyle w:val="default"/>
          <w:rFonts w:cs="FrankRuehl" w:hint="cs"/>
          <w:rtl/>
        </w:rPr>
        <w:t xml:space="preserve"> תוך שלושים ימים מ</w:t>
      </w:r>
      <w:r>
        <w:rPr>
          <w:rStyle w:val="default"/>
          <w:rFonts w:cs="FrankRuehl"/>
          <w:rtl/>
        </w:rPr>
        <w:t>י</w:t>
      </w:r>
      <w:r>
        <w:rPr>
          <w:rStyle w:val="default"/>
          <w:rFonts w:cs="FrankRuehl" w:hint="cs"/>
          <w:rtl/>
        </w:rPr>
        <w:t>ום שהומצא לו הערר;</w:t>
      </w:r>
    </w:p>
    <w:p w:rsidR="00F9072C" w:rsidRDefault="00F9072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בערר כאמור בתקנה 4(2) </w:t>
      </w:r>
      <w:r w:rsidR="00B708AD">
        <w:rPr>
          <w:rStyle w:val="default"/>
          <w:rFonts w:cs="FrankRuehl"/>
          <w:rtl/>
        </w:rPr>
        <w:t>–</w:t>
      </w:r>
      <w:r>
        <w:rPr>
          <w:rStyle w:val="default"/>
          <w:rFonts w:cs="FrankRuehl" w:hint="cs"/>
          <w:rtl/>
        </w:rPr>
        <w:t xml:space="preserve"> תוך חמישה עשר ימים מיום שהומצא לו הערר.</w:t>
      </w:r>
    </w:p>
    <w:p w:rsidR="00F9072C" w:rsidRDefault="00F907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משיב כאמור ימציא העתק מתשובתו לערר ועיקר ראיותיו לעורר ולמשיבים האחרים.</w:t>
      </w:r>
    </w:p>
    <w:p w:rsidR="00F9072C" w:rsidRDefault="00F907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ועדה מקומית או רשות רישוי מקומית המשיבה לערר תמציא במצורף לתשובה גם את כל החומר הנוגע </w:t>
      </w:r>
      <w:r>
        <w:rPr>
          <w:rStyle w:val="default"/>
          <w:rFonts w:cs="FrankRuehl"/>
          <w:rtl/>
        </w:rPr>
        <w:t>ל</w:t>
      </w:r>
      <w:r>
        <w:rPr>
          <w:rStyle w:val="default"/>
          <w:rFonts w:cs="FrankRuehl" w:hint="cs"/>
          <w:rtl/>
        </w:rPr>
        <w:t>ערר, לרבות התכניות החלות, פרוטוקולים וכל הדיון הפומבי לפניה, תשריטים, והעתקים מהבקשה או ההתנגדות שבקשר אליהם הוגש הערר; אין חובה למסור העתקים מן החומר האמור לידי המשיבים האחרים או העורר.</w:t>
      </w:r>
    </w:p>
    <w:p w:rsidR="00F9072C" w:rsidRDefault="00F9072C">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20pt;z-index:251654656"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ד</w:t>
                  </w:r>
                  <w:r>
                    <w:rPr>
                      <w:rFonts w:cs="Miriam" w:hint="cs"/>
                      <w:szCs w:val="18"/>
                      <w:rtl/>
                    </w:rPr>
                    <w:t xml:space="preserve">יון בהעדר </w:t>
                  </w:r>
                  <w:r>
                    <w:rPr>
                      <w:rFonts w:cs="Miriam"/>
                      <w:szCs w:val="18"/>
                      <w:rtl/>
                    </w:rPr>
                    <w:t>ת</w:t>
                  </w:r>
                  <w:r>
                    <w:rPr>
                      <w:rFonts w:cs="Miriam" w:hint="cs"/>
                      <w:szCs w:val="18"/>
                      <w:rtl/>
                    </w:rPr>
                    <w:t>שובה בכתב</w:t>
                  </w:r>
                </w:p>
              </w:txbxContent>
            </v:textbox>
            <w10:anchorlock/>
          </v:rect>
        </w:pict>
      </w:r>
      <w:r>
        <w:rPr>
          <w:rStyle w:val="big-number"/>
          <w:rFonts w:cs="Miriam"/>
          <w:rtl/>
        </w:rPr>
        <w:t>7.</w:t>
      </w:r>
      <w:r>
        <w:rPr>
          <w:rStyle w:val="big-number"/>
          <w:rFonts w:cs="Miriam"/>
          <w:rtl/>
        </w:rPr>
        <w:tab/>
      </w:r>
      <w:r>
        <w:rPr>
          <w:rStyle w:val="default"/>
          <w:rFonts w:cs="FrankRuehl"/>
          <w:rtl/>
        </w:rPr>
        <w:t>ע</w:t>
      </w:r>
      <w:r>
        <w:rPr>
          <w:rStyle w:val="default"/>
          <w:rFonts w:cs="FrankRuehl" w:hint="cs"/>
          <w:rtl/>
        </w:rPr>
        <w:t>בר המועד להגש</w:t>
      </w:r>
      <w:r>
        <w:rPr>
          <w:rStyle w:val="default"/>
          <w:rFonts w:cs="FrankRuehl"/>
          <w:rtl/>
        </w:rPr>
        <w:t>ת</w:t>
      </w:r>
      <w:r>
        <w:rPr>
          <w:rStyle w:val="default"/>
          <w:rFonts w:cs="FrankRuehl" w:hint="cs"/>
          <w:rtl/>
        </w:rPr>
        <w:t xml:space="preserve"> תשובה בערר תדון ועדת הערר בערר, אף אם המשיבים, כולם או מקצתם, לא הגישו תשובה בכתב, ובלבד שהוכח, להנחת דעתה, כי ניתנה הזדמנות נאותה להשיב לערר.</w:t>
      </w:r>
    </w:p>
    <w:p w:rsidR="00F9072C" w:rsidRDefault="00F9072C">
      <w:pPr>
        <w:pStyle w:val="P00"/>
        <w:spacing w:before="72"/>
        <w:ind w:left="0" w:right="1134"/>
        <w:rPr>
          <w:rStyle w:val="default"/>
          <w:rFonts w:cs="FrankRuehl"/>
          <w:rtl/>
        </w:rPr>
      </w:pPr>
      <w:bookmarkStart w:id="7" w:name="Seif8"/>
      <w:bookmarkEnd w:id="7"/>
      <w:r>
        <w:rPr>
          <w:lang w:val="he-IL"/>
        </w:rPr>
        <w:pict>
          <v:rect id="_x0000_s1033" style="position:absolute;left:0;text-align:left;margin-left:464.5pt;margin-top:8.05pt;width:75.05pt;height:10pt;z-index:251655680"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ז</w:t>
                  </w:r>
                  <w:r>
                    <w:rPr>
                      <w:rFonts w:cs="Miriam" w:hint="cs"/>
                      <w:szCs w:val="18"/>
                      <w:rtl/>
                    </w:rPr>
                    <w:t xml:space="preserve">ימון לדיון </w:t>
                  </w:r>
                  <w:r>
                    <w:rPr>
                      <w:rFonts w:cs="Miriam"/>
                      <w:szCs w:val="18"/>
                      <w:rtl/>
                    </w:rPr>
                    <w:t>ב</w:t>
                  </w:r>
                  <w:r>
                    <w:rPr>
                      <w:rFonts w:cs="Miriam" w:hint="cs"/>
                      <w:szCs w:val="18"/>
                      <w:rtl/>
                    </w:rPr>
                    <w:t>ערר</w:t>
                  </w:r>
                </w:p>
              </w:txbxContent>
            </v:textbox>
            <w10:anchorlock/>
          </v:rect>
        </w:pict>
      </w:r>
      <w:r>
        <w:rPr>
          <w:rStyle w:val="big-number"/>
          <w:rFonts w:cs="Miriam"/>
          <w:rtl/>
        </w:rPr>
        <w:t>8.</w:t>
      </w:r>
      <w:r>
        <w:rPr>
          <w:rStyle w:val="big-number"/>
          <w:rFonts w:cs="Miriam"/>
          <w:rtl/>
        </w:rPr>
        <w:tab/>
      </w:r>
      <w:r>
        <w:rPr>
          <w:rStyle w:val="default"/>
          <w:rFonts w:cs="FrankRuehl"/>
          <w:rtl/>
        </w:rPr>
        <w:t>מ</w:t>
      </w:r>
      <w:r>
        <w:rPr>
          <w:rStyle w:val="default"/>
          <w:rFonts w:cs="FrankRuehl" w:hint="cs"/>
          <w:rtl/>
        </w:rPr>
        <w:t>זכיר הועדה יזמין את הצדדים לערר לדיון בו 7 ימים לפחות לפני היום שנקבע לדיון; הזמנה כאמו</w:t>
      </w:r>
      <w:r>
        <w:rPr>
          <w:rStyle w:val="default"/>
          <w:rFonts w:cs="FrankRuehl"/>
          <w:rtl/>
        </w:rPr>
        <w:t>ר</w:t>
      </w:r>
      <w:r>
        <w:rPr>
          <w:rStyle w:val="default"/>
          <w:rFonts w:cs="FrankRuehl" w:hint="cs"/>
          <w:rtl/>
        </w:rPr>
        <w:t xml:space="preserve"> יכול שתיעשה גם באמצעות טלפון או פקסימילה.</w:t>
      </w:r>
    </w:p>
    <w:p w:rsidR="00F9072C" w:rsidRDefault="00F9072C">
      <w:pPr>
        <w:pStyle w:val="P00"/>
        <w:spacing w:before="72"/>
        <w:ind w:left="0" w:right="1134"/>
        <w:rPr>
          <w:rStyle w:val="default"/>
          <w:rFonts w:cs="FrankRuehl"/>
          <w:rtl/>
        </w:rPr>
      </w:pPr>
      <w:bookmarkStart w:id="8" w:name="Seif9"/>
      <w:bookmarkEnd w:id="8"/>
      <w:r>
        <w:rPr>
          <w:lang w:val="he-IL"/>
        </w:rPr>
        <w:pict>
          <v:rect id="_x0000_s1034" style="position:absolute;left:0;text-align:left;margin-left:464.5pt;margin-top:8.05pt;width:75.05pt;height:10pt;z-index:251656704"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ד</w:t>
                  </w:r>
                  <w:r>
                    <w:rPr>
                      <w:rFonts w:cs="Miriam" w:hint="cs"/>
                      <w:szCs w:val="18"/>
                      <w:rtl/>
                    </w:rPr>
                    <w:t>יון בהעד</w:t>
                  </w:r>
                  <w:r>
                    <w:rPr>
                      <w:rFonts w:cs="Miriam"/>
                      <w:szCs w:val="18"/>
                      <w:rtl/>
                    </w:rPr>
                    <w:t>ר</w:t>
                  </w:r>
                  <w:r>
                    <w:rPr>
                      <w:rFonts w:cs="Miriam" w:hint="cs"/>
                      <w:szCs w:val="18"/>
                      <w:rtl/>
                    </w:rPr>
                    <w:t xml:space="preserve"> צד</w:t>
                  </w:r>
                </w:p>
              </w:txbxContent>
            </v:textbox>
            <w10:anchorlock/>
          </v:rect>
        </w:pict>
      </w:r>
      <w:r>
        <w:rPr>
          <w:rStyle w:val="big-number"/>
          <w:rFonts w:cs="Miriam"/>
          <w:rtl/>
        </w:rPr>
        <w:t>9.</w:t>
      </w:r>
      <w:r>
        <w:rPr>
          <w:rStyle w:val="big-number"/>
          <w:rFonts w:cs="Miriam"/>
          <w:rtl/>
        </w:rPr>
        <w:tab/>
      </w:r>
      <w:r>
        <w:rPr>
          <w:rStyle w:val="default"/>
          <w:rFonts w:cs="FrankRuehl"/>
          <w:rtl/>
        </w:rPr>
        <w:t>ה</w:t>
      </w:r>
      <w:r>
        <w:rPr>
          <w:rStyle w:val="default"/>
          <w:rFonts w:cs="FrankRuehl" w:hint="cs"/>
          <w:rtl/>
        </w:rPr>
        <w:t>וזמנו הצדדים לדיון ואחד מהם לא התייצב לדיון, רשאית ועדת הערר לדון בערר גם בהעדרו, ובלבד שהוכח להנחת דעתה שהומצאה הזמנה כדין.</w:t>
      </w:r>
    </w:p>
    <w:p w:rsidR="00F9072C" w:rsidRDefault="00F9072C">
      <w:pPr>
        <w:pStyle w:val="P00"/>
        <w:spacing w:before="72"/>
        <w:ind w:left="0" w:right="1134"/>
        <w:rPr>
          <w:rStyle w:val="default"/>
          <w:rFonts w:cs="FrankRuehl"/>
          <w:rtl/>
        </w:rPr>
      </w:pPr>
      <w:bookmarkStart w:id="9" w:name="Seif10"/>
      <w:bookmarkEnd w:id="9"/>
      <w:r>
        <w:rPr>
          <w:lang w:val="he-IL"/>
        </w:rPr>
        <w:pict>
          <v:rect id="_x0000_s1035" style="position:absolute;left:0;text-align:left;margin-left:464.5pt;margin-top:8.05pt;width:75.05pt;height:20pt;z-index:251657728"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א</w:t>
                  </w:r>
                  <w:r>
                    <w:rPr>
                      <w:rFonts w:cs="Miriam" w:hint="cs"/>
                      <w:szCs w:val="18"/>
                      <w:rtl/>
                    </w:rPr>
                    <w:t>יחוד עררים ותשובות</w:t>
                  </w:r>
                </w:p>
              </w:txbxContent>
            </v:textbox>
            <w10:anchorlock/>
          </v:rect>
        </w:pict>
      </w:r>
      <w:r>
        <w:rPr>
          <w:rStyle w:val="big-number"/>
          <w:rFonts w:cs="Miriam"/>
          <w:rtl/>
        </w:rPr>
        <w:t>10.</w:t>
      </w:r>
      <w:r>
        <w:rPr>
          <w:rStyle w:val="big-number"/>
          <w:rFonts w:cs="Miriam"/>
          <w:rtl/>
        </w:rPr>
        <w:tab/>
      </w:r>
      <w:r>
        <w:rPr>
          <w:rStyle w:val="default"/>
          <w:rFonts w:cs="FrankRuehl"/>
          <w:rtl/>
        </w:rPr>
        <w:t>ו</w:t>
      </w:r>
      <w:r>
        <w:rPr>
          <w:rStyle w:val="default"/>
          <w:rFonts w:cs="FrankRuehl" w:hint="cs"/>
          <w:rtl/>
        </w:rPr>
        <w:t xml:space="preserve">עדת ערר הדנה בערר רשאית לאחד עררים או </w:t>
      </w:r>
      <w:r>
        <w:rPr>
          <w:rStyle w:val="default"/>
          <w:rFonts w:cs="FrankRuehl"/>
          <w:rtl/>
        </w:rPr>
        <w:t>ת</w:t>
      </w:r>
      <w:r>
        <w:rPr>
          <w:rStyle w:val="default"/>
          <w:rFonts w:cs="FrankRuehl" w:hint="cs"/>
          <w:rtl/>
        </w:rPr>
        <w:t>שובות לערר אם מצאה כי ענינם דומה מבחינה עובדתית או משפטית.</w:t>
      </w:r>
    </w:p>
    <w:p w:rsidR="00F9072C" w:rsidRDefault="00F9072C">
      <w:pPr>
        <w:pStyle w:val="P00"/>
        <w:spacing w:before="72"/>
        <w:ind w:left="0" w:right="1134"/>
        <w:rPr>
          <w:rStyle w:val="default"/>
          <w:rFonts w:cs="FrankRuehl"/>
          <w:rtl/>
        </w:rPr>
      </w:pPr>
      <w:bookmarkStart w:id="10" w:name="Seif11"/>
      <w:bookmarkEnd w:id="10"/>
      <w:r>
        <w:rPr>
          <w:lang w:val="he-IL"/>
        </w:rPr>
        <w:pict>
          <v:rect id="_x0000_s1036" style="position:absolute;left:0;text-align:left;margin-left:464.5pt;margin-top:8.05pt;width:75.05pt;height:10pt;z-index:251658752"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ס</w:t>
                  </w:r>
                  <w:r>
                    <w:rPr>
                      <w:rFonts w:cs="Miriam" w:hint="cs"/>
                      <w:szCs w:val="18"/>
                      <w:rtl/>
                    </w:rPr>
                    <w:t>דר הדיון בערר</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יושב ראש הועדה או מזכיר הועדה, יודיע על פתיחת הדיון בציון ההחלטה שעליה מוגש הערר ויקצוב את הזמן לכל טוען.</w:t>
      </w:r>
    </w:p>
    <w:p w:rsidR="00F9072C" w:rsidRDefault="00F907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העורר או בא-כוחו, יציג את הערר, נימוקיו ופרטי ראיותיו.</w:t>
      </w:r>
    </w:p>
    <w:p w:rsidR="00F9072C" w:rsidRDefault="00F907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כל אחד מהמשיבים בערר, יציג את תשובתו, נימוקיו ופרטי ראיותיו, לפי הסדר שיקבע יושב ראש ועדת הערר.</w:t>
      </w:r>
    </w:p>
    <w:p w:rsidR="00F9072C" w:rsidRDefault="00F907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בתום שמיעת טענות המשיבים, רשאי העורר להגיב לטענות.</w:t>
      </w:r>
    </w:p>
    <w:p w:rsidR="00F9072C" w:rsidRDefault="00F907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יישמע עורר במהלך הדיון אלא לענין טענות שהעלה בערר ולא יישמע משיב אלא לענין טענות שהעלה בתשובתו</w:t>
      </w:r>
      <w:r>
        <w:rPr>
          <w:rStyle w:val="default"/>
          <w:rFonts w:cs="FrankRuehl"/>
          <w:rtl/>
        </w:rPr>
        <w:t xml:space="preserve"> </w:t>
      </w:r>
      <w:r>
        <w:rPr>
          <w:rStyle w:val="default"/>
          <w:rFonts w:cs="FrankRuehl" w:hint="cs"/>
          <w:rtl/>
        </w:rPr>
        <w:t>או שהועלו בערר, אולם הועדה רשאית, בכל שלב, לאשר בקשה לתיקון כתב ערר או כתב תשובה או להוספת טענות בעל פה, ובלבד שניתנה לצד שכנגד הזדמנות לטעון נגד הבקשה האמורה.</w:t>
      </w:r>
    </w:p>
    <w:p w:rsidR="00F9072C" w:rsidRDefault="00F9072C">
      <w:pPr>
        <w:pStyle w:val="P00"/>
        <w:spacing w:before="72"/>
        <w:ind w:left="0" w:right="1134"/>
        <w:rPr>
          <w:rStyle w:val="default"/>
          <w:rFonts w:cs="FrankRuehl"/>
          <w:rtl/>
        </w:rPr>
      </w:pPr>
      <w:bookmarkStart w:id="11" w:name="Seif12"/>
      <w:bookmarkEnd w:id="11"/>
      <w:r>
        <w:rPr>
          <w:lang w:val="he-IL"/>
        </w:rPr>
        <w:pict>
          <v:rect id="_x0000_s1037" style="position:absolute;left:0;text-align:left;margin-left:464.5pt;margin-top:8.05pt;width:75.05pt;height:10pt;z-index:251659776"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ה</w:t>
                  </w:r>
                  <w:r>
                    <w:rPr>
                      <w:rFonts w:cs="Miriam" w:hint="cs"/>
                      <w:szCs w:val="18"/>
                      <w:rtl/>
                    </w:rPr>
                    <w:t>פסקת טיעון</w:t>
                  </w:r>
                </w:p>
              </w:txbxContent>
            </v:textbox>
            <w10:anchorlock/>
          </v:rect>
        </w:pict>
      </w:r>
      <w:r>
        <w:rPr>
          <w:rStyle w:val="big-number"/>
          <w:rFonts w:cs="Miriam"/>
          <w:rtl/>
        </w:rPr>
        <w:t>12.</w:t>
      </w:r>
      <w:r>
        <w:rPr>
          <w:rStyle w:val="big-number"/>
          <w:rFonts w:cs="Miriam"/>
          <w:rtl/>
        </w:rPr>
        <w:tab/>
      </w:r>
      <w:r>
        <w:rPr>
          <w:rStyle w:val="default"/>
          <w:rFonts w:cs="FrankRuehl"/>
          <w:rtl/>
        </w:rPr>
        <w:t>י</w:t>
      </w:r>
      <w:r>
        <w:rPr>
          <w:rStyle w:val="default"/>
          <w:rFonts w:cs="FrankRuehl" w:hint="cs"/>
          <w:rtl/>
        </w:rPr>
        <w:t>ושב ראש ועדת הערר רשאי, לאחר התייעצות עם חברי הועדה, להורות לצד בערר להפסיק</w:t>
      </w:r>
      <w:r>
        <w:rPr>
          <w:rStyle w:val="default"/>
          <w:rFonts w:cs="FrankRuehl"/>
          <w:rtl/>
        </w:rPr>
        <w:t xml:space="preserve"> </w:t>
      </w:r>
      <w:r>
        <w:rPr>
          <w:rStyle w:val="default"/>
          <w:rFonts w:cs="FrankRuehl" w:hint="cs"/>
          <w:rtl/>
        </w:rPr>
        <w:t>טענותיו או למנוע ממנו להגיש ראיות, אם ראה כי אינם נוגעים לענין או שיש בהם כדי לפגוע בצד שלישי שאינו מיוצג בדיון בערר.</w:t>
      </w:r>
    </w:p>
    <w:p w:rsidR="00F9072C" w:rsidRDefault="00F9072C">
      <w:pPr>
        <w:pStyle w:val="P00"/>
        <w:spacing w:before="72"/>
        <w:ind w:left="0" w:right="1134"/>
        <w:rPr>
          <w:rStyle w:val="default"/>
          <w:rFonts w:cs="FrankRuehl"/>
          <w:rtl/>
        </w:rPr>
      </w:pPr>
      <w:bookmarkStart w:id="12" w:name="Seif13"/>
      <w:bookmarkEnd w:id="12"/>
      <w:r>
        <w:rPr>
          <w:lang w:val="he-IL"/>
        </w:rPr>
        <w:pict>
          <v:rect id="_x0000_s1038" style="position:absolute;left:0;text-align:left;margin-left:464.5pt;margin-top:8.05pt;width:75.05pt;height:10pt;z-index:251660800"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צ</w:t>
                  </w:r>
                  <w:r>
                    <w:rPr>
                      <w:rFonts w:cs="Miriam" w:hint="cs"/>
                      <w:szCs w:val="18"/>
                      <w:rtl/>
                    </w:rPr>
                    <w:t>ירוף צד</w:t>
                  </w:r>
                </w:p>
              </w:txbxContent>
            </v:textbox>
            <w10:anchorlock/>
          </v:rect>
        </w:pict>
      </w:r>
      <w:r>
        <w:rPr>
          <w:rStyle w:val="big-number"/>
          <w:rFonts w:cs="Miriam"/>
          <w:rtl/>
        </w:rPr>
        <w:t>13.</w:t>
      </w:r>
      <w:r>
        <w:rPr>
          <w:rStyle w:val="big-number"/>
          <w:rFonts w:cs="Miriam"/>
          <w:rtl/>
        </w:rPr>
        <w:tab/>
      </w:r>
      <w:r>
        <w:rPr>
          <w:rStyle w:val="default"/>
          <w:rFonts w:cs="FrankRuehl"/>
          <w:rtl/>
        </w:rPr>
        <w:t>ר</w:t>
      </w:r>
      <w:r>
        <w:rPr>
          <w:rStyle w:val="default"/>
          <w:rFonts w:cs="FrankRuehl" w:hint="cs"/>
          <w:rtl/>
        </w:rPr>
        <w:t>אתה ועדת הערר כי יש מקום לצרף משיב נוסף לערר, רשאית היא, בכל שלב, להפסיק את הדיון בערר עד לציר</w:t>
      </w:r>
      <w:r>
        <w:rPr>
          <w:rStyle w:val="default"/>
          <w:rFonts w:cs="FrankRuehl"/>
          <w:rtl/>
        </w:rPr>
        <w:t>ו</w:t>
      </w:r>
      <w:r>
        <w:rPr>
          <w:rStyle w:val="default"/>
          <w:rFonts w:cs="FrankRuehl" w:hint="cs"/>
          <w:rtl/>
        </w:rPr>
        <w:t>פו, כדי לתת לו הזדמנות נאותה להגיש תשובה בכתב ולהופיע בפניה.</w:t>
      </w:r>
    </w:p>
    <w:p w:rsidR="00F9072C" w:rsidRDefault="00F9072C">
      <w:pPr>
        <w:pStyle w:val="P00"/>
        <w:spacing w:before="72"/>
        <w:ind w:left="0" w:right="1134"/>
        <w:rPr>
          <w:rStyle w:val="default"/>
          <w:rFonts w:cs="FrankRuehl"/>
          <w:rtl/>
        </w:rPr>
      </w:pPr>
      <w:bookmarkStart w:id="13" w:name="Seif14"/>
      <w:bookmarkEnd w:id="13"/>
      <w:r>
        <w:rPr>
          <w:lang w:val="he-IL"/>
        </w:rPr>
        <w:pict>
          <v:rect id="_x0000_s1039" style="position:absolute;left:0;text-align:left;margin-left:464.5pt;margin-top:8.05pt;width:75.05pt;height:20pt;z-index:251661824"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ה</w:t>
                  </w:r>
                  <w:r>
                    <w:rPr>
                      <w:rFonts w:cs="Miriam" w:hint="cs"/>
                      <w:szCs w:val="18"/>
                      <w:rtl/>
                    </w:rPr>
                    <w:t>מצאת מסמכים וידיעות נוספות</w:t>
                  </w:r>
                </w:p>
              </w:txbxContent>
            </v:textbox>
            <w10:anchorlock/>
          </v:rect>
        </w:pict>
      </w:r>
      <w:r>
        <w:rPr>
          <w:rStyle w:val="big-number"/>
          <w:rFonts w:cs="Miriam"/>
          <w:rtl/>
        </w:rPr>
        <w:t>14.</w:t>
      </w:r>
      <w:r>
        <w:rPr>
          <w:rStyle w:val="big-number"/>
          <w:rFonts w:cs="Miriam"/>
          <w:rtl/>
        </w:rPr>
        <w:tab/>
      </w:r>
      <w:r>
        <w:rPr>
          <w:rStyle w:val="default"/>
          <w:rFonts w:cs="FrankRuehl"/>
          <w:rtl/>
        </w:rPr>
        <w:t>ו</w:t>
      </w:r>
      <w:r>
        <w:rPr>
          <w:rStyle w:val="default"/>
          <w:rFonts w:cs="FrankRuehl" w:hint="cs"/>
          <w:rtl/>
        </w:rPr>
        <w:t>עדת הערר רשאית לדרוש מעורר או משיב להמציא לה, תוך מועד שתקבע, מסמכים או ידיעות הדרושים, לדעתה, לבירור הערר, ולקבל חוות דעת מומחה, ככל שתראה לנכון; ידיעות כאמו</w:t>
      </w:r>
      <w:r>
        <w:rPr>
          <w:rStyle w:val="default"/>
          <w:rFonts w:cs="FrankRuehl"/>
          <w:rtl/>
        </w:rPr>
        <w:t>ר</w:t>
      </w:r>
      <w:r>
        <w:rPr>
          <w:rStyle w:val="default"/>
          <w:rFonts w:cs="FrankRuehl" w:hint="cs"/>
          <w:rtl/>
        </w:rPr>
        <w:t xml:space="preserve"> יוגשו לה בתצהיר.</w:t>
      </w:r>
    </w:p>
    <w:p w:rsidR="00F9072C" w:rsidRDefault="00F9072C">
      <w:pPr>
        <w:pStyle w:val="P00"/>
        <w:spacing w:before="72"/>
        <w:ind w:left="0" w:right="1134"/>
        <w:rPr>
          <w:rStyle w:val="default"/>
          <w:rFonts w:cs="FrankRuehl"/>
          <w:rtl/>
        </w:rPr>
      </w:pPr>
      <w:bookmarkStart w:id="14" w:name="Seif15"/>
      <w:bookmarkEnd w:id="14"/>
      <w:r>
        <w:rPr>
          <w:lang w:val="he-IL"/>
        </w:rPr>
        <w:pict>
          <v:rect id="_x0000_s1040" style="position:absolute;left:0;text-align:left;margin-left:464.5pt;margin-top:8.05pt;width:75.05pt;height:20pt;z-index:251662848"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ס</w:t>
                  </w:r>
                  <w:r>
                    <w:rPr>
                      <w:rFonts w:cs="Miriam" w:hint="cs"/>
                      <w:szCs w:val="18"/>
                      <w:rtl/>
                    </w:rPr>
                    <w:t>מכות יושב ראש ועדת הערר</w:t>
                  </w:r>
                </w:p>
              </w:txbxContent>
            </v:textbox>
            <w10:anchorlock/>
          </v:rect>
        </w:pict>
      </w:r>
      <w:r>
        <w:rPr>
          <w:rStyle w:val="big-number"/>
          <w:rFonts w:cs="Miriam"/>
          <w:rtl/>
        </w:rPr>
        <w:t>15.</w:t>
      </w:r>
      <w:r>
        <w:rPr>
          <w:rStyle w:val="big-number"/>
          <w:rFonts w:cs="Miriam"/>
          <w:rtl/>
        </w:rPr>
        <w:tab/>
      </w:r>
      <w:r>
        <w:rPr>
          <w:rStyle w:val="default"/>
          <w:rFonts w:cs="FrankRuehl"/>
          <w:rtl/>
        </w:rPr>
        <w:t>כ</w:t>
      </w:r>
      <w:r>
        <w:rPr>
          <w:rStyle w:val="default"/>
          <w:rFonts w:cs="FrankRuehl" w:hint="cs"/>
          <w:rtl/>
        </w:rPr>
        <w:t>ל ענין הנוגע לסדרי הדין בערר שלגביו לא נקבעה הוראה מפורשת בחוק או בתקנות אלה, רשאי יושב ועדת הערר לתת הוראות לגביו.</w:t>
      </w:r>
    </w:p>
    <w:p w:rsidR="00F9072C" w:rsidRDefault="00F9072C">
      <w:pPr>
        <w:pStyle w:val="P00"/>
        <w:spacing w:before="72"/>
        <w:ind w:left="0" w:right="1134"/>
        <w:rPr>
          <w:rStyle w:val="default"/>
          <w:rFonts w:cs="FrankRuehl"/>
          <w:rtl/>
        </w:rPr>
      </w:pPr>
      <w:bookmarkStart w:id="15" w:name="Seif16"/>
      <w:bookmarkEnd w:id="15"/>
      <w:r>
        <w:rPr>
          <w:lang w:val="he-IL"/>
        </w:rPr>
        <w:pict>
          <v:rect id="_x0000_s1041" style="position:absolute;left:0;text-align:left;margin-left:464.5pt;margin-top:8.05pt;width:75.05pt;height:10pt;z-index:251663872"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פ</w:t>
                  </w:r>
                  <w:r>
                    <w:rPr>
                      <w:rFonts w:cs="Miriam" w:hint="cs"/>
                      <w:szCs w:val="18"/>
                      <w:rtl/>
                    </w:rPr>
                    <w:t>רוטוקול</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יושב ראש ועדת הערר או מי שהוא מינה לכך ינהל פרוטוקול של הדיון בועדה;</w:t>
      </w:r>
      <w:r>
        <w:rPr>
          <w:rStyle w:val="default"/>
          <w:rFonts w:cs="FrankRuehl"/>
          <w:rtl/>
        </w:rPr>
        <w:t xml:space="preserve"> </w:t>
      </w:r>
      <w:r>
        <w:rPr>
          <w:rStyle w:val="default"/>
          <w:rFonts w:cs="FrankRuehl" w:hint="cs"/>
          <w:rtl/>
        </w:rPr>
        <w:t>הפרוטוקול ייחתם בידי היושב ראש ובידי מזכיר הועדה או עובד אחר שקבע היושב הראש.</w:t>
      </w:r>
    </w:p>
    <w:p w:rsidR="00F9072C" w:rsidRDefault="00F907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לפרוטוקול יצורפו כתב הערר, תשובות המשיבים והחלטות הועדה, ויהוו חלק ממנו.</w:t>
      </w:r>
    </w:p>
    <w:p w:rsidR="00F9072C" w:rsidRDefault="00F9072C">
      <w:pPr>
        <w:pStyle w:val="P00"/>
        <w:spacing w:before="72"/>
        <w:ind w:left="0" w:right="1134"/>
        <w:rPr>
          <w:rStyle w:val="default"/>
          <w:rFonts w:cs="FrankRuehl"/>
          <w:rtl/>
        </w:rPr>
      </w:pPr>
      <w:bookmarkStart w:id="16" w:name="Seif17"/>
      <w:bookmarkEnd w:id="16"/>
      <w:r>
        <w:rPr>
          <w:lang w:val="he-IL"/>
        </w:rPr>
        <w:pict>
          <v:rect id="_x0000_s1042" style="position:absolute;left:0;text-align:left;margin-left:464.5pt;margin-top:8.05pt;width:75.05pt;height:10pt;z-index:251664896"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מ</w:t>
                  </w:r>
                  <w:r>
                    <w:rPr>
                      <w:rFonts w:cs="Miriam" w:hint="cs"/>
                      <w:szCs w:val="18"/>
                      <w:rtl/>
                    </w:rPr>
                    <w:t>ועד מתן החלטה</w:t>
                  </w:r>
                </w:p>
              </w:txbxContent>
            </v:textbox>
            <w10:anchorlock/>
          </v:rect>
        </w:pict>
      </w:r>
      <w:r>
        <w:rPr>
          <w:rStyle w:val="big-number"/>
          <w:rFonts w:cs="Miriam"/>
          <w:rtl/>
        </w:rPr>
        <w:t>17.</w:t>
      </w:r>
      <w:r>
        <w:rPr>
          <w:rStyle w:val="big-number"/>
          <w:rFonts w:cs="Miriam"/>
          <w:rtl/>
        </w:rPr>
        <w:tab/>
      </w:r>
      <w:r>
        <w:rPr>
          <w:rStyle w:val="default"/>
          <w:rFonts w:cs="FrankRuehl"/>
          <w:rtl/>
        </w:rPr>
        <w:t>ה</w:t>
      </w:r>
      <w:r>
        <w:rPr>
          <w:rStyle w:val="default"/>
          <w:rFonts w:cs="FrankRuehl" w:hint="cs"/>
          <w:rtl/>
        </w:rPr>
        <w:t>חלטה בערר שמועד נתינתה לא נקבע בחוק, תינתן תוך ששים ימים מיום קבלת תשובת המש</w:t>
      </w:r>
      <w:r>
        <w:rPr>
          <w:rStyle w:val="default"/>
          <w:rFonts w:cs="FrankRuehl"/>
          <w:rtl/>
        </w:rPr>
        <w:t>י</w:t>
      </w:r>
      <w:r>
        <w:rPr>
          <w:rStyle w:val="default"/>
          <w:rFonts w:cs="FrankRuehl" w:hint="cs"/>
          <w:rtl/>
        </w:rPr>
        <w:t>בה או מהיום האחרון לפי תקנה 6 להגשת התשובה, לפי המוקדם.</w:t>
      </w:r>
    </w:p>
    <w:p w:rsidR="00F9072C" w:rsidRDefault="00F9072C">
      <w:pPr>
        <w:pStyle w:val="P00"/>
        <w:spacing w:before="72"/>
        <w:ind w:left="0" w:right="1134"/>
        <w:rPr>
          <w:rStyle w:val="default"/>
          <w:rFonts w:cs="FrankRuehl"/>
          <w:rtl/>
        </w:rPr>
      </w:pPr>
      <w:bookmarkStart w:id="17" w:name="Seif18"/>
      <w:bookmarkEnd w:id="17"/>
      <w:r>
        <w:rPr>
          <w:lang w:val="he-IL"/>
        </w:rPr>
        <w:pict>
          <v:rect id="_x0000_s1043" style="position:absolute;left:0;text-align:left;margin-left:464.5pt;margin-top:8.05pt;width:75.05pt;height:10pt;z-index:251665920" o:allowincell="f" filled="f" stroked="f" strokecolor="lime" strokeweight=".25pt">
            <v:textbox inset="0,0,0,0">
              <w:txbxContent>
                <w:p w:rsidR="00F9072C" w:rsidRDefault="00F9072C">
                  <w:pPr>
                    <w:spacing w:line="160" w:lineRule="exact"/>
                    <w:jc w:val="left"/>
                    <w:rPr>
                      <w:rFonts w:cs="Miriam"/>
                      <w:noProof/>
                      <w:szCs w:val="18"/>
                      <w:rtl/>
                    </w:rPr>
                  </w:pPr>
                  <w:r>
                    <w:rPr>
                      <w:rFonts w:cs="Miriam"/>
                      <w:szCs w:val="18"/>
                      <w:rtl/>
                    </w:rPr>
                    <w:t>ה</w:t>
                  </w:r>
                  <w:r>
                    <w:rPr>
                      <w:rFonts w:cs="Miriam" w:hint="cs"/>
                      <w:szCs w:val="18"/>
                      <w:rtl/>
                    </w:rPr>
                    <w:t>חלטה</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החלטת ועדת הערר תיערך בכתב ותיחתם בידי יושב ראש הועדה ובידי מזכיר הועדה או עובד אחר שקבע היושב ראש.</w:t>
      </w:r>
    </w:p>
    <w:p w:rsidR="00F9072C" w:rsidRDefault="00F9072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העתק של ההחלטה יישלח בידי ועדת הערר, תוך שבעה ימים מיום קבלתה, לעורר ולמשיבים</w:t>
      </w:r>
      <w:r>
        <w:rPr>
          <w:rStyle w:val="default"/>
          <w:rFonts w:cs="FrankRuehl"/>
          <w:rtl/>
        </w:rPr>
        <w:t xml:space="preserve"> </w:t>
      </w:r>
      <w:r>
        <w:rPr>
          <w:rStyle w:val="default"/>
          <w:rFonts w:cs="FrankRuehl" w:hint="cs"/>
          <w:rtl/>
        </w:rPr>
        <w:t>בדואר רשום, ולחברי הועדה יכול שתישלח בדואר רגיל.</w:t>
      </w:r>
    </w:p>
    <w:p w:rsidR="00F9072C" w:rsidRDefault="00F9072C">
      <w:pPr>
        <w:pStyle w:val="P00"/>
        <w:spacing w:before="72"/>
        <w:ind w:left="0" w:right="1134"/>
        <w:rPr>
          <w:rStyle w:val="default"/>
          <w:rFonts w:cs="FrankRuehl" w:hint="cs"/>
          <w:rtl/>
        </w:rPr>
      </w:pPr>
      <w:bookmarkStart w:id="18" w:name="Seif19"/>
      <w:bookmarkEnd w:id="18"/>
      <w:r>
        <w:rPr>
          <w:rFonts w:cs="Miriam"/>
          <w:szCs w:val="32"/>
          <w:rtl/>
          <w:lang w:val="he-IL"/>
        </w:rPr>
        <w:pict>
          <v:shapetype id="_x0000_t202" coordsize="21600,21600" o:spt="202" path="m,l,21600r21600,l21600,xe">
            <v:stroke joinstyle="miter"/>
            <v:path gradientshapeok="t" o:connecttype="rect"/>
          </v:shapetype>
          <v:shape id="_x0000_s1044" type="#_x0000_t202" style="position:absolute;left:0;text-align:left;margin-left:470.25pt;margin-top:1.75pt;width:1in;height:33.6pt;z-index:251666944" filled="f" stroked="f">
            <v:textbox inset="1mm,,1mm">
              <w:txbxContent>
                <w:p w:rsidR="00F9072C" w:rsidRDefault="00F9072C">
                  <w:pPr>
                    <w:spacing w:line="160" w:lineRule="exact"/>
                    <w:jc w:val="left"/>
                    <w:rPr>
                      <w:rFonts w:cs="Miriam" w:hint="cs"/>
                      <w:szCs w:val="18"/>
                      <w:rtl/>
                    </w:rPr>
                  </w:pPr>
                  <w:r>
                    <w:rPr>
                      <w:rFonts w:cs="Miriam" w:hint="cs"/>
                      <w:szCs w:val="18"/>
                      <w:rtl/>
                    </w:rPr>
                    <w:t>איסור פעולות עד מתן החלטה בערר</w:t>
                  </w:r>
                </w:p>
                <w:p w:rsidR="00F9072C" w:rsidRDefault="00F9072C">
                  <w:pPr>
                    <w:spacing w:line="160" w:lineRule="exact"/>
                    <w:jc w:val="left"/>
                    <w:rPr>
                      <w:rFonts w:cs="Miriam" w:hint="cs"/>
                      <w:szCs w:val="18"/>
                      <w:rtl/>
                    </w:rPr>
                  </w:pPr>
                  <w:r>
                    <w:rPr>
                      <w:rFonts w:cs="Miriam" w:hint="cs"/>
                      <w:szCs w:val="18"/>
                      <w:rtl/>
                    </w:rPr>
                    <w:t>תק' תשס"ג-2003</w:t>
                  </w:r>
                </w:p>
              </w:txbxContent>
            </v:textbox>
          </v:shape>
        </w:pict>
      </w:r>
      <w:r>
        <w:rPr>
          <w:rStyle w:val="default"/>
          <w:rFonts w:cs="Miriam" w:hint="cs"/>
          <w:sz w:val="32"/>
          <w:szCs w:val="32"/>
          <w:rtl/>
        </w:rPr>
        <w:t>19</w:t>
      </w:r>
      <w:r>
        <w:rPr>
          <w:rStyle w:val="default"/>
          <w:rFonts w:cs="FrankRuehl" w:hint="cs"/>
          <w:rtl/>
        </w:rPr>
        <w:t>.</w:t>
      </w:r>
      <w:r>
        <w:rPr>
          <w:rStyle w:val="default"/>
          <w:rFonts w:cs="FrankRuehl" w:hint="cs"/>
          <w:rtl/>
        </w:rPr>
        <w:tab/>
        <w:t xml:space="preserve">ועדה מקומית לא תפרסם הודעה בדבר אישור תכנית, ולא תיתן היתר בהתאם לתשריט חלוקה שאישרה, לפני תום המועד להגשת ערר לועדת הערר על אישורה של התכנית או אישורו של התשריט, ואם הוגש ערר </w:t>
      </w:r>
      <w:r>
        <w:rPr>
          <w:rStyle w:val="default"/>
          <w:rFonts w:cs="FrankRuehl"/>
          <w:rtl/>
        </w:rPr>
        <w:t>–</w:t>
      </w:r>
      <w:r>
        <w:rPr>
          <w:rStyle w:val="default"/>
          <w:rFonts w:cs="FrankRuehl" w:hint="cs"/>
          <w:rtl/>
        </w:rPr>
        <w:t xml:space="preserve"> לפני מתן החלטת ועדת הערר.</w:t>
      </w:r>
    </w:p>
    <w:p w:rsidR="00F9072C" w:rsidRDefault="00F9072C">
      <w:pPr>
        <w:pStyle w:val="P00"/>
        <w:spacing w:before="0"/>
        <w:ind w:left="0" w:right="1134"/>
        <w:rPr>
          <w:rFonts w:hint="cs"/>
          <w:b/>
          <w:bCs/>
          <w:vanish/>
          <w:szCs w:val="20"/>
          <w:shd w:val="clear" w:color="auto" w:fill="FFFF99"/>
          <w:rtl/>
        </w:rPr>
      </w:pPr>
      <w:bookmarkStart w:id="19" w:name="Rov20"/>
      <w:r>
        <w:rPr>
          <w:rFonts w:hint="cs"/>
          <w:vanish/>
          <w:color w:val="FF0000"/>
          <w:szCs w:val="20"/>
          <w:shd w:val="clear" w:color="auto" w:fill="FFFF99"/>
          <w:rtl/>
        </w:rPr>
        <w:t>מיום 24.10.2003</w:t>
      </w:r>
    </w:p>
    <w:p w:rsidR="00F9072C" w:rsidRDefault="00F9072C">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תשס"ג-2003</w:t>
      </w:r>
    </w:p>
    <w:p w:rsidR="00F9072C" w:rsidRDefault="00F9072C">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תשס"ג מס' 6267</w:t>
        </w:r>
      </w:hyperlink>
      <w:r>
        <w:rPr>
          <w:rFonts w:hint="cs"/>
          <w:vanish/>
          <w:szCs w:val="20"/>
          <w:shd w:val="clear" w:color="auto" w:fill="FFFF99"/>
          <w:rtl/>
        </w:rPr>
        <w:t xml:space="preserve"> מיום 24.9.2003 עמ' 1153</w:t>
      </w:r>
    </w:p>
    <w:p w:rsidR="00F9072C" w:rsidRDefault="00F9072C">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תקנה 19</w:t>
      </w:r>
      <w:bookmarkEnd w:id="19"/>
    </w:p>
    <w:p w:rsidR="00F9072C" w:rsidRDefault="00F9072C">
      <w:pPr>
        <w:pStyle w:val="P00"/>
        <w:spacing w:before="72"/>
        <w:ind w:left="0" w:right="1134"/>
        <w:rPr>
          <w:rStyle w:val="default"/>
          <w:rFonts w:cs="FrankRuehl" w:hint="cs"/>
          <w:rtl/>
        </w:rPr>
      </w:pPr>
    </w:p>
    <w:p w:rsidR="00B708AD" w:rsidRDefault="00B708AD">
      <w:pPr>
        <w:pStyle w:val="P00"/>
        <w:spacing w:before="72"/>
        <w:ind w:left="0" w:right="1134"/>
        <w:rPr>
          <w:rStyle w:val="default"/>
          <w:rFonts w:cs="FrankRuehl" w:hint="cs"/>
          <w:rtl/>
        </w:rPr>
      </w:pPr>
    </w:p>
    <w:p w:rsidR="00F9072C" w:rsidRDefault="00F9072C" w:rsidP="00B708AD">
      <w:pPr>
        <w:pStyle w:val="sig-0"/>
        <w:tabs>
          <w:tab w:val="clear" w:pos="4820"/>
          <w:tab w:val="center" w:pos="5670"/>
        </w:tabs>
        <w:spacing w:before="72"/>
        <w:ind w:left="0" w:right="1134"/>
        <w:rPr>
          <w:rtl/>
        </w:rPr>
      </w:pPr>
      <w:r>
        <w:rPr>
          <w:rtl/>
        </w:rPr>
        <w:t>ה</w:t>
      </w:r>
      <w:r>
        <w:rPr>
          <w:rFonts w:hint="cs"/>
          <w:rtl/>
        </w:rPr>
        <w:t>' בטבת תשנ"ו (28 בדצמבר 1995)</w:t>
      </w:r>
      <w:r>
        <w:rPr>
          <w:rtl/>
        </w:rPr>
        <w:tab/>
      </w:r>
      <w:r>
        <w:rPr>
          <w:rFonts w:hint="cs"/>
          <w:rtl/>
        </w:rPr>
        <w:t>דוד ליבאי</w:t>
      </w:r>
    </w:p>
    <w:p w:rsidR="00F9072C" w:rsidRDefault="00F9072C" w:rsidP="00B708AD">
      <w:pPr>
        <w:pStyle w:val="sig-1"/>
        <w:widowControl/>
        <w:tabs>
          <w:tab w:val="clear" w:pos="851"/>
          <w:tab w:val="clear" w:pos="2835"/>
          <w:tab w:val="clear" w:pos="4820"/>
          <w:tab w:val="center" w:pos="5670"/>
        </w:tabs>
        <w:ind w:left="0" w:right="1134"/>
        <w:rPr>
          <w:rtl/>
        </w:rPr>
      </w:pPr>
      <w:r>
        <w:rPr>
          <w:rtl/>
        </w:rPr>
        <w:tab/>
      </w:r>
      <w:r>
        <w:rPr>
          <w:rFonts w:hint="cs"/>
          <w:rtl/>
        </w:rPr>
        <w:t>שר המשפטים</w:t>
      </w:r>
    </w:p>
    <w:p w:rsidR="00F9072C" w:rsidRDefault="00F9072C">
      <w:pPr>
        <w:pStyle w:val="sig-1"/>
        <w:widowControl/>
        <w:ind w:left="0" w:right="1134"/>
        <w:rPr>
          <w:rtl/>
        </w:rPr>
      </w:pPr>
    </w:p>
    <w:p w:rsidR="00F9072C" w:rsidRDefault="00F9072C" w:rsidP="00B708AD">
      <w:pPr>
        <w:pStyle w:val="sig-1"/>
        <w:widowControl/>
        <w:tabs>
          <w:tab w:val="clear" w:pos="851"/>
          <w:tab w:val="clear" w:pos="2835"/>
          <w:tab w:val="clear" w:pos="4820"/>
          <w:tab w:val="left" w:pos="2268"/>
        </w:tabs>
        <w:spacing w:before="72"/>
        <w:ind w:left="0" w:right="1134"/>
        <w:rPr>
          <w:rStyle w:val="default"/>
          <w:rFonts w:cs="FrankRuehl"/>
          <w:rtl/>
        </w:rPr>
      </w:pPr>
      <w:r>
        <w:rPr>
          <w:rtl/>
        </w:rPr>
        <w:tab/>
      </w:r>
      <w:r>
        <w:rPr>
          <w:rStyle w:val="default"/>
          <w:rFonts w:cs="FrankRuehl"/>
          <w:rtl/>
        </w:rPr>
        <w:t>א</w:t>
      </w:r>
      <w:r>
        <w:rPr>
          <w:rStyle w:val="default"/>
          <w:rFonts w:cs="FrankRuehl" w:hint="cs"/>
          <w:rtl/>
        </w:rPr>
        <w:t>ני מסכים.</w:t>
      </w:r>
    </w:p>
    <w:p w:rsidR="00F9072C" w:rsidRDefault="00F9072C" w:rsidP="00B708AD">
      <w:pPr>
        <w:pStyle w:val="sig-1"/>
        <w:widowControl/>
        <w:tabs>
          <w:tab w:val="clear" w:pos="851"/>
          <w:tab w:val="clear" w:pos="2835"/>
          <w:tab w:val="clear" w:pos="4820"/>
          <w:tab w:val="center" w:pos="3969"/>
        </w:tabs>
        <w:spacing w:before="72"/>
        <w:ind w:left="0" w:right="1134"/>
        <w:rPr>
          <w:sz w:val="26"/>
          <w:szCs w:val="26"/>
          <w:rtl/>
        </w:rPr>
      </w:pPr>
      <w:r>
        <w:rPr>
          <w:sz w:val="26"/>
          <w:szCs w:val="26"/>
          <w:rtl/>
        </w:rPr>
        <w:tab/>
      </w:r>
      <w:r>
        <w:rPr>
          <w:sz w:val="26"/>
          <w:szCs w:val="26"/>
          <w:rtl/>
        </w:rPr>
        <w:t> </w:t>
      </w:r>
      <w:r>
        <w:rPr>
          <w:sz w:val="26"/>
          <w:szCs w:val="26"/>
          <w:rtl/>
        </w:rPr>
        <w:t>ח</w:t>
      </w:r>
      <w:r>
        <w:rPr>
          <w:rFonts w:hint="cs"/>
          <w:sz w:val="26"/>
          <w:szCs w:val="26"/>
          <w:rtl/>
        </w:rPr>
        <w:t>יים רמון</w:t>
      </w:r>
    </w:p>
    <w:p w:rsidR="00F9072C" w:rsidRDefault="00F9072C" w:rsidP="00B708AD">
      <w:pPr>
        <w:pStyle w:val="sig-1"/>
        <w:widowControl/>
        <w:tabs>
          <w:tab w:val="clear" w:pos="851"/>
          <w:tab w:val="clear" w:pos="2835"/>
          <w:tab w:val="clear" w:pos="4820"/>
          <w:tab w:val="center" w:pos="3969"/>
        </w:tabs>
        <w:ind w:left="0" w:right="1134"/>
        <w:rPr>
          <w:rFonts w:hint="cs"/>
          <w:rtl/>
        </w:rPr>
      </w:pPr>
      <w:r>
        <w:rPr>
          <w:rtl/>
        </w:rPr>
        <w:tab/>
      </w:r>
      <w:r>
        <w:rPr>
          <w:rtl/>
        </w:rPr>
        <w:t> </w:t>
      </w:r>
      <w:r>
        <w:rPr>
          <w:rtl/>
        </w:rPr>
        <w:t>ש</w:t>
      </w:r>
      <w:r>
        <w:rPr>
          <w:rFonts w:hint="cs"/>
          <w:rtl/>
        </w:rPr>
        <w:t>ר הפנים</w:t>
      </w:r>
    </w:p>
    <w:p w:rsidR="00F9072C" w:rsidRDefault="00F9072C">
      <w:pPr>
        <w:pStyle w:val="P00"/>
        <w:spacing w:before="72"/>
        <w:ind w:left="0" w:right="1134"/>
        <w:rPr>
          <w:rStyle w:val="default"/>
          <w:rFonts w:cs="FrankRuehl" w:hint="cs"/>
          <w:rtl/>
        </w:rPr>
      </w:pPr>
    </w:p>
    <w:p w:rsidR="00F9072C" w:rsidRDefault="00F9072C">
      <w:pPr>
        <w:pStyle w:val="P00"/>
        <w:spacing w:before="72"/>
        <w:ind w:left="0" w:right="1134"/>
        <w:rPr>
          <w:rStyle w:val="default"/>
          <w:rFonts w:cs="FrankRuehl"/>
          <w:rtl/>
        </w:rPr>
      </w:pPr>
    </w:p>
    <w:p w:rsidR="00F9072C" w:rsidRDefault="00F9072C">
      <w:pPr>
        <w:pStyle w:val="P00"/>
        <w:spacing w:before="72"/>
        <w:ind w:left="0" w:right="1134"/>
        <w:rPr>
          <w:rStyle w:val="default"/>
          <w:rFonts w:cs="FrankRuehl"/>
          <w:rtl/>
        </w:rPr>
      </w:pPr>
      <w:bookmarkStart w:id="20" w:name="LawPartEnd"/>
    </w:p>
    <w:bookmarkEnd w:id="20"/>
    <w:p w:rsidR="00B73163" w:rsidRDefault="00B73163">
      <w:pPr>
        <w:pStyle w:val="P00"/>
        <w:spacing w:before="72"/>
        <w:ind w:left="0" w:right="1134"/>
        <w:rPr>
          <w:rStyle w:val="default"/>
          <w:rFonts w:cs="FrankRuehl"/>
          <w:rtl/>
        </w:rPr>
      </w:pPr>
    </w:p>
    <w:p w:rsidR="00B73163" w:rsidRDefault="00B73163">
      <w:pPr>
        <w:pStyle w:val="P00"/>
        <w:spacing w:before="72"/>
        <w:ind w:left="0" w:right="1134"/>
        <w:rPr>
          <w:rStyle w:val="default"/>
          <w:rFonts w:cs="FrankRuehl"/>
          <w:rtl/>
        </w:rPr>
      </w:pPr>
    </w:p>
    <w:p w:rsidR="00B73163" w:rsidRDefault="00B73163" w:rsidP="00B73163">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F9072C" w:rsidRPr="00B73163" w:rsidRDefault="00F9072C" w:rsidP="00B73163">
      <w:pPr>
        <w:pStyle w:val="P00"/>
        <w:spacing w:before="72"/>
        <w:ind w:left="0" w:right="1134"/>
        <w:jc w:val="center"/>
        <w:rPr>
          <w:rStyle w:val="default"/>
          <w:rFonts w:cs="David"/>
          <w:color w:val="0000FF"/>
          <w:szCs w:val="24"/>
          <w:u w:val="single"/>
          <w:rtl/>
        </w:rPr>
      </w:pPr>
    </w:p>
    <w:sectPr w:rsidR="00F9072C" w:rsidRPr="00B7316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0933" w:rsidRDefault="00100933">
      <w:r>
        <w:separator/>
      </w:r>
    </w:p>
  </w:endnote>
  <w:endnote w:type="continuationSeparator" w:id="0">
    <w:p w:rsidR="00100933" w:rsidRDefault="00100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072C" w:rsidRDefault="00F907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9072C" w:rsidRDefault="00F907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9072C" w:rsidRDefault="00F907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072C" w:rsidRDefault="00F907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73163">
      <w:rPr>
        <w:rFonts w:hAnsi="FrankRuehl" w:cs="FrankRuehl"/>
        <w:noProof/>
        <w:sz w:val="24"/>
        <w:szCs w:val="24"/>
        <w:rtl/>
      </w:rPr>
      <w:t>4</w:t>
    </w:r>
    <w:r>
      <w:rPr>
        <w:rFonts w:hAnsi="FrankRuehl" w:cs="FrankRuehl"/>
        <w:sz w:val="24"/>
        <w:szCs w:val="24"/>
        <w:rtl/>
      </w:rPr>
      <w:fldChar w:fldCharType="end"/>
    </w:r>
  </w:p>
  <w:p w:rsidR="00F9072C" w:rsidRDefault="00F907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9072C" w:rsidRDefault="00F907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0933" w:rsidRDefault="00100933">
      <w:pPr>
        <w:spacing w:before="60" w:line="240" w:lineRule="auto"/>
        <w:ind w:right="1134"/>
      </w:pPr>
      <w:r>
        <w:separator/>
      </w:r>
    </w:p>
  </w:footnote>
  <w:footnote w:type="continuationSeparator" w:id="0">
    <w:p w:rsidR="00100933" w:rsidRDefault="00100933">
      <w:r>
        <w:continuationSeparator/>
      </w:r>
    </w:p>
  </w:footnote>
  <w:footnote w:id="1">
    <w:p w:rsidR="00F9072C" w:rsidRDefault="00F9072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תשנ"ו מס' 5729</w:t>
        </w:r>
      </w:hyperlink>
      <w:r>
        <w:rPr>
          <w:rFonts w:hint="cs"/>
          <w:sz w:val="20"/>
          <w:rtl/>
        </w:rPr>
        <w:t xml:space="preserve"> מיום 9.1.1996 עמ' 402.</w:t>
      </w:r>
    </w:p>
    <w:p w:rsidR="00F9072C" w:rsidRDefault="00F9072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תשס"ג מס' 6</w:t>
        </w:r>
        <w:r>
          <w:rPr>
            <w:rStyle w:val="Hyperlink"/>
            <w:rFonts w:hint="cs"/>
            <w:sz w:val="20"/>
            <w:rtl/>
          </w:rPr>
          <w:t>2</w:t>
        </w:r>
        <w:r>
          <w:rPr>
            <w:rStyle w:val="Hyperlink"/>
            <w:rFonts w:hint="cs"/>
            <w:sz w:val="20"/>
            <w:rtl/>
          </w:rPr>
          <w:t>67</w:t>
        </w:r>
      </w:hyperlink>
      <w:r>
        <w:rPr>
          <w:rFonts w:hint="cs"/>
          <w:sz w:val="20"/>
          <w:rtl/>
        </w:rPr>
        <w:t xml:space="preserve"> מיום 24.9.2003 עמ' 1153 </w:t>
      </w:r>
      <w:r>
        <w:rPr>
          <w:sz w:val="20"/>
          <w:rtl/>
        </w:rPr>
        <w:t>–</w:t>
      </w:r>
      <w:r>
        <w:rPr>
          <w:rFonts w:hint="cs"/>
          <w:sz w:val="20"/>
          <w:rtl/>
        </w:rPr>
        <w:t xml:space="preserve"> תק' תשס"ג-2003; תחילתן 30 ימים מיום פרסומן והן יחולו על ערר שהוגש לאחר תחילתן.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072C" w:rsidRDefault="00F907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(סדרי הדין בועדות ערר), תשנ"ו- 1996</w:t>
    </w:r>
  </w:p>
  <w:p w:rsidR="00F9072C" w:rsidRDefault="00F907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072C" w:rsidRDefault="00F9072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072C" w:rsidRDefault="00F907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(סדרי הדין בועדות ערר), תשנ"ו-1996</w:t>
    </w:r>
  </w:p>
  <w:p w:rsidR="00F9072C" w:rsidRDefault="00F907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072C" w:rsidRDefault="00F9072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0D5A"/>
    <w:rsid w:val="00100933"/>
    <w:rsid w:val="00770D5A"/>
    <w:rsid w:val="008B05B0"/>
    <w:rsid w:val="00B708AD"/>
    <w:rsid w:val="00B73163"/>
    <w:rsid w:val="00F907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F79E488F-80DC-4559-BD87-D794476A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Body Text"/>
    <w:basedOn w:val="a"/>
    <w:rPr>
      <w:rFonts w:cs="Miriam"/>
      <w:sz w:val="18"/>
      <w:szCs w:val="18"/>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267.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267.pdf" TargetMode="External"/><Relationship Id="rId1" Type="http://schemas.openxmlformats.org/officeDocument/2006/relationships/hyperlink" Target="http://www.nevo.co.il/Law_word/law06/TAK-57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פרק 44</vt:lpstr>
    </vt:vector>
  </TitlesOfParts>
  <Company/>
  <LinksUpToDate>false</LinksUpToDate>
  <CharactersWithSpaces>7635</CharactersWithSpaces>
  <SharedDoc>false</SharedDoc>
  <HLinks>
    <vt:vector size="138" baseType="variant">
      <vt:variant>
        <vt:i4>393283</vt:i4>
      </vt:variant>
      <vt:variant>
        <vt:i4>117</vt:i4>
      </vt:variant>
      <vt:variant>
        <vt:i4>0</vt:i4>
      </vt:variant>
      <vt:variant>
        <vt:i4>5</vt:i4>
      </vt:variant>
      <vt:variant>
        <vt:lpwstr>http://www.nevo.co.il/advertisements/nevo-100.doc</vt:lpwstr>
      </vt:variant>
      <vt:variant>
        <vt:lpwstr/>
      </vt:variant>
      <vt:variant>
        <vt:i4>7929869</vt:i4>
      </vt:variant>
      <vt:variant>
        <vt:i4>114</vt:i4>
      </vt:variant>
      <vt:variant>
        <vt:i4>0</vt:i4>
      </vt:variant>
      <vt:variant>
        <vt:i4>5</vt:i4>
      </vt:variant>
      <vt:variant>
        <vt:lpwstr>http://www.nevo.co.il/Law_word/law06/TAK-6267.pdf</vt:lpwstr>
      </vt:variant>
      <vt:variant>
        <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7929869</vt:i4>
      </vt:variant>
      <vt:variant>
        <vt:i4>3</vt:i4>
      </vt:variant>
      <vt:variant>
        <vt:i4>0</vt:i4>
      </vt:variant>
      <vt:variant>
        <vt:i4>5</vt:i4>
      </vt:variant>
      <vt:variant>
        <vt:lpwstr>http://www.nevo.co.il/Law_word/law06/TAK-6267.pdf</vt:lpwstr>
      </vt:variant>
      <vt:variant>
        <vt:lpwstr/>
      </vt:variant>
      <vt:variant>
        <vt:i4>8257542</vt:i4>
      </vt:variant>
      <vt:variant>
        <vt:i4>0</vt:i4>
      </vt:variant>
      <vt:variant>
        <vt:i4>0</vt:i4>
      </vt:variant>
      <vt:variant>
        <vt:i4>5</vt:i4>
      </vt:variant>
      <vt:variant>
        <vt:lpwstr>http://www.nevo.co.il/Law_word/law06/TAK-5729.pdf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0044</vt:lpwstr>
  </property>
  <property fmtid="{D5CDD505-2E9C-101B-9397-08002B2CF9AE}" pid="3" name="CHNAME">
    <vt:lpwstr>בנין ערים — תכנון ובניה</vt:lpwstr>
  </property>
  <property fmtid="{D5CDD505-2E9C-101B-9397-08002B2CF9AE}" pid="4" name="LAWNAME">
    <vt:lpwstr>תקנות התכנון והבניה (סדרי הדין בועדות ערר), תשנ"ו-1996</vt:lpwstr>
  </property>
  <property fmtid="{D5CDD505-2E9C-101B-9397-08002B2CF9AE}" pid="5" name="LAWNUMBER">
    <vt:lpwstr>0139</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תכנון ובניה</vt:lpwstr>
  </property>
  <property fmtid="{D5CDD505-2E9C-101B-9397-08002B2CF9AE}" pid="9" name="NOSE31">
    <vt:lpwstr>ערעור וערר</vt:lpwstr>
  </property>
  <property fmtid="{D5CDD505-2E9C-101B-9397-08002B2CF9AE}" pid="10" name="NOSE41">
    <vt:lpwstr>סדרי דין</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