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5445" w14:textId="77777777" w:rsidR="00BC54D9" w:rsidRDefault="00BC54D9">
      <w:pPr>
        <w:pStyle w:val="big-header"/>
        <w:ind w:left="0" w:right="1134"/>
        <w:rPr>
          <w:rFonts w:hint="cs"/>
          <w:rtl/>
        </w:rPr>
      </w:pPr>
      <w:r>
        <w:rPr>
          <w:rtl/>
        </w:rPr>
        <w:t>תקנות התכנון והבניה (סדרי נוהל בהתנגדויות לתכנית, סמכויות חוקר וסדרי עבודתו), תשמ"ט</w:t>
      </w:r>
      <w:r>
        <w:rPr>
          <w:rFonts w:hint="cs"/>
          <w:rtl/>
        </w:rPr>
        <w:t>-</w:t>
      </w:r>
      <w:r>
        <w:rPr>
          <w:rtl/>
        </w:rPr>
        <w:t>1989</w:t>
      </w:r>
    </w:p>
    <w:p w14:paraId="3DBFB176" w14:textId="77777777" w:rsidR="00F715F2" w:rsidRDefault="00F715F2" w:rsidP="00F715F2">
      <w:pPr>
        <w:spacing w:line="320" w:lineRule="auto"/>
        <w:jc w:val="left"/>
        <w:rPr>
          <w:rFonts w:hint="cs"/>
          <w:rtl/>
        </w:rPr>
      </w:pPr>
    </w:p>
    <w:p w14:paraId="7E07BFE6" w14:textId="77777777" w:rsidR="00134F1D" w:rsidRDefault="00134F1D" w:rsidP="00F715F2">
      <w:pPr>
        <w:spacing w:line="320" w:lineRule="auto"/>
        <w:jc w:val="left"/>
        <w:rPr>
          <w:rFonts w:hint="cs"/>
          <w:rtl/>
        </w:rPr>
      </w:pPr>
    </w:p>
    <w:p w14:paraId="0A59D810" w14:textId="77777777" w:rsidR="00F715F2" w:rsidRPr="00F715F2" w:rsidRDefault="00F715F2" w:rsidP="00F715F2">
      <w:pPr>
        <w:spacing w:line="320" w:lineRule="auto"/>
        <w:jc w:val="left"/>
        <w:rPr>
          <w:rFonts w:cs="Miriam"/>
          <w:szCs w:val="22"/>
          <w:rtl/>
        </w:rPr>
      </w:pPr>
      <w:r w:rsidRPr="00F715F2">
        <w:rPr>
          <w:rFonts w:cs="Miriam"/>
          <w:szCs w:val="22"/>
          <w:rtl/>
        </w:rPr>
        <w:t>רשויות ומשפט מנהלי</w:t>
      </w:r>
      <w:r w:rsidRPr="00F715F2">
        <w:rPr>
          <w:rFonts w:cs="FrankRuehl"/>
          <w:szCs w:val="26"/>
          <w:rtl/>
        </w:rPr>
        <w:t xml:space="preserve"> – תכנון ובניה – התנגדויות</w:t>
      </w:r>
    </w:p>
    <w:p w14:paraId="33C29AE1" w14:textId="77777777" w:rsidR="00BC54D9" w:rsidRDefault="00BC54D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4CA8" w:rsidRPr="002B4CA8" w14:paraId="689C4289" w14:textId="77777777" w:rsidTr="002B4CA8">
        <w:tblPrEx>
          <w:tblCellMar>
            <w:top w:w="0" w:type="dxa"/>
            <w:bottom w:w="0" w:type="dxa"/>
          </w:tblCellMar>
        </w:tblPrEx>
        <w:tc>
          <w:tcPr>
            <w:tcW w:w="1247" w:type="dxa"/>
          </w:tcPr>
          <w:p w14:paraId="4BBC8500" w14:textId="77777777" w:rsidR="002B4CA8" w:rsidRPr="002B4CA8" w:rsidRDefault="002B4CA8" w:rsidP="002B4CA8">
            <w:pPr>
              <w:spacing w:line="240" w:lineRule="auto"/>
              <w:jc w:val="left"/>
              <w:rPr>
                <w:rFonts w:cs="Frankruhel"/>
                <w:sz w:val="24"/>
                <w:rtl/>
              </w:rPr>
            </w:pPr>
            <w:r>
              <w:rPr>
                <w:rFonts w:cs="Times New Roman"/>
                <w:sz w:val="24"/>
                <w:rtl/>
              </w:rPr>
              <w:t xml:space="preserve">סעיף 1 </w:t>
            </w:r>
          </w:p>
        </w:tc>
        <w:tc>
          <w:tcPr>
            <w:tcW w:w="5669" w:type="dxa"/>
          </w:tcPr>
          <w:p w14:paraId="1A4733FC" w14:textId="77777777" w:rsidR="002B4CA8" w:rsidRPr="002B4CA8" w:rsidRDefault="002B4CA8" w:rsidP="002B4CA8">
            <w:pPr>
              <w:spacing w:line="240" w:lineRule="auto"/>
              <w:jc w:val="left"/>
              <w:rPr>
                <w:rFonts w:cs="Frankruhel"/>
                <w:sz w:val="24"/>
                <w:rtl/>
              </w:rPr>
            </w:pPr>
            <w:r>
              <w:rPr>
                <w:rFonts w:cs="Times New Roman"/>
                <w:sz w:val="24"/>
                <w:rtl/>
              </w:rPr>
              <w:t>הגדרות</w:t>
            </w:r>
          </w:p>
        </w:tc>
        <w:tc>
          <w:tcPr>
            <w:tcW w:w="567" w:type="dxa"/>
          </w:tcPr>
          <w:p w14:paraId="38A1FC00" w14:textId="77777777" w:rsidR="002B4CA8" w:rsidRPr="002B4CA8" w:rsidRDefault="002B4CA8" w:rsidP="002B4CA8">
            <w:pPr>
              <w:spacing w:line="240" w:lineRule="auto"/>
              <w:jc w:val="left"/>
              <w:rPr>
                <w:rStyle w:val="Hyperlink"/>
                <w:rtl/>
              </w:rPr>
            </w:pPr>
            <w:hyperlink w:anchor="Seif1" w:tooltip="הגדרות" w:history="1">
              <w:r w:rsidRPr="002B4CA8">
                <w:rPr>
                  <w:rStyle w:val="Hyperlink"/>
                </w:rPr>
                <w:t>Go</w:t>
              </w:r>
            </w:hyperlink>
          </w:p>
        </w:tc>
        <w:tc>
          <w:tcPr>
            <w:tcW w:w="850" w:type="dxa"/>
          </w:tcPr>
          <w:p w14:paraId="394D6158"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0AF6A0FA" w14:textId="77777777" w:rsidTr="002B4CA8">
        <w:tblPrEx>
          <w:tblCellMar>
            <w:top w:w="0" w:type="dxa"/>
            <w:bottom w:w="0" w:type="dxa"/>
          </w:tblCellMar>
        </w:tblPrEx>
        <w:tc>
          <w:tcPr>
            <w:tcW w:w="1247" w:type="dxa"/>
          </w:tcPr>
          <w:p w14:paraId="4DB16C3E" w14:textId="77777777" w:rsidR="002B4CA8" w:rsidRPr="002B4CA8" w:rsidRDefault="002B4CA8" w:rsidP="002B4CA8">
            <w:pPr>
              <w:spacing w:line="240" w:lineRule="auto"/>
              <w:jc w:val="left"/>
              <w:rPr>
                <w:rFonts w:cs="Frankruhel"/>
                <w:sz w:val="24"/>
                <w:rtl/>
              </w:rPr>
            </w:pPr>
            <w:r>
              <w:rPr>
                <w:rFonts w:cs="Times New Roman"/>
                <w:sz w:val="24"/>
                <w:rtl/>
              </w:rPr>
              <w:t xml:space="preserve">סעיף 2 </w:t>
            </w:r>
          </w:p>
        </w:tc>
        <w:tc>
          <w:tcPr>
            <w:tcW w:w="5669" w:type="dxa"/>
          </w:tcPr>
          <w:p w14:paraId="2A9264A3" w14:textId="77777777" w:rsidR="002B4CA8" w:rsidRPr="002B4CA8" w:rsidRDefault="002B4CA8" w:rsidP="002B4CA8">
            <w:pPr>
              <w:spacing w:line="240" w:lineRule="auto"/>
              <w:jc w:val="left"/>
              <w:rPr>
                <w:rFonts w:cs="Frankruhel"/>
                <w:sz w:val="24"/>
                <w:rtl/>
              </w:rPr>
            </w:pPr>
            <w:r>
              <w:rPr>
                <w:rFonts w:cs="Times New Roman"/>
                <w:sz w:val="24"/>
                <w:rtl/>
              </w:rPr>
              <w:t>מועד להגשת התנגדות</w:t>
            </w:r>
          </w:p>
        </w:tc>
        <w:tc>
          <w:tcPr>
            <w:tcW w:w="567" w:type="dxa"/>
          </w:tcPr>
          <w:p w14:paraId="4D2B7A16" w14:textId="77777777" w:rsidR="002B4CA8" w:rsidRPr="002B4CA8" w:rsidRDefault="002B4CA8" w:rsidP="002B4CA8">
            <w:pPr>
              <w:spacing w:line="240" w:lineRule="auto"/>
              <w:jc w:val="left"/>
              <w:rPr>
                <w:rStyle w:val="Hyperlink"/>
                <w:rtl/>
              </w:rPr>
            </w:pPr>
            <w:hyperlink w:anchor="Seif2" w:tooltip="מועד להגשת התנגדות" w:history="1">
              <w:r w:rsidRPr="002B4CA8">
                <w:rPr>
                  <w:rStyle w:val="Hyperlink"/>
                </w:rPr>
                <w:t>Go</w:t>
              </w:r>
            </w:hyperlink>
          </w:p>
        </w:tc>
        <w:tc>
          <w:tcPr>
            <w:tcW w:w="850" w:type="dxa"/>
          </w:tcPr>
          <w:p w14:paraId="17F772AA"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656C0CDA" w14:textId="77777777" w:rsidTr="002B4CA8">
        <w:tblPrEx>
          <w:tblCellMar>
            <w:top w:w="0" w:type="dxa"/>
            <w:bottom w:w="0" w:type="dxa"/>
          </w:tblCellMar>
        </w:tblPrEx>
        <w:tc>
          <w:tcPr>
            <w:tcW w:w="1247" w:type="dxa"/>
          </w:tcPr>
          <w:p w14:paraId="328A59A8" w14:textId="77777777" w:rsidR="002B4CA8" w:rsidRPr="002B4CA8" w:rsidRDefault="002B4CA8" w:rsidP="002B4CA8">
            <w:pPr>
              <w:spacing w:line="240" w:lineRule="auto"/>
              <w:jc w:val="left"/>
              <w:rPr>
                <w:rFonts w:cs="Frankruhel"/>
                <w:sz w:val="24"/>
                <w:rtl/>
              </w:rPr>
            </w:pPr>
            <w:r>
              <w:rPr>
                <w:rFonts w:cs="Times New Roman"/>
                <w:sz w:val="24"/>
                <w:rtl/>
              </w:rPr>
              <w:t xml:space="preserve">סעיף 3 </w:t>
            </w:r>
          </w:p>
        </w:tc>
        <w:tc>
          <w:tcPr>
            <w:tcW w:w="5669" w:type="dxa"/>
          </w:tcPr>
          <w:p w14:paraId="009E5CC6" w14:textId="77777777" w:rsidR="002B4CA8" w:rsidRPr="002B4CA8" w:rsidRDefault="002B4CA8" w:rsidP="002B4CA8">
            <w:pPr>
              <w:spacing w:line="240" w:lineRule="auto"/>
              <w:jc w:val="left"/>
              <w:rPr>
                <w:rFonts w:cs="Frankruhel"/>
                <w:sz w:val="24"/>
                <w:rtl/>
              </w:rPr>
            </w:pPr>
            <w:r>
              <w:rPr>
                <w:rFonts w:cs="Times New Roman"/>
                <w:sz w:val="24"/>
                <w:rtl/>
              </w:rPr>
              <w:t>פרטים נוספים בכתב ההתנגדות</w:t>
            </w:r>
          </w:p>
        </w:tc>
        <w:tc>
          <w:tcPr>
            <w:tcW w:w="567" w:type="dxa"/>
          </w:tcPr>
          <w:p w14:paraId="5659CA21" w14:textId="77777777" w:rsidR="002B4CA8" w:rsidRPr="002B4CA8" w:rsidRDefault="002B4CA8" w:rsidP="002B4CA8">
            <w:pPr>
              <w:spacing w:line="240" w:lineRule="auto"/>
              <w:jc w:val="left"/>
              <w:rPr>
                <w:rStyle w:val="Hyperlink"/>
                <w:rtl/>
              </w:rPr>
            </w:pPr>
            <w:hyperlink w:anchor="Seif3" w:tooltip="פרטים נוספים בכתב ההתנגדות" w:history="1">
              <w:r w:rsidRPr="002B4CA8">
                <w:rPr>
                  <w:rStyle w:val="Hyperlink"/>
                </w:rPr>
                <w:t>Go</w:t>
              </w:r>
            </w:hyperlink>
          </w:p>
        </w:tc>
        <w:tc>
          <w:tcPr>
            <w:tcW w:w="850" w:type="dxa"/>
          </w:tcPr>
          <w:p w14:paraId="4DAC48A7"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386CDFD2" w14:textId="77777777" w:rsidTr="002B4CA8">
        <w:tblPrEx>
          <w:tblCellMar>
            <w:top w:w="0" w:type="dxa"/>
            <w:bottom w:w="0" w:type="dxa"/>
          </w:tblCellMar>
        </w:tblPrEx>
        <w:tc>
          <w:tcPr>
            <w:tcW w:w="1247" w:type="dxa"/>
          </w:tcPr>
          <w:p w14:paraId="7D35ED65" w14:textId="77777777" w:rsidR="002B4CA8" w:rsidRPr="002B4CA8" w:rsidRDefault="002B4CA8" w:rsidP="002B4CA8">
            <w:pPr>
              <w:spacing w:line="240" w:lineRule="auto"/>
              <w:jc w:val="left"/>
              <w:rPr>
                <w:rFonts w:cs="Frankruhel"/>
                <w:sz w:val="24"/>
                <w:rtl/>
              </w:rPr>
            </w:pPr>
            <w:r>
              <w:rPr>
                <w:rFonts w:cs="Times New Roman"/>
                <w:sz w:val="24"/>
                <w:rtl/>
              </w:rPr>
              <w:t xml:space="preserve">סעיף 4 </w:t>
            </w:r>
          </w:p>
        </w:tc>
        <w:tc>
          <w:tcPr>
            <w:tcW w:w="5669" w:type="dxa"/>
          </w:tcPr>
          <w:p w14:paraId="18E1329B" w14:textId="77777777" w:rsidR="002B4CA8" w:rsidRPr="002B4CA8" w:rsidRDefault="002B4CA8" w:rsidP="002B4CA8">
            <w:pPr>
              <w:spacing w:line="240" w:lineRule="auto"/>
              <w:jc w:val="left"/>
              <w:rPr>
                <w:rFonts w:cs="Frankruhel"/>
                <w:sz w:val="24"/>
                <w:rtl/>
              </w:rPr>
            </w:pPr>
            <w:r>
              <w:rPr>
                <w:rFonts w:cs="Times New Roman"/>
                <w:sz w:val="24"/>
                <w:rtl/>
              </w:rPr>
              <w:t>העברת כתב ההתנגדות למוסד תכנון אחר</w:t>
            </w:r>
          </w:p>
        </w:tc>
        <w:tc>
          <w:tcPr>
            <w:tcW w:w="567" w:type="dxa"/>
          </w:tcPr>
          <w:p w14:paraId="125F21FA" w14:textId="77777777" w:rsidR="002B4CA8" w:rsidRPr="002B4CA8" w:rsidRDefault="002B4CA8" w:rsidP="002B4CA8">
            <w:pPr>
              <w:spacing w:line="240" w:lineRule="auto"/>
              <w:jc w:val="left"/>
              <w:rPr>
                <w:rStyle w:val="Hyperlink"/>
                <w:rtl/>
              </w:rPr>
            </w:pPr>
            <w:hyperlink w:anchor="Seif4" w:tooltip="העברת כתב ההתנגדות למוסד תכנון אחר" w:history="1">
              <w:r w:rsidRPr="002B4CA8">
                <w:rPr>
                  <w:rStyle w:val="Hyperlink"/>
                </w:rPr>
                <w:t>Go</w:t>
              </w:r>
            </w:hyperlink>
          </w:p>
        </w:tc>
        <w:tc>
          <w:tcPr>
            <w:tcW w:w="850" w:type="dxa"/>
          </w:tcPr>
          <w:p w14:paraId="66A73A1A"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29E80570" w14:textId="77777777" w:rsidTr="002B4CA8">
        <w:tblPrEx>
          <w:tblCellMar>
            <w:top w:w="0" w:type="dxa"/>
            <w:bottom w:w="0" w:type="dxa"/>
          </w:tblCellMar>
        </w:tblPrEx>
        <w:tc>
          <w:tcPr>
            <w:tcW w:w="1247" w:type="dxa"/>
          </w:tcPr>
          <w:p w14:paraId="43D3561A" w14:textId="77777777" w:rsidR="002B4CA8" w:rsidRPr="002B4CA8" w:rsidRDefault="002B4CA8" w:rsidP="002B4CA8">
            <w:pPr>
              <w:spacing w:line="240" w:lineRule="auto"/>
              <w:jc w:val="left"/>
              <w:rPr>
                <w:rFonts w:cs="Frankruhel"/>
                <w:sz w:val="24"/>
                <w:rtl/>
              </w:rPr>
            </w:pPr>
            <w:r>
              <w:rPr>
                <w:rFonts w:cs="Times New Roman"/>
                <w:sz w:val="24"/>
                <w:rtl/>
              </w:rPr>
              <w:t xml:space="preserve">סעיף 5 </w:t>
            </w:r>
          </w:p>
        </w:tc>
        <w:tc>
          <w:tcPr>
            <w:tcW w:w="5669" w:type="dxa"/>
          </w:tcPr>
          <w:p w14:paraId="1D9B02FB" w14:textId="77777777" w:rsidR="002B4CA8" w:rsidRPr="002B4CA8" w:rsidRDefault="002B4CA8" w:rsidP="002B4CA8">
            <w:pPr>
              <w:spacing w:line="240" w:lineRule="auto"/>
              <w:jc w:val="left"/>
              <w:rPr>
                <w:rFonts w:cs="Frankruhel"/>
                <w:sz w:val="24"/>
                <w:rtl/>
              </w:rPr>
            </w:pPr>
            <w:r>
              <w:rPr>
                <w:rFonts w:cs="Times New Roman"/>
                <w:sz w:val="24"/>
                <w:rtl/>
              </w:rPr>
              <w:t>חוות דעת של הועדה המקומית</w:t>
            </w:r>
          </w:p>
        </w:tc>
        <w:tc>
          <w:tcPr>
            <w:tcW w:w="567" w:type="dxa"/>
          </w:tcPr>
          <w:p w14:paraId="5ECE215C" w14:textId="77777777" w:rsidR="002B4CA8" w:rsidRPr="002B4CA8" w:rsidRDefault="002B4CA8" w:rsidP="002B4CA8">
            <w:pPr>
              <w:spacing w:line="240" w:lineRule="auto"/>
              <w:jc w:val="left"/>
              <w:rPr>
                <w:rStyle w:val="Hyperlink"/>
                <w:rtl/>
              </w:rPr>
            </w:pPr>
            <w:hyperlink w:anchor="Seif5" w:tooltip="חוות דעת של הועדה המקומית" w:history="1">
              <w:r w:rsidRPr="002B4CA8">
                <w:rPr>
                  <w:rStyle w:val="Hyperlink"/>
                </w:rPr>
                <w:t>Go</w:t>
              </w:r>
            </w:hyperlink>
          </w:p>
        </w:tc>
        <w:tc>
          <w:tcPr>
            <w:tcW w:w="850" w:type="dxa"/>
          </w:tcPr>
          <w:p w14:paraId="24E2BFE2"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732EDFF7" w14:textId="77777777" w:rsidTr="002B4CA8">
        <w:tblPrEx>
          <w:tblCellMar>
            <w:top w:w="0" w:type="dxa"/>
            <w:bottom w:w="0" w:type="dxa"/>
          </w:tblCellMar>
        </w:tblPrEx>
        <w:tc>
          <w:tcPr>
            <w:tcW w:w="1247" w:type="dxa"/>
          </w:tcPr>
          <w:p w14:paraId="45256657" w14:textId="77777777" w:rsidR="002B4CA8" w:rsidRPr="002B4CA8" w:rsidRDefault="002B4CA8" w:rsidP="002B4CA8">
            <w:pPr>
              <w:spacing w:line="240" w:lineRule="auto"/>
              <w:jc w:val="left"/>
              <w:rPr>
                <w:rFonts w:cs="Frankruhel"/>
                <w:sz w:val="24"/>
                <w:rtl/>
              </w:rPr>
            </w:pPr>
            <w:r>
              <w:rPr>
                <w:rFonts w:cs="Times New Roman"/>
                <w:sz w:val="24"/>
                <w:rtl/>
              </w:rPr>
              <w:t xml:space="preserve">סעיף 6 </w:t>
            </w:r>
          </w:p>
        </w:tc>
        <w:tc>
          <w:tcPr>
            <w:tcW w:w="5669" w:type="dxa"/>
          </w:tcPr>
          <w:p w14:paraId="46D3EA7A" w14:textId="77777777" w:rsidR="002B4CA8" w:rsidRPr="002B4CA8" w:rsidRDefault="002B4CA8" w:rsidP="002B4CA8">
            <w:pPr>
              <w:spacing w:line="240" w:lineRule="auto"/>
              <w:jc w:val="left"/>
              <w:rPr>
                <w:rFonts w:cs="Frankruhel"/>
                <w:sz w:val="24"/>
                <w:rtl/>
              </w:rPr>
            </w:pPr>
            <w:r>
              <w:rPr>
                <w:rFonts w:cs="Times New Roman"/>
                <w:sz w:val="24"/>
                <w:rtl/>
              </w:rPr>
              <w:t>מודעה על פתיחת הדיון</w:t>
            </w:r>
          </w:p>
        </w:tc>
        <w:tc>
          <w:tcPr>
            <w:tcW w:w="567" w:type="dxa"/>
          </w:tcPr>
          <w:p w14:paraId="4AD7201D" w14:textId="77777777" w:rsidR="002B4CA8" w:rsidRPr="002B4CA8" w:rsidRDefault="002B4CA8" w:rsidP="002B4CA8">
            <w:pPr>
              <w:spacing w:line="240" w:lineRule="auto"/>
              <w:jc w:val="left"/>
              <w:rPr>
                <w:rStyle w:val="Hyperlink"/>
                <w:rtl/>
              </w:rPr>
            </w:pPr>
            <w:hyperlink w:anchor="Seif6" w:tooltip="מודעה על פתיחת הדיון" w:history="1">
              <w:r w:rsidRPr="002B4CA8">
                <w:rPr>
                  <w:rStyle w:val="Hyperlink"/>
                </w:rPr>
                <w:t>Go</w:t>
              </w:r>
            </w:hyperlink>
          </w:p>
        </w:tc>
        <w:tc>
          <w:tcPr>
            <w:tcW w:w="850" w:type="dxa"/>
          </w:tcPr>
          <w:p w14:paraId="39F7D18D"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4CA8" w:rsidRPr="002B4CA8" w14:paraId="3888F254" w14:textId="77777777" w:rsidTr="002B4CA8">
        <w:tblPrEx>
          <w:tblCellMar>
            <w:top w:w="0" w:type="dxa"/>
            <w:bottom w:w="0" w:type="dxa"/>
          </w:tblCellMar>
        </w:tblPrEx>
        <w:tc>
          <w:tcPr>
            <w:tcW w:w="1247" w:type="dxa"/>
          </w:tcPr>
          <w:p w14:paraId="68530D73" w14:textId="77777777" w:rsidR="002B4CA8" w:rsidRPr="002B4CA8" w:rsidRDefault="002B4CA8" w:rsidP="002B4CA8">
            <w:pPr>
              <w:spacing w:line="240" w:lineRule="auto"/>
              <w:jc w:val="left"/>
              <w:rPr>
                <w:rFonts w:cs="Frankruhel"/>
                <w:sz w:val="24"/>
                <w:rtl/>
              </w:rPr>
            </w:pPr>
            <w:r>
              <w:rPr>
                <w:rFonts w:cs="Times New Roman"/>
                <w:sz w:val="24"/>
                <w:rtl/>
              </w:rPr>
              <w:t xml:space="preserve">סעיף 7 </w:t>
            </w:r>
          </w:p>
        </w:tc>
        <w:tc>
          <w:tcPr>
            <w:tcW w:w="5669" w:type="dxa"/>
          </w:tcPr>
          <w:p w14:paraId="5537E565" w14:textId="77777777" w:rsidR="002B4CA8" w:rsidRPr="002B4CA8" w:rsidRDefault="002B4CA8" w:rsidP="002B4CA8">
            <w:pPr>
              <w:spacing w:line="240" w:lineRule="auto"/>
              <w:jc w:val="left"/>
              <w:rPr>
                <w:rFonts w:cs="Frankruhel"/>
                <w:sz w:val="24"/>
                <w:rtl/>
              </w:rPr>
            </w:pPr>
            <w:r>
              <w:rPr>
                <w:rFonts w:cs="Times New Roman"/>
                <w:sz w:val="24"/>
                <w:rtl/>
              </w:rPr>
              <w:t>מחיקה על הסף ותיקון התנגדות</w:t>
            </w:r>
          </w:p>
        </w:tc>
        <w:tc>
          <w:tcPr>
            <w:tcW w:w="567" w:type="dxa"/>
          </w:tcPr>
          <w:p w14:paraId="5C682DC1" w14:textId="77777777" w:rsidR="002B4CA8" w:rsidRPr="002B4CA8" w:rsidRDefault="002B4CA8" w:rsidP="002B4CA8">
            <w:pPr>
              <w:spacing w:line="240" w:lineRule="auto"/>
              <w:jc w:val="left"/>
              <w:rPr>
                <w:rStyle w:val="Hyperlink"/>
                <w:rtl/>
              </w:rPr>
            </w:pPr>
            <w:hyperlink w:anchor="Seif7" w:tooltip="מחיקה על הסף ותיקון התנגדות" w:history="1">
              <w:r w:rsidRPr="002B4CA8">
                <w:rPr>
                  <w:rStyle w:val="Hyperlink"/>
                </w:rPr>
                <w:t>Go</w:t>
              </w:r>
            </w:hyperlink>
          </w:p>
        </w:tc>
        <w:tc>
          <w:tcPr>
            <w:tcW w:w="850" w:type="dxa"/>
          </w:tcPr>
          <w:p w14:paraId="23B02BB1"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5E44BC1C" w14:textId="77777777" w:rsidTr="002B4CA8">
        <w:tblPrEx>
          <w:tblCellMar>
            <w:top w:w="0" w:type="dxa"/>
            <w:bottom w:w="0" w:type="dxa"/>
          </w:tblCellMar>
        </w:tblPrEx>
        <w:tc>
          <w:tcPr>
            <w:tcW w:w="1247" w:type="dxa"/>
          </w:tcPr>
          <w:p w14:paraId="78C54FDD" w14:textId="77777777" w:rsidR="002B4CA8" w:rsidRPr="002B4CA8" w:rsidRDefault="002B4CA8" w:rsidP="002B4CA8">
            <w:pPr>
              <w:spacing w:line="240" w:lineRule="auto"/>
              <w:jc w:val="left"/>
              <w:rPr>
                <w:rFonts w:cs="Frankruhel"/>
                <w:sz w:val="24"/>
                <w:rtl/>
              </w:rPr>
            </w:pPr>
            <w:r>
              <w:rPr>
                <w:rFonts w:cs="Times New Roman"/>
                <w:sz w:val="24"/>
                <w:rtl/>
              </w:rPr>
              <w:t xml:space="preserve">סעיף 8 </w:t>
            </w:r>
          </w:p>
        </w:tc>
        <w:tc>
          <w:tcPr>
            <w:tcW w:w="5669" w:type="dxa"/>
          </w:tcPr>
          <w:p w14:paraId="4495B8D6" w14:textId="77777777" w:rsidR="002B4CA8" w:rsidRPr="002B4CA8" w:rsidRDefault="002B4CA8" w:rsidP="002B4CA8">
            <w:pPr>
              <w:spacing w:line="240" w:lineRule="auto"/>
              <w:jc w:val="left"/>
              <w:rPr>
                <w:rFonts w:cs="Frankruhel"/>
                <w:sz w:val="24"/>
                <w:rtl/>
              </w:rPr>
            </w:pPr>
            <w:r>
              <w:rPr>
                <w:rFonts w:cs="Times New Roman"/>
                <w:sz w:val="24"/>
                <w:rtl/>
              </w:rPr>
              <w:t>הזמנת הצדדים</w:t>
            </w:r>
          </w:p>
        </w:tc>
        <w:tc>
          <w:tcPr>
            <w:tcW w:w="567" w:type="dxa"/>
          </w:tcPr>
          <w:p w14:paraId="3EE0C4C8" w14:textId="77777777" w:rsidR="002B4CA8" w:rsidRPr="002B4CA8" w:rsidRDefault="002B4CA8" w:rsidP="002B4CA8">
            <w:pPr>
              <w:spacing w:line="240" w:lineRule="auto"/>
              <w:jc w:val="left"/>
              <w:rPr>
                <w:rStyle w:val="Hyperlink"/>
                <w:rtl/>
              </w:rPr>
            </w:pPr>
            <w:hyperlink w:anchor="Seif8" w:tooltip="הזמנת הצדדים" w:history="1">
              <w:r w:rsidRPr="002B4CA8">
                <w:rPr>
                  <w:rStyle w:val="Hyperlink"/>
                </w:rPr>
                <w:t>Go</w:t>
              </w:r>
            </w:hyperlink>
          </w:p>
        </w:tc>
        <w:tc>
          <w:tcPr>
            <w:tcW w:w="850" w:type="dxa"/>
          </w:tcPr>
          <w:p w14:paraId="4FE9FABB"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37360279" w14:textId="77777777" w:rsidTr="002B4CA8">
        <w:tblPrEx>
          <w:tblCellMar>
            <w:top w:w="0" w:type="dxa"/>
            <w:bottom w:w="0" w:type="dxa"/>
          </w:tblCellMar>
        </w:tblPrEx>
        <w:tc>
          <w:tcPr>
            <w:tcW w:w="1247" w:type="dxa"/>
          </w:tcPr>
          <w:p w14:paraId="0DF178C2" w14:textId="77777777" w:rsidR="002B4CA8" w:rsidRPr="002B4CA8" w:rsidRDefault="002B4CA8" w:rsidP="002B4CA8">
            <w:pPr>
              <w:spacing w:line="240" w:lineRule="auto"/>
              <w:jc w:val="left"/>
              <w:rPr>
                <w:rFonts w:cs="Frankruhel"/>
                <w:sz w:val="24"/>
                <w:rtl/>
              </w:rPr>
            </w:pPr>
            <w:r>
              <w:rPr>
                <w:rFonts w:cs="Times New Roman"/>
                <w:sz w:val="24"/>
                <w:rtl/>
              </w:rPr>
              <w:t xml:space="preserve">סעיף 9 </w:t>
            </w:r>
          </w:p>
        </w:tc>
        <w:tc>
          <w:tcPr>
            <w:tcW w:w="5669" w:type="dxa"/>
          </w:tcPr>
          <w:p w14:paraId="03B26440" w14:textId="77777777" w:rsidR="002B4CA8" w:rsidRPr="002B4CA8" w:rsidRDefault="002B4CA8" w:rsidP="002B4CA8">
            <w:pPr>
              <w:spacing w:line="240" w:lineRule="auto"/>
              <w:jc w:val="left"/>
              <w:rPr>
                <w:rFonts w:cs="Frankruhel"/>
                <w:sz w:val="24"/>
                <w:rtl/>
              </w:rPr>
            </w:pPr>
            <w:r>
              <w:rPr>
                <w:rFonts w:cs="Times New Roman"/>
                <w:sz w:val="24"/>
                <w:rtl/>
              </w:rPr>
              <w:t>תשאול המצהיר</w:t>
            </w:r>
          </w:p>
        </w:tc>
        <w:tc>
          <w:tcPr>
            <w:tcW w:w="567" w:type="dxa"/>
          </w:tcPr>
          <w:p w14:paraId="6DBCA072" w14:textId="77777777" w:rsidR="002B4CA8" w:rsidRPr="002B4CA8" w:rsidRDefault="002B4CA8" w:rsidP="002B4CA8">
            <w:pPr>
              <w:spacing w:line="240" w:lineRule="auto"/>
              <w:jc w:val="left"/>
              <w:rPr>
                <w:rStyle w:val="Hyperlink"/>
                <w:rtl/>
              </w:rPr>
            </w:pPr>
            <w:hyperlink w:anchor="Seif9" w:tooltip="תשאול המצהיר" w:history="1">
              <w:r w:rsidRPr="002B4CA8">
                <w:rPr>
                  <w:rStyle w:val="Hyperlink"/>
                </w:rPr>
                <w:t>Go</w:t>
              </w:r>
            </w:hyperlink>
          </w:p>
        </w:tc>
        <w:tc>
          <w:tcPr>
            <w:tcW w:w="850" w:type="dxa"/>
          </w:tcPr>
          <w:p w14:paraId="78643444"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43D43C2C" w14:textId="77777777" w:rsidTr="002B4CA8">
        <w:tblPrEx>
          <w:tblCellMar>
            <w:top w:w="0" w:type="dxa"/>
            <w:bottom w:w="0" w:type="dxa"/>
          </w:tblCellMar>
        </w:tblPrEx>
        <w:tc>
          <w:tcPr>
            <w:tcW w:w="1247" w:type="dxa"/>
          </w:tcPr>
          <w:p w14:paraId="2E09B9D8" w14:textId="77777777" w:rsidR="002B4CA8" w:rsidRPr="002B4CA8" w:rsidRDefault="002B4CA8" w:rsidP="002B4CA8">
            <w:pPr>
              <w:spacing w:line="240" w:lineRule="auto"/>
              <w:jc w:val="left"/>
              <w:rPr>
                <w:rFonts w:cs="Frankruhel"/>
                <w:sz w:val="24"/>
                <w:rtl/>
              </w:rPr>
            </w:pPr>
            <w:r>
              <w:rPr>
                <w:rFonts w:cs="Times New Roman"/>
                <w:sz w:val="24"/>
                <w:rtl/>
              </w:rPr>
              <w:t xml:space="preserve">סעיף 10 </w:t>
            </w:r>
          </w:p>
        </w:tc>
        <w:tc>
          <w:tcPr>
            <w:tcW w:w="5669" w:type="dxa"/>
          </w:tcPr>
          <w:p w14:paraId="462B5DCC" w14:textId="77777777" w:rsidR="002B4CA8" w:rsidRPr="002B4CA8" w:rsidRDefault="002B4CA8" w:rsidP="002B4CA8">
            <w:pPr>
              <w:spacing w:line="240" w:lineRule="auto"/>
              <w:jc w:val="left"/>
              <w:rPr>
                <w:rFonts w:cs="Frankruhel"/>
                <w:sz w:val="24"/>
                <w:rtl/>
              </w:rPr>
            </w:pPr>
            <w:r>
              <w:rPr>
                <w:rFonts w:cs="Times New Roman"/>
                <w:sz w:val="24"/>
                <w:rtl/>
              </w:rPr>
              <w:t>איחוד הדיון</w:t>
            </w:r>
          </w:p>
        </w:tc>
        <w:tc>
          <w:tcPr>
            <w:tcW w:w="567" w:type="dxa"/>
          </w:tcPr>
          <w:p w14:paraId="08BA3C25" w14:textId="77777777" w:rsidR="002B4CA8" w:rsidRPr="002B4CA8" w:rsidRDefault="002B4CA8" w:rsidP="002B4CA8">
            <w:pPr>
              <w:spacing w:line="240" w:lineRule="auto"/>
              <w:jc w:val="left"/>
              <w:rPr>
                <w:rStyle w:val="Hyperlink"/>
                <w:rtl/>
              </w:rPr>
            </w:pPr>
            <w:hyperlink w:anchor="Seif10" w:tooltip="איחוד הדיון" w:history="1">
              <w:r w:rsidRPr="002B4CA8">
                <w:rPr>
                  <w:rStyle w:val="Hyperlink"/>
                </w:rPr>
                <w:t>Go</w:t>
              </w:r>
            </w:hyperlink>
          </w:p>
        </w:tc>
        <w:tc>
          <w:tcPr>
            <w:tcW w:w="850" w:type="dxa"/>
          </w:tcPr>
          <w:p w14:paraId="6BA21388"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188F327B" w14:textId="77777777" w:rsidTr="002B4CA8">
        <w:tblPrEx>
          <w:tblCellMar>
            <w:top w:w="0" w:type="dxa"/>
            <w:bottom w:w="0" w:type="dxa"/>
          </w:tblCellMar>
        </w:tblPrEx>
        <w:tc>
          <w:tcPr>
            <w:tcW w:w="1247" w:type="dxa"/>
          </w:tcPr>
          <w:p w14:paraId="40152FE3" w14:textId="77777777" w:rsidR="002B4CA8" w:rsidRPr="002B4CA8" w:rsidRDefault="002B4CA8" w:rsidP="002B4CA8">
            <w:pPr>
              <w:spacing w:line="240" w:lineRule="auto"/>
              <w:jc w:val="left"/>
              <w:rPr>
                <w:rFonts w:cs="Frankruhel"/>
                <w:sz w:val="24"/>
                <w:rtl/>
              </w:rPr>
            </w:pPr>
            <w:r>
              <w:rPr>
                <w:rFonts w:cs="Times New Roman"/>
                <w:sz w:val="24"/>
                <w:rtl/>
              </w:rPr>
              <w:t xml:space="preserve">סעיף 11 </w:t>
            </w:r>
          </w:p>
        </w:tc>
        <w:tc>
          <w:tcPr>
            <w:tcW w:w="5669" w:type="dxa"/>
          </w:tcPr>
          <w:p w14:paraId="07DAF162" w14:textId="77777777" w:rsidR="002B4CA8" w:rsidRPr="002B4CA8" w:rsidRDefault="002B4CA8" w:rsidP="002B4CA8">
            <w:pPr>
              <w:spacing w:line="240" w:lineRule="auto"/>
              <w:jc w:val="left"/>
              <w:rPr>
                <w:rFonts w:cs="Frankruhel"/>
                <w:sz w:val="24"/>
                <w:rtl/>
              </w:rPr>
            </w:pPr>
            <w:r>
              <w:rPr>
                <w:rFonts w:cs="Times New Roman"/>
                <w:sz w:val="24"/>
                <w:rtl/>
              </w:rPr>
              <w:t>פתיחת הדיון</w:t>
            </w:r>
          </w:p>
        </w:tc>
        <w:tc>
          <w:tcPr>
            <w:tcW w:w="567" w:type="dxa"/>
          </w:tcPr>
          <w:p w14:paraId="756AEEE0" w14:textId="77777777" w:rsidR="002B4CA8" w:rsidRPr="002B4CA8" w:rsidRDefault="002B4CA8" w:rsidP="002B4CA8">
            <w:pPr>
              <w:spacing w:line="240" w:lineRule="auto"/>
              <w:jc w:val="left"/>
              <w:rPr>
                <w:rStyle w:val="Hyperlink"/>
                <w:rtl/>
              </w:rPr>
            </w:pPr>
            <w:hyperlink w:anchor="Seif11" w:tooltip="פתיחת הדיון" w:history="1">
              <w:r w:rsidRPr="002B4CA8">
                <w:rPr>
                  <w:rStyle w:val="Hyperlink"/>
                </w:rPr>
                <w:t>Go</w:t>
              </w:r>
            </w:hyperlink>
          </w:p>
        </w:tc>
        <w:tc>
          <w:tcPr>
            <w:tcW w:w="850" w:type="dxa"/>
          </w:tcPr>
          <w:p w14:paraId="225B0302"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199DC218" w14:textId="77777777" w:rsidTr="002B4CA8">
        <w:tblPrEx>
          <w:tblCellMar>
            <w:top w:w="0" w:type="dxa"/>
            <w:bottom w:w="0" w:type="dxa"/>
          </w:tblCellMar>
        </w:tblPrEx>
        <w:tc>
          <w:tcPr>
            <w:tcW w:w="1247" w:type="dxa"/>
          </w:tcPr>
          <w:p w14:paraId="4890487D" w14:textId="77777777" w:rsidR="002B4CA8" w:rsidRPr="002B4CA8" w:rsidRDefault="002B4CA8" w:rsidP="002B4CA8">
            <w:pPr>
              <w:spacing w:line="240" w:lineRule="auto"/>
              <w:jc w:val="left"/>
              <w:rPr>
                <w:rFonts w:cs="Frankruhel"/>
                <w:sz w:val="24"/>
                <w:rtl/>
              </w:rPr>
            </w:pPr>
            <w:r>
              <w:rPr>
                <w:rFonts w:cs="Times New Roman"/>
                <w:sz w:val="24"/>
                <w:rtl/>
              </w:rPr>
              <w:t xml:space="preserve">סעיף 12 </w:t>
            </w:r>
          </w:p>
        </w:tc>
        <w:tc>
          <w:tcPr>
            <w:tcW w:w="5669" w:type="dxa"/>
          </w:tcPr>
          <w:p w14:paraId="6239B8E7" w14:textId="77777777" w:rsidR="002B4CA8" w:rsidRPr="002B4CA8" w:rsidRDefault="002B4CA8" w:rsidP="002B4CA8">
            <w:pPr>
              <w:spacing w:line="240" w:lineRule="auto"/>
              <w:jc w:val="left"/>
              <w:rPr>
                <w:rFonts w:cs="Frankruhel"/>
                <w:sz w:val="24"/>
                <w:rtl/>
              </w:rPr>
            </w:pPr>
            <w:r>
              <w:rPr>
                <w:rFonts w:cs="Times New Roman"/>
                <w:sz w:val="24"/>
                <w:rtl/>
              </w:rPr>
              <w:t>סדרי הטיעון</w:t>
            </w:r>
          </w:p>
        </w:tc>
        <w:tc>
          <w:tcPr>
            <w:tcW w:w="567" w:type="dxa"/>
          </w:tcPr>
          <w:p w14:paraId="5B77596C" w14:textId="77777777" w:rsidR="002B4CA8" w:rsidRPr="002B4CA8" w:rsidRDefault="002B4CA8" w:rsidP="002B4CA8">
            <w:pPr>
              <w:spacing w:line="240" w:lineRule="auto"/>
              <w:jc w:val="left"/>
              <w:rPr>
                <w:rStyle w:val="Hyperlink"/>
                <w:rtl/>
              </w:rPr>
            </w:pPr>
            <w:hyperlink w:anchor="Seif12" w:tooltip="סדרי הטיעון" w:history="1">
              <w:r w:rsidRPr="002B4CA8">
                <w:rPr>
                  <w:rStyle w:val="Hyperlink"/>
                </w:rPr>
                <w:t>Go</w:t>
              </w:r>
            </w:hyperlink>
          </w:p>
        </w:tc>
        <w:tc>
          <w:tcPr>
            <w:tcW w:w="850" w:type="dxa"/>
          </w:tcPr>
          <w:p w14:paraId="0CAE6678"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723CB966" w14:textId="77777777" w:rsidTr="002B4CA8">
        <w:tblPrEx>
          <w:tblCellMar>
            <w:top w:w="0" w:type="dxa"/>
            <w:bottom w:w="0" w:type="dxa"/>
          </w:tblCellMar>
        </w:tblPrEx>
        <w:tc>
          <w:tcPr>
            <w:tcW w:w="1247" w:type="dxa"/>
          </w:tcPr>
          <w:p w14:paraId="542BC48C" w14:textId="77777777" w:rsidR="002B4CA8" w:rsidRPr="002B4CA8" w:rsidRDefault="002B4CA8" w:rsidP="002B4CA8">
            <w:pPr>
              <w:spacing w:line="240" w:lineRule="auto"/>
              <w:jc w:val="left"/>
              <w:rPr>
                <w:rFonts w:cs="Frankruhel"/>
                <w:sz w:val="24"/>
                <w:rtl/>
              </w:rPr>
            </w:pPr>
            <w:r>
              <w:rPr>
                <w:rFonts w:cs="Times New Roman"/>
                <w:sz w:val="24"/>
                <w:rtl/>
              </w:rPr>
              <w:t xml:space="preserve">סעיף 13 </w:t>
            </w:r>
          </w:p>
        </w:tc>
        <w:tc>
          <w:tcPr>
            <w:tcW w:w="5669" w:type="dxa"/>
          </w:tcPr>
          <w:p w14:paraId="2E2000AF" w14:textId="77777777" w:rsidR="002B4CA8" w:rsidRPr="002B4CA8" w:rsidRDefault="002B4CA8" w:rsidP="002B4CA8">
            <w:pPr>
              <w:spacing w:line="240" w:lineRule="auto"/>
              <w:jc w:val="left"/>
              <w:rPr>
                <w:rFonts w:cs="Frankruhel"/>
                <w:sz w:val="24"/>
                <w:rtl/>
              </w:rPr>
            </w:pPr>
            <w:r>
              <w:rPr>
                <w:rFonts w:cs="Times New Roman"/>
                <w:sz w:val="24"/>
                <w:rtl/>
              </w:rPr>
              <w:t>זכות העמידה של היוזם בפועל</w:t>
            </w:r>
          </w:p>
        </w:tc>
        <w:tc>
          <w:tcPr>
            <w:tcW w:w="567" w:type="dxa"/>
          </w:tcPr>
          <w:p w14:paraId="1CC6FA8A" w14:textId="77777777" w:rsidR="002B4CA8" w:rsidRPr="002B4CA8" w:rsidRDefault="002B4CA8" w:rsidP="002B4CA8">
            <w:pPr>
              <w:spacing w:line="240" w:lineRule="auto"/>
              <w:jc w:val="left"/>
              <w:rPr>
                <w:rStyle w:val="Hyperlink"/>
                <w:rtl/>
              </w:rPr>
            </w:pPr>
            <w:hyperlink w:anchor="Seif13" w:tooltip="זכות העמידה של היוזם בפועל" w:history="1">
              <w:r w:rsidRPr="002B4CA8">
                <w:rPr>
                  <w:rStyle w:val="Hyperlink"/>
                </w:rPr>
                <w:t>Go</w:t>
              </w:r>
            </w:hyperlink>
          </w:p>
        </w:tc>
        <w:tc>
          <w:tcPr>
            <w:tcW w:w="850" w:type="dxa"/>
          </w:tcPr>
          <w:p w14:paraId="1886461E"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4CA8" w:rsidRPr="002B4CA8" w14:paraId="7BEE38B4" w14:textId="77777777" w:rsidTr="002B4CA8">
        <w:tblPrEx>
          <w:tblCellMar>
            <w:top w:w="0" w:type="dxa"/>
            <w:bottom w:w="0" w:type="dxa"/>
          </w:tblCellMar>
        </w:tblPrEx>
        <w:tc>
          <w:tcPr>
            <w:tcW w:w="1247" w:type="dxa"/>
          </w:tcPr>
          <w:p w14:paraId="1EA1695B" w14:textId="77777777" w:rsidR="002B4CA8" w:rsidRPr="002B4CA8" w:rsidRDefault="002B4CA8" w:rsidP="002B4CA8">
            <w:pPr>
              <w:spacing w:line="240" w:lineRule="auto"/>
              <w:jc w:val="left"/>
              <w:rPr>
                <w:rFonts w:cs="Frankruhel"/>
                <w:sz w:val="24"/>
                <w:rtl/>
              </w:rPr>
            </w:pPr>
            <w:r>
              <w:rPr>
                <w:rFonts w:cs="Times New Roman"/>
                <w:sz w:val="24"/>
                <w:rtl/>
              </w:rPr>
              <w:t xml:space="preserve">סעיף 14 </w:t>
            </w:r>
          </w:p>
        </w:tc>
        <w:tc>
          <w:tcPr>
            <w:tcW w:w="5669" w:type="dxa"/>
          </w:tcPr>
          <w:p w14:paraId="31537FBB" w14:textId="77777777" w:rsidR="002B4CA8" w:rsidRPr="002B4CA8" w:rsidRDefault="002B4CA8" w:rsidP="002B4CA8">
            <w:pPr>
              <w:spacing w:line="240" w:lineRule="auto"/>
              <w:jc w:val="left"/>
              <w:rPr>
                <w:rFonts w:cs="Frankruhel"/>
                <w:sz w:val="24"/>
                <w:rtl/>
              </w:rPr>
            </w:pPr>
            <w:r>
              <w:rPr>
                <w:rFonts w:cs="Times New Roman"/>
                <w:sz w:val="24"/>
                <w:rtl/>
              </w:rPr>
              <w:t>הגבלת הטיעון</w:t>
            </w:r>
          </w:p>
        </w:tc>
        <w:tc>
          <w:tcPr>
            <w:tcW w:w="567" w:type="dxa"/>
          </w:tcPr>
          <w:p w14:paraId="6B580132" w14:textId="77777777" w:rsidR="002B4CA8" w:rsidRPr="002B4CA8" w:rsidRDefault="002B4CA8" w:rsidP="002B4CA8">
            <w:pPr>
              <w:spacing w:line="240" w:lineRule="auto"/>
              <w:jc w:val="left"/>
              <w:rPr>
                <w:rStyle w:val="Hyperlink"/>
                <w:rtl/>
              </w:rPr>
            </w:pPr>
            <w:hyperlink w:anchor="Seif14" w:tooltip="הגבלת הטיעון" w:history="1">
              <w:r w:rsidRPr="002B4CA8">
                <w:rPr>
                  <w:rStyle w:val="Hyperlink"/>
                </w:rPr>
                <w:t>Go</w:t>
              </w:r>
            </w:hyperlink>
          </w:p>
        </w:tc>
        <w:tc>
          <w:tcPr>
            <w:tcW w:w="850" w:type="dxa"/>
          </w:tcPr>
          <w:p w14:paraId="2A32DA52"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4CA8" w:rsidRPr="002B4CA8" w14:paraId="7866FF0F" w14:textId="77777777" w:rsidTr="002B4CA8">
        <w:tblPrEx>
          <w:tblCellMar>
            <w:top w:w="0" w:type="dxa"/>
            <w:bottom w:w="0" w:type="dxa"/>
          </w:tblCellMar>
        </w:tblPrEx>
        <w:tc>
          <w:tcPr>
            <w:tcW w:w="1247" w:type="dxa"/>
          </w:tcPr>
          <w:p w14:paraId="7D024514" w14:textId="77777777" w:rsidR="002B4CA8" w:rsidRPr="002B4CA8" w:rsidRDefault="002B4CA8" w:rsidP="002B4CA8">
            <w:pPr>
              <w:spacing w:line="240" w:lineRule="auto"/>
              <w:jc w:val="left"/>
              <w:rPr>
                <w:rFonts w:cs="Frankruhel"/>
                <w:sz w:val="24"/>
                <w:rtl/>
              </w:rPr>
            </w:pPr>
            <w:r>
              <w:rPr>
                <w:rFonts w:cs="Times New Roman"/>
                <w:sz w:val="24"/>
                <w:rtl/>
              </w:rPr>
              <w:t xml:space="preserve">סעיף 15 </w:t>
            </w:r>
          </w:p>
        </w:tc>
        <w:tc>
          <w:tcPr>
            <w:tcW w:w="5669" w:type="dxa"/>
          </w:tcPr>
          <w:p w14:paraId="5B20FB7D" w14:textId="77777777" w:rsidR="002B4CA8" w:rsidRPr="002B4CA8" w:rsidRDefault="002B4CA8" w:rsidP="002B4CA8">
            <w:pPr>
              <w:spacing w:line="240" w:lineRule="auto"/>
              <w:jc w:val="left"/>
              <w:rPr>
                <w:rFonts w:cs="Frankruhel"/>
                <w:sz w:val="24"/>
                <w:rtl/>
              </w:rPr>
            </w:pPr>
            <w:r>
              <w:rPr>
                <w:rFonts w:cs="Times New Roman"/>
                <w:sz w:val="24"/>
                <w:rtl/>
              </w:rPr>
              <w:t>ראיות</w:t>
            </w:r>
          </w:p>
        </w:tc>
        <w:tc>
          <w:tcPr>
            <w:tcW w:w="567" w:type="dxa"/>
          </w:tcPr>
          <w:p w14:paraId="1B5CC18E" w14:textId="77777777" w:rsidR="002B4CA8" w:rsidRPr="002B4CA8" w:rsidRDefault="002B4CA8" w:rsidP="002B4CA8">
            <w:pPr>
              <w:spacing w:line="240" w:lineRule="auto"/>
              <w:jc w:val="left"/>
              <w:rPr>
                <w:rStyle w:val="Hyperlink"/>
                <w:rtl/>
              </w:rPr>
            </w:pPr>
            <w:hyperlink w:anchor="Seif15" w:tooltip="ראיות" w:history="1">
              <w:r w:rsidRPr="002B4CA8">
                <w:rPr>
                  <w:rStyle w:val="Hyperlink"/>
                </w:rPr>
                <w:t>Go</w:t>
              </w:r>
            </w:hyperlink>
          </w:p>
        </w:tc>
        <w:tc>
          <w:tcPr>
            <w:tcW w:w="850" w:type="dxa"/>
          </w:tcPr>
          <w:p w14:paraId="507A2194"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4CA8" w:rsidRPr="002B4CA8" w14:paraId="0AE7B56D" w14:textId="77777777" w:rsidTr="002B4CA8">
        <w:tblPrEx>
          <w:tblCellMar>
            <w:top w:w="0" w:type="dxa"/>
            <w:bottom w:w="0" w:type="dxa"/>
          </w:tblCellMar>
        </w:tblPrEx>
        <w:tc>
          <w:tcPr>
            <w:tcW w:w="1247" w:type="dxa"/>
          </w:tcPr>
          <w:p w14:paraId="2253C98D" w14:textId="77777777" w:rsidR="002B4CA8" w:rsidRPr="002B4CA8" w:rsidRDefault="002B4CA8" w:rsidP="002B4CA8">
            <w:pPr>
              <w:spacing w:line="240" w:lineRule="auto"/>
              <w:jc w:val="left"/>
              <w:rPr>
                <w:rFonts w:cs="Frankruhel"/>
                <w:sz w:val="24"/>
                <w:rtl/>
              </w:rPr>
            </w:pPr>
            <w:r>
              <w:rPr>
                <w:rFonts w:cs="Times New Roman"/>
                <w:sz w:val="24"/>
                <w:rtl/>
              </w:rPr>
              <w:t xml:space="preserve">סעיף 16 </w:t>
            </w:r>
          </w:p>
        </w:tc>
        <w:tc>
          <w:tcPr>
            <w:tcW w:w="5669" w:type="dxa"/>
          </w:tcPr>
          <w:p w14:paraId="0367FDAB" w14:textId="77777777" w:rsidR="002B4CA8" w:rsidRPr="002B4CA8" w:rsidRDefault="002B4CA8" w:rsidP="002B4CA8">
            <w:pPr>
              <w:spacing w:line="240" w:lineRule="auto"/>
              <w:jc w:val="left"/>
              <w:rPr>
                <w:rFonts w:cs="Frankruhel"/>
                <w:sz w:val="24"/>
                <w:rtl/>
              </w:rPr>
            </w:pPr>
            <w:r>
              <w:rPr>
                <w:rFonts w:cs="Times New Roman"/>
                <w:sz w:val="24"/>
                <w:rtl/>
              </w:rPr>
              <w:t>המצאת מסמכים וידיעות נוספים</w:t>
            </w:r>
          </w:p>
        </w:tc>
        <w:tc>
          <w:tcPr>
            <w:tcW w:w="567" w:type="dxa"/>
          </w:tcPr>
          <w:p w14:paraId="477B3B9F" w14:textId="77777777" w:rsidR="002B4CA8" w:rsidRPr="002B4CA8" w:rsidRDefault="002B4CA8" w:rsidP="002B4CA8">
            <w:pPr>
              <w:spacing w:line="240" w:lineRule="auto"/>
              <w:jc w:val="left"/>
              <w:rPr>
                <w:rStyle w:val="Hyperlink"/>
                <w:rtl/>
              </w:rPr>
            </w:pPr>
            <w:hyperlink w:anchor="Seif16" w:tooltip="המצאת מסמכים וידיעות נוספים" w:history="1">
              <w:r w:rsidRPr="002B4CA8">
                <w:rPr>
                  <w:rStyle w:val="Hyperlink"/>
                </w:rPr>
                <w:t>Go</w:t>
              </w:r>
            </w:hyperlink>
          </w:p>
        </w:tc>
        <w:tc>
          <w:tcPr>
            <w:tcW w:w="850" w:type="dxa"/>
          </w:tcPr>
          <w:p w14:paraId="5DAB2CEF"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4CA8" w:rsidRPr="002B4CA8" w14:paraId="1903489C" w14:textId="77777777" w:rsidTr="002B4CA8">
        <w:tblPrEx>
          <w:tblCellMar>
            <w:top w:w="0" w:type="dxa"/>
            <w:bottom w:w="0" w:type="dxa"/>
          </w:tblCellMar>
        </w:tblPrEx>
        <w:tc>
          <w:tcPr>
            <w:tcW w:w="1247" w:type="dxa"/>
          </w:tcPr>
          <w:p w14:paraId="7627DFF3" w14:textId="77777777" w:rsidR="002B4CA8" w:rsidRPr="002B4CA8" w:rsidRDefault="002B4CA8" w:rsidP="002B4CA8">
            <w:pPr>
              <w:spacing w:line="240" w:lineRule="auto"/>
              <w:jc w:val="left"/>
              <w:rPr>
                <w:rFonts w:cs="Frankruhel"/>
                <w:sz w:val="24"/>
                <w:rtl/>
              </w:rPr>
            </w:pPr>
            <w:r>
              <w:rPr>
                <w:rFonts w:cs="Times New Roman"/>
                <w:sz w:val="24"/>
                <w:rtl/>
              </w:rPr>
              <w:t xml:space="preserve">סעיף 17 </w:t>
            </w:r>
          </w:p>
        </w:tc>
        <w:tc>
          <w:tcPr>
            <w:tcW w:w="5669" w:type="dxa"/>
          </w:tcPr>
          <w:p w14:paraId="72C766CF" w14:textId="77777777" w:rsidR="002B4CA8" w:rsidRPr="002B4CA8" w:rsidRDefault="002B4CA8" w:rsidP="002B4CA8">
            <w:pPr>
              <w:spacing w:line="240" w:lineRule="auto"/>
              <w:jc w:val="left"/>
              <w:rPr>
                <w:rFonts w:cs="Frankruhel"/>
                <w:sz w:val="24"/>
                <w:rtl/>
              </w:rPr>
            </w:pPr>
            <w:r>
              <w:rPr>
                <w:rFonts w:cs="Times New Roman"/>
                <w:sz w:val="24"/>
                <w:rtl/>
              </w:rPr>
              <w:t>פרוטוקול</w:t>
            </w:r>
          </w:p>
        </w:tc>
        <w:tc>
          <w:tcPr>
            <w:tcW w:w="567" w:type="dxa"/>
          </w:tcPr>
          <w:p w14:paraId="66C00503" w14:textId="77777777" w:rsidR="002B4CA8" w:rsidRPr="002B4CA8" w:rsidRDefault="002B4CA8" w:rsidP="002B4CA8">
            <w:pPr>
              <w:spacing w:line="240" w:lineRule="auto"/>
              <w:jc w:val="left"/>
              <w:rPr>
                <w:rStyle w:val="Hyperlink"/>
                <w:rtl/>
              </w:rPr>
            </w:pPr>
            <w:hyperlink w:anchor="Seif17" w:tooltip="פרוטוקול" w:history="1">
              <w:r w:rsidRPr="002B4CA8">
                <w:rPr>
                  <w:rStyle w:val="Hyperlink"/>
                </w:rPr>
                <w:t>Go</w:t>
              </w:r>
            </w:hyperlink>
          </w:p>
        </w:tc>
        <w:tc>
          <w:tcPr>
            <w:tcW w:w="850" w:type="dxa"/>
          </w:tcPr>
          <w:p w14:paraId="6F8D40FE"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4CA8" w:rsidRPr="002B4CA8" w14:paraId="7CC34B82" w14:textId="77777777" w:rsidTr="002B4CA8">
        <w:tblPrEx>
          <w:tblCellMar>
            <w:top w:w="0" w:type="dxa"/>
            <w:bottom w:w="0" w:type="dxa"/>
          </w:tblCellMar>
        </w:tblPrEx>
        <w:tc>
          <w:tcPr>
            <w:tcW w:w="1247" w:type="dxa"/>
          </w:tcPr>
          <w:p w14:paraId="2E0557B9" w14:textId="77777777" w:rsidR="002B4CA8" w:rsidRPr="002B4CA8" w:rsidRDefault="002B4CA8" w:rsidP="002B4CA8">
            <w:pPr>
              <w:spacing w:line="240" w:lineRule="auto"/>
              <w:jc w:val="left"/>
              <w:rPr>
                <w:rFonts w:cs="Frankruhel"/>
                <w:sz w:val="24"/>
                <w:rtl/>
              </w:rPr>
            </w:pPr>
            <w:r>
              <w:rPr>
                <w:rFonts w:cs="Times New Roman"/>
                <w:sz w:val="24"/>
                <w:rtl/>
              </w:rPr>
              <w:t xml:space="preserve">סעיף 18 </w:t>
            </w:r>
          </w:p>
        </w:tc>
        <w:tc>
          <w:tcPr>
            <w:tcW w:w="5669" w:type="dxa"/>
          </w:tcPr>
          <w:p w14:paraId="1E031FE3" w14:textId="77777777" w:rsidR="002B4CA8" w:rsidRPr="002B4CA8" w:rsidRDefault="002B4CA8" w:rsidP="002B4CA8">
            <w:pPr>
              <w:spacing w:line="240" w:lineRule="auto"/>
              <w:jc w:val="left"/>
              <w:rPr>
                <w:rFonts w:cs="Frankruhel"/>
                <w:sz w:val="24"/>
                <w:rtl/>
              </w:rPr>
            </w:pPr>
            <w:r>
              <w:rPr>
                <w:rFonts w:cs="Times New Roman"/>
                <w:sz w:val="24"/>
                <w:rtl/>
              </w:rPr>
              <w:t>תחולה על דיון בפני חוקר</w:t>
            </w:r>
          </w:p>
        </w:tc>
        <w:tc>
          <w:tcPr>
            <w:tcW w:w="567" w:type="dxa"/>
          </w:tcPr>
          <w:p w14:paraId="78EB0C78" w14:textId="77777777" w:rsidR="002B4CA8" w:rsidRPr="002B4CA8" w:rsidRDefault="002B4CA8" w:rsidP="002B4CA8">
            <w:pPr>
              <w:spacing w:line="240" w:lineRule="auto"/>
              <w:jc w:val="left"/>
              <w:rPr>
                <w:rStyle w:val="Hyperlink"/>
                <w:rtl/>
              </w:rPr>
            </w:pPr>
            <w:hyperlink w:anchor="Seif18" w:tooltip="תחולה על דיון בפני חוקר" w:history="1">
              <w:r w:rsidRPr="002B4CA8">
                <w:rPr>
                  <w:rStyle w:val="Hyperlink"/>
                </w:rPr>
                <w:t>Go</w:t>
              </w:r>
            </w:hyperlink>
          </w:p>
        </w:tc>
        <w:tc>
          <w:tcPr>
            <w:tcW w:w="850" w:type="dxa"/>
          </w:tcPr>
          <w:p w14:paraId="6C4A62F5"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4CA8" w:rsidRPr="002B4CA8" w14:paraId="6EAEC3A4" w14:textId="77777777" w:rsidTr="002B4CA8">
        <w:tblPrEx>
          <w:tblCellMar>
            <w:top w:w="0" w:type="dxa"/>
            <w:bottom w:w="0" w:type="dxa"/>
          </w:tblCellMar>
        </w:tblPrEx>
        <w:tc>
          <w:tcPr>
            <w:tcW w:w="1247" w:type="dxa"/>
          </w:tcPr>
          <w:p w14:paraId="6B34B9D4" w14:textId="77777777" w:rsidR="002B4CA8" w:rsidRPr="002B4CA8" w:rsidRDefault="002B4CA8" w:rsidP="002B4CA8">
            <w:pPr>
              <w:spacing w:line="240" w:lineRule="auto"/>
              <w:jc w:val="left"/>
              <w:rPr>
                <w:rFonts w:cs="Frankruhel"/>
                <w:sz w:val="24"/>
                <w:rtl/>
              </w:rPr>
            </w:pPr>
            <w:r>
              <w:rPr>
                <w:rFonts w:cs="Times New Roman"/>
                <w:sz w:val="24"/>
                <w:rtl/>
              </w:rPr>
              <w:t xml:space="preserve">סעיף 19 </w:t>
            </w:r>
          </w:p>
        </w:tc>
        <w:tc>
          <w:tcPr>
            <w:tcW w:w="5669" w:type="dxa"/>
          </w:tcPr>
          <w:p w14:paraId="60C9E0BE" w14:textId="77777777" w:rsidR="002B4CA8" w:rsidRPr="002B4CA8" w:rsidRDefault="002B4CA8" w:rsidP="002B4CA8">
            <w:pPr>
              <w:spacing w:line="240" w:lineRule="auto"/>
              <w:jc w:val="left"/>
              <w:rPr>
                <w:rFonts w:cs="Frankruhel"/>
                <w:sz w:val="24"/>
                <w:rtl/>
              </w:rPr>
            </w:pPr>
            <w:r>
              <w:rPr>
                <w:rFonts w:cs="Times New Roman"/>
                <w:sz w:val="24"/>
                <w:rtl/>
              </w:rPr>
              <w:t>דיון לפני חוקר   הוראות נוספות</w:t>
            </w:r>
          </w:p>
        </w:tc>
        <w:tc>
          <w:tcPr>
            <w:tcW w:w="567" w:type="dxa"/>
          </w:tcPr>
          <w:p w14:paraId="3BBFB410" w14:textId="77777777" w:rsidR="002B4CA8" w:rsidRPr="002B4CA8" w:rsidRDefault="002B4CA8" w:rsidP="002B4CA8">
            <w:pPr>
              <w:spacing w:line="240" w:lineRule="auto"/>
              <w:jc w:val="left"/>
              <w:rPr>
                <w:rStyle w:val="Hyperlink"/>
                <w:rtl/>
              </w:rPr>
            </w:pPr>
            <w:hyperlink w:anchor="Seif19" w:tooltip="דיון לפני חוקר   הוראות נוספות" w:history="1">
              <w:r w:rsidRPr="002B4CA8">
                <w:rPr>
                  <w:rStyle w:val="Hyperlink"/>
                </w:rPr>
                <w:t>Go</w:t>
              </w:r>
            </w:hyperlink>
          </w:p>
        </w:tc>
        <w:tc>
          <w:tcPr>
            <w:tcW w:w="850" w:type="dxa"/>
          </w:tcPr>
          <w:p w14:paraId="446B97E3"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6D5C9B0B" w14:textId="77777777" w:rsidTr="002B4CA8">
        <w:tblPrEx>
          <w:tblCellMar>
            <w:top w:w="0" w:type="dxa"/>
            <w:bottom w:w="0" w:type="dxa"/>
          </w:tblCellMar>
        </w:tblPrEx>
        <w:tc>
          <w:tcPr>
            <w:tcW w:w="1247" w:type="dxa"/>
          </w:tcPr>
          <w:p w14:paraId="41946529" w14:textId="77777777" w:rsidR="002B4CA8" w:rsidRPr="002B4CA8" w:rsidRDefault="002B4CA8" w:rsidP="002B4CA8">
            <w:pPr>
              <w:spacing w:line="240" w:lineRule="auto"/>
              <w:jc w:val="left"/>
              <w:rPr>
                <w:rFonts w:cs="Frankruhel"/>
                <w:sz w:val="24"/>
                <w:rtl/>
              </w:rPr>
            </w:pPr>
            <w:r>
              <w:rPr>
                <w:rFonts w:cs="Times New Roman"/>
                <w:sz w:val="24"/>
                <w:rtl/>
              </w:rPr>
              <w:t xml:space="preserve">סעיף 20 </w:t>
            </w:r>
          </w:p>
        </w:tc>
        <w:tc>
          <w:tcPr>
            <w:tcW w:w="5669" w:type="dxa"/>
          </w:tcPr>
          <w:p w14:paraId="74F9B606" w14:textId="77777777" w:rsidR="002B4CA8" w:rsidRPr="002B4CA8" w:rsidRDefault="002B4CA8" w:rsidP="002B4CA8">
            <w:pPr>
              <w:spacing w:line="240" w:lineRule="auto"/>
              <w:jc w:val="left"/>
              <w:rPr>
                <w:rFonts w:cs="Frankruhel"/>
                <w:sz w:val="24"/>
                <w:rtl/>
              </w:rPr>
            </w:pPr>
            <w:r>
              <w:rPr>
                <w:rFonts w:cs="Times New Roman"/>
                <w:sz w:val="24"/>
                <w:rtl/>
              </w:rPr>
              <w:t>שמירת סמכויות</w:t>
            </w:r>
          </w:p>
        </w:tc>
        <w:tc>
          <w:tcPr>
            <w:tcW w:w="567" w:type="dxa"/>
          </w:tcPr>
          <w:p w14:paraId="2AC9061B" w14:textId="77777777" w:rsidR="002B4CA8" w:rsidRPr="002B4CA8" w:rsidRDefault="002B4CA8" w:rsidP="002B4CA8">
            <w:pPr>
              <w:spacing w:line="240" w:lineRule="auto"/>
              <w:jc w:val="left"/>
              <w:rPr>
                <w:rStyle w:val="Hyperlink"/>
                <w:rtl/>
              </w:rPr>
            </w:pPr>
            <w:hyperlink w:anchor="Seif20" w:tooltip="שמירת סמכויות" w:history="1">
              <w:r w:rsidRPr="002B4CA8">
                <w:rPr>
                  <w:rStyle w:val="Hyperlink"/>
                </w:rPr>
                <w:t>Go</w:t>
              </w:r>
            </w:hyperlink>
          </w:p>
        </w:tc>
        <w:tc>
          <w:tcPr>
            <w:tcW w:w="850" w:type="dxa"/>
          </w:tcPr>
          <w:p w14:paraId="7CFC1272"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0CED8FAC" w14:textId="77777777" w:rsidTr="002B4CA8">
        <w:tblPrEx>
          <w:tblCellMar>
            <w:top w:w="0" w:type="dxa"/>
            <w:bottom w:w="0" w:type="dxa"/>
          </w:tblCellMar>
        </w:tblPrEx>
        <w:tc>
          <w:tcPr>
            <w:tcW w:w="1247" w:type="dxa"/>
          </w:tcPr>
          <w:p w14:paraId="14B4EA1D" w14:textId="77777777" w:rsidR="002B4CA8" w:rsidRPr="002B4CA8" w:rsidRDefault="002B4CA8" w:rsidP="002B4CA8">
            <w:pPr>
              <w:spacing w:line="240" w:lineRule="auto"/>
              <w:jc w:val="left"/>
              <w:rPr>
                <w:rFonts w:cs="Frankruhel"/>
                <w:sz w:val="24"/>
                <w:rtl/>
              </w:rPr>
            </w:pPr>
            <w:r>
              <w:rPr>
                <w:rFonts w:cs="Times New Roman"/>
                <w:sz w:val="24"/>
                <w:rtl/>
              </w:rPr>
              <w:t xml:space="preserve">סעיף 21 </w:t>
            </w:r>
          </w:p>
        </w:tc>
        <w:tc>
          <w:tcPr>
            <w:tcW w:w="5669" w:type="dxa"/>
          </w:tcPr>
          <w:p w14:paraId="7B860A69" w14:textId="77777777" w:rsidR="002B4CA8" w:rsidRPr="002B4CA8" w:rsidRDefault="002B4CA8" w:rsidP="002B4CA8">
            <w:pPr>
              <w:spacing w:line="240" w:lineRule="auto"/>
              <w:jc w:val="left"/>
              <w:rPr>
                <w:rFonts w:cs="Frankruhel"/>
                <w:sz w:val="24"/>
                <w:rtl/>
              </w:rPr>
            </w:pPr>
            <w:r>
              <w:rPr>
                <w:rFonts w:cs="Times New Roman"/>
                <w:sz w:val="24"/>
                <w:rtl/>
              </w:rPr>
              <w:t>החלטת המוסד המכריע</w:t>
            </w:r>
          </w:p>
        </w:tc>
        <w:tc>
          <w:tcPr>
            <w:tcW w:w="567" w:type="dxa"/>
          </w:tcPr>
          <w:p w14:paraId="604A60F8" w14:textId="77777777" w:rsidR="002B4CA8" w:rsidRPr="002B4CA8" w:rsidRDefault="002B4CA8" w:rsidP="002B4CA8">
            <w:pPr>
              <w:spacing w:line="240" w:lineRule="auto"/>
              <w:jc w:val="left"/>
              <w:rPr>
                <w:rStyle w:val="Hyperlink"/>
                <w:rtl/>
              </w:rPr>
            </w:pPr>
            <w:hyperlink w:anchor="Seif21" w:tooltip="החלטת המוסד המכריע" w:history="1">
              <w:r w:rsidRPr="002B4CA8">
                <w:rPr>
                  <w:rStyle w:val="Hyperlink"/>
                </w:rPr>
                <w:t>Go</w:t>
              </w:r>
            </w:hyperlink>
          </w:p>
        </w:tc>
        <w:tc>
          <w:tcPr>
            <w:tcW w:w="850" w:type="dxa"/>
          </w:tcPr>
          <w:p w14:paraId="2076E9A1"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59F58653" w14:textId="77777777" w:rsidTr="002B4CA8">
        <w:tblPrEx>
          <w:tblCellMar>
            <w:top w:w="0" w:type="dxa"/>
            <w:bottom w:w="0" w:type="dxa"/>
          </w:tblCellMar>
        </w:tblPrEx>
        <w:tc>
          <w:tcPr>
            <w:tcW w:w="1247" w:type="dxa"/>
          </w:tcPr>
          <w:p w14:paraId="10AD6638" w14:textId="77777777" w:rsidR="002B4CA8" w:rsidRPr="002B4CA8" w:rsidRDefault="002B4CA8" w:rsidP="002B4CA8">
            <w:pPr>
              <w:spacing w:line="240" w:lineRule="auto"/>
              <w:jc w:val="left"/>
              <w:rPr>
                <w:rFonts w:cs="Frankruhel"/>
                <w:sz w:val="24"/>
                <w:rtl/>
              </w:rPr>
            </w:pPr>
            <w:r>
              <w:rPr>
                <w:rFonts w:cs="Times New Roman"/>
                <w:sz w:val="24"/>
                <w:rtl/>
              </w:rPr>
              <w:t xml:space="preserve">סעיף 22 </w:t>
            </w:r>
          </w:p>
        </w:tc>
        <w:tc>
          <w:tcPr>
            <w:tcW w:w="5669" w:type="dxa"/>
          </w:tcPr>
          <w:p w14:paraId="673736AD" w14:textId="77777777" w:rsidR="002B4CA8" w:rsidRPr="002B4CA8" w:rsidRDefault="002B4CA8" w:rsidP="002B4CA8">
            <w:pPr>
              <w:spacing w:line="240" w:lineRule="auto"/>
              <w:jc w:val="left"/>
              <w:rPr>
                <w:rFonts w:cs="Frankruhel"/>
                <w:sz w:val="24"/>
                <w:rtl/>
              </w:rPr>
            </w:pPr>
            <w:r>
              <w:rPr>
                <w:rFonts w:cs="Times New Roman"/>
                <w:sz w:val="24"/>
                <w:rtl/>
              </w:rPr>
              <w:t>סטיה מהוראות התקנות</w:t>
            </w:r>
          </w:p>
        </w:tc>
        <w:tc>
          <w:tcPr>
            <w:tcW w:w="567" w:type="dxa"/>
          </w:tcPr>
          <w:p w14:paraId="4C397DDD" w14:textId="77777777" w:rsidR="002B4CA8" w:rsidRPr="002B4CA8" w:rsidRDefault="002B4CA8" w:rsidP="002B4CA8">
            <w:pPr>
              <w:spacing w:line="240" w:lineRule="auto"/>
              <w:jc w:val="left"/>
              <w:rPr>
                <w:rStyle w:val="Hyperlink"/>
                <w:rtl/>
              </w:rPr>
            </w:pPr>
            <w:hyperlink w:anchor="Seif22" w:tooltip="סטיה מהוראות התקנות" w:history="1">
              <w:r w:rsidRPr="002B4CA8">
                <w:rPr>
                  <w:rStyle w:val="Hyperlink"/>
                </w:rPr>
                <w:t>Go</w:t>
              </w:r>
            </w:hyperlink>
          </w:p>
        </w:tc>
        <w:tc>
          <w:tcPr>
            <w:tcW w:w="850" w:type="dxa"/>
          </w:tcPr>
          <w:p w14:paraId="549E5A28"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5D4AB601" w14:textId="77777777" w:rsidTr="002B4CA8">
        <w:tblPrEx>
          <w:tblCellMar>
            <w:top w:w="0" w:type="dxa"/>
            <w:bottom w:w="0" w:type="dxa"/>
          </w:tblCellMar>
        </w:tblPrEx>
        <w:tc>
          <w:tcPr>
            <w:tcW w:w="1247" w:type="dxa"/>
          </w:tcPr>
          <w:p w14:paraId="3B2EF72B" w14:textId="77777777" w:rsidR="002B4CA8" w:rsidRPr="002B4CA8" w:rsidRDefault="002B4CA8" w:rsidP="002B4CA8">
            <w:pPr>
              <w:spacing w:line="240" w:lineRule="auto"/>
              <w:jc w:val="left"/>
              <w:rPr>
                <w:rFonts w:cs="Frankruhel"/>
                <w:sz w:val="24"/>
                <w:rtl/>
              </w:rPr>
            </w:pPr>
            <w:r>
              <w:rPr>
                <w:rFonts w:cs="Times New Roman"/>
                <w:sz w:val="24"/>
                <w:rtl/>
              </w:rPr>
              <w:t xml:space="preserve">סעיף 23 </w:t>
            </w:r>
          </w:p>
        </w:tc>
        <w:tc>
          <w:tcPr>
            <w:tcW w:w="5669" w:type="dxa"/>
          </w:tcPr>
          <w:p w14:paraId="13CCFE5F" w14:textId="77777777" w:rsidR="002B4CA8" w:rsidRPr="002B4CA8" w:rsidRDefault="002B4CA8" w:rsidP="002B4CA8">
            <w:pPr>
              <w:spacing w:line="240" w:lineRule="auto"/>
              <w:jc w:val="left"/>
              <w:rPr>
                <w:rFonts w:cs="Frankruhel"/>
                <w:sz w:val="24"/>
                <w:rtl/>
              </w:rPr>
            </w:pPr>
            <w:r>
              <w:rPr>
                <w:rFonts w:cs="Times New Roman"/>
                <w:sz w:val="24"/>
                <w:rtl/>
              </w:rPr>
              <w:t>קיום תוקף</w:t>
            </w:r>
          </w:p>
        </w:tc>
        <w:tc>
          <w:tcPr>
            <w:tcW w:w="567" w:type="dxa"/>
          </w:tcPr>
          <w:p w14:paraId="3A473C82" w14:textId="77777777" w:rsidR="002B4CA8" w:rsidRPr="002B4CA8" w:rsidRDefault="002B4CA8" w:rsidP="002B4CA8">
            <w:pPr>
              <w:spacing w:line="240" w:lineRule="auto"/>
              <w:jc w:val="left"/>
              <w:rPr>
                <w:rStyle w:val="Hyperlink"/>
                <w:rtl/>
              </w:rPr>
            </w:pPr>
            <w:hyperlink w:anchor="Seif23" w:tooltip="קיום תוקף" w:history="1">
              <w:r w:rsidRPr="002B4CA8">
                <w:rPr>
                  <w:rStyle w:val="Hyperlink"/>
                </w:rPr>
                <w:t>Go</w:t>
              </w:r>
            </w:hyperlink>
          </w:p>
        </w:tc>
        <w:tc>
          <w:tcPr>
            <w:tcW w:w="850" w:type="dxa"/>
          </w:tcPr>
          <w:p w14:paraId="59E91154"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21447279" w14:textId="77777777" w:rsidTr="002B4CA8">
        <w:tblPrEx>
          <w:tblCellMar>
            <w:top w:w="0" w:type="dxa"/>
            <w:bottom w:w="0" w:type="dxa"/>
          </w:tblCellMar>
        </w:tblPrEx>
        <w:tc>
          <w:tcPr>
            <w:tcW w:w="1247" w:type="dxa"/>
          </w:tcPr>
          <w:p w14:paraId="1635332F" w14:textId="77777777" w:rsidR="002B4CA8" w:rsidRPr="002B4CA8" w:rsidRDefault="002B4CA8" w:rsidP="002B4CA8">
            <w:pPr>
              <w:spacing w:line="240" w:lineRule="auto"/>
              <w:jc w:val="left"/>
              <w:rPr>
                <w:rFonts w:cs="Frankruhel"/>
                <w:sz w:val="24"/>
                <w:rtl/>
              </w:rPr>
            </w:pPr>
            <w:r>
              <w:rPr>
                <w:rFonts w:cs="Times New Roman"/>
                <w:sz w:val="24"/>
                <w:rtl/>
              </w:rPr>
              <w:t xml:space="preserve">סעיף 24 </w:t>
            </w:r>
          </w:p>
        </w:tc>
        <w:tc>
          <w:tcPr>
            <w:tcW w:w="5669" w:type="dxa"/>
          </w:tcPr>
          <w:p w14:paraId="11F95E5B" w14:textId="77777777" w:rsidR="002B4CA8" w:rsidRPr="002B4CA8" w:rsidRDefault="002B4CA8" w:rsidP="002B4CA8">
            <w:pPr>
              <w:spacing w:line="240" w:lineRule="auto"/>
              <w:jc w:val="left"/>
              <w:rPr>
                <w:rFonts w:cs="Frankruhel"/>
                <w:sz w:val="24"/>
                <w:rtl/>
              </w:rPr>
            </w:pPr>
            <w:r>
              <w:rPr>
                <w:rFonts w:cs="Times New Roman"/>
                <w:sz w:val="24"/>
                <w:rtl/>
              </w:rPr>
              <w:t>סמכות שיורית</w:t>
            </w:r>
          </w:p>
        </w:tc>
        <w:tc>
          <w:tcPr>
            <w:tcW w:w="567" w:type="dxa"/>
          </w:tcPr>
          <w:p w14:paraId="26A57917" w14:textId="77777777" w:rsidR="002B4CA8" w:rsidRPr="002B4CA8" w:rsidRDefault="002B4CA8" w:rsidP="002B4CA8">
            <w:pPr>
              <w:spacing w:line="240" w:lineRule="auto"/>
              <w:jc w:val="left"/>
              <w:rPr>
                <w:rStyle w:val="Hyperlink"/>
                <w:rtl/>
              </w:rPr>
            </w:pPr>
            <w:hyperlink w:anchor="Seif24" w:tooltip="סמכות שיורית" w:history="1">
              <w:r w:rsidRPr="002B4CA8">
                <w:rPr>
                  <w:rStyle w:val="Hyperlink"/>
                </w:rPr>
                <w:t>Go</w:t>
              </w:r>
            </w:hyperlink>
          </w:p>
        </w:tc>
        <w:tc>
          <w:tcPr>
            <w:tcW w:w="850" w:type="dxa"/>
          </w:tcPr>
          <w:p w14:paraId="35232B64"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4FA0992E" w14:textId="77777777" w:rsidTr="002B4CA8">
        <w:tblPrEx>
          <w:tblCellMar>
            <w:top w:w="0" w:type="dxa"/>
            <w:bottom w:w="0" w:type="dxa"/>
          </w:tblCellMar>
        </w:tblPrEx>
        <w:tc>
          <w:tcPr>
            <w:tcW w:w="1247" w:type="dxa"/>
          </w:tcPr>
          <w:p w14:paraId="59E848F3" w14:textId="77777777" w:rsidR="002B4CA8" w:rsidRPr="002B4CA8" w:rsidRDefault="002B4CA8" w:rsidP="002B4CA8">
            <w:pPr>
              <w:spacing w:line="240" w:lineRule="auto"/>
              <w:jc w:val="left"/>
              <w:rPr>
                <w:rFonts w:cs="Frankruhel"/>
                <w:sz w:val="24"/>
                <w:rtl/>
              </w:rPr>
            </w:pPr>
            <w:r>
              <w:rPr>
                <w:rFonts w:cs="Times New Roman"/>
                <w:sz w:val="24"/>
                <w:rtl/>
              </w:rPr>
              <w:t xml:space="preserve">סעיף 25 </w:t>
            </w:r>
          </w:p>
        </w:tc>
        <w:tc>
          <w:tcPr>
            <w:tcW w:w="5669" w:type="dxa"/>
          </w:tcPr>
          <w:p w14:paraId="3F436692" w14:textId="77777777" w:rsidR="002B4CA8" w:rsidRPr="002B4CA8" w:rsidRDefault="002B4CA8" w:rsidP="002B4CA8">
            <w:pPr>
              <w:spacing w:line="240" w:lineRule="auto"/>
              <w:jc w:val="left"/>
              <w:rPr>
                <w:rFonts w:cs="Frankruhel"/>
                <w:sz w:val="24"/>
                <w:rtl/>
              </w:rPr>
            </w:pPr>
            <w:r>
              <w:rPr>
                <w:rFonts w:cs="Times New Roman"/>
                <w:sz w:val="24"/>
                <w:rtl/>
              </w:rPr>
              <w:t>המצאת מסמכים</w:t>
            </w:r>
          </w:p>
        </w:tc>
        <w:tc>
          <w:tcPr>
            <w:tcW w:w="567" w:type="dxa"/>
          </w:tcPr>
          <w:p w14:paraId="17C2D625" w14:textId="77777777" w:rsidR="002B4CA8" w:rsidRPr="002B4CA8" w:rsidRDefault="002B4CA8" w:rsidP="002B4CA8">
            <w:pPr>
              <w:spacing w:line="240" w:lineRule="auto"/>
              <w:jc w:val="left"/>
              <w:rPr>
                <w:rStyle w:val="Hyperlink"/>
                <w:rtl/>
              </w:rPr>
            </w:pPr>
            <w:hyperlink w:anchor="Seif25" w:tooltip="המצאת מסמכים" w:history="1">
              <w:r w:rsidRPr="002B4CA8">
                <w:rPr>
                  <w:rStyle w:val="Hyperlink"/>
                </w:rPr>
                <w:t>Go</w:t>
              </w:r>
            </w:hyperlink>
          </w:p>
        </w:tc>
        <w:tc>
          <w:tcPr>
            <w:tcW w:w="850" w:type="dxa"/>
          </w:tcPr>
          <w:p w14:paraId="289DFA85"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4CA8" w:rsidRPr="002B4CA8" w14:paraId="483EA641" w14:textId="77777777" w:rsidTr="002B4CA8">
        <w:tblPrEx>
          <w:tblCellMar>
            <w:top w:w="0" w:type="dxa"/>
            <w:bottom w:w="0" w:type="dxa"/>
          </w:tblCellMar>
        </w:tblPrEx>
        <w:tc>
          <w:tcPr>
            <w:tcW w:w="1247" w:type="dxa"/>
          </w:tcPr>
          <w:p w14:paraId="5F2163E2" w14:textId="77777777" w:rsidR="002B4CA8" w:rsidRPr="002B4CA8" w:rsidRDefault="002B4CA8" w:rsidP="002B4CA8">
            <w:pPr>
              <w:spacing w:line="240" w:lineRule="auto"/>
              <w:jc w:val="left"/>
              <w:rPr>
                <w:rFonts w:cs="Frankruhel"/>
                <w:sz w:val="24"/>
                <w:rtl/>
              </w:rPr>
            </w:pPr>
            <w:r>
              <w:rPr>
                <w:rFonts w:cs="Times New Roman"/>
                <w:sz w:val="24"/>
                <w:rtl/>
              </w:rPr>
              <w:t xml:space="preserve">סעיף 26 </w:t>
            </w:r>
          </w:p>
        </w:tc>
        <w:tc>
          <w:tcPr>
            <w:tcW w:w="5669" w:type="dxa"/>
          </w:tcPr>
          <w:p w14:paraId="1F01BDB4" w14:textId="77777777" w:rsidR="002B4CA8" w:rsidRPr="002B4CA8" w:rsidRDefault="002B4CA8" w:rsidP="002B4CA8">
            <w:pPr>
              <w:spacing w:line="240" w:lineRule="auto"/>
              <w:jc w:val="left"/>
              <w:rPr>
                <w:rFonts w:cs="Frankruhel"/>
                <w:sz w:val="24"/>
                <w:rtl/>
              </w:rPr>
            </w:pPr>
            <w:r>
              <w:rPr>
                <w:rFonts w:cs="Times New Roman"/>
                <w:sz w:val="24"/>
                <w:rtl/>
              </w:rPr>
              <w:t>ביטול</w:t>
            </w:r>
          </w:p>
        </w:tc>
        <w:tc>
          <w:tcPr>
            <w:tcW w:w="567" w:type="dxa"/>
          </w:tcPr>
          <w:p w14:paraId="20D76BBF" w14:textId="77777777" w:rsidR="002B4CA8" w:rsidRPr="002B4CA8" w:rsidRDefault="002B4CA8" w:rsidP="002B4CA8">
            <w:pPr>
              <w:spacing w:line="240" w:lineRule="auto"/>
              <w:jc w:val="left"/>
              <w:rPr>
                <w:rStyle w:val="Hyperlink"/>
                <w:rtl/>
              </w:rPr>
            </w:pPr>
            <w:hyperlink w:anchor="Seif26" w:tooltip="ביטול" w:history="1">
              <w:r w:rsidRPr="002B4CA8">
                <w:rPr>
                  <w:rStyle w:val="Hyperlink"/>
                </w:rPr>
                <w:t>Go</w:t>
              </w:r>
            </w:hyperlink>
          </w:p>
        </w:tc>
        <w:tc>
          <w:tcPr>
            <w:tcW w:w="850" w:type="dxa"/>
          </w:tcPr>
          <w:p w14:paraId="034D5190"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B4CA8" w:rsidRPr="002B4CA8" w14:paraId="0E7F266A" w14:textId="77777777" w:rsidTr="002B4CA8">
        <w:tblPrEx>
          <w:tblCellMar>
            <w:top w:w="0" w:type="dxa"/>
            <w:bottom w:w="0" w:type="dxa"/>
          </w:tblCellMar>
        </w:tblPrEx>
        <w:tc>
          <w:tcPr>
            <w:tcW w:w="1247" w:type="dxa"/>
          </w:tcPr>
          <w:p w14:paraId="267CD426" w14:textId="77777777" w:rsidR="002B4CA8" w:rsidRPr="002B4CA8" w:rsidRDefault="002B4CA8" w:rsidP="002B4CA8">
            <w:pPr>
              <w:spacing w:line="240" w:lineRule="auto"/>
              <w:jc w:val="left"/>
              <w:rPr>
                <w:rFonts w:cs="Frankruhel"/>
                <w:sz w:val="24"/>
                <w:rtl/>
              </w:rPr>
            </w:pPr>
            <w:r>
              <w:rPr>
                <w:rFonts w:cs="Times New Roman"/>
                <w:sz w:val="24"/>
                <w:rtl/>
              </w:rPr>
              <w:t xml:space="preserve">סעיף 27 </w:t>
            </w:r>
          </w:p>
        </w:tc>
        <w:tc>
          <w:tcPr>
            <w:tcW w:w="5669" w:type="dxa"/>
          </w:tcPr>
          <w:p w14:paraId="1DE379B1" w14:textId="77777777" w:rsidR="002B4CA8" w:rsidRPr="002B4CA8" w:rsidRDefault="002B4CA8" w:rsidP="002B4CA8">
            <w:pPr>
              <w:spacing w:line="240" w:lineRule="auto"/>
              <w:jc w:val="left"/>
              <w:rPr>
                <w:rFonts w:cs="Frankruhel"/>
                <w:sz w:val="24"/>
                <w:rtl/>
              </w:rPr>
            </w:pPr>
            <w:r>
              <w:rPr>
                <w:rFonts w:cs="Times New Roman"/>
                <w:sz w:val="24"/>
                <w:rtl/>
              </w:rPr>
              <w:t>הוראות מעבר</w:t>
            </w:r>
          </w:p>
        </w:tc>
        <w:tc>
          <w:tcPr>
            <w:tcW w:w="567" w:type="dxa"/>
          </w:tcPr>
          <w:p w14:paraId="3AC04482" w14:textId="77777777" w:rsidR="002B4CA8" w:rsidRPr="002B4CA8" w:rsidRDefault="002B4CA8" w:rsidP="002B4CA8">
            <w:pPr>
              <w:spacing w:line="240" w:lineRule="auto"/>
              <w:jc w:val="left"/>
              <w:rPr>
                <w:rStyle w:val="Hyperlink"/>
                <w:rtl/>
              </w:rPr>
            </w:pPr>
            <w:hyperlink w:anchor="Seif27" w:tooltip="הוראות מעבר" w:history="1">
              <w:r w:rsidRPr="002B4CA8">
                <w:rPr>
                  <w:rStyle w:val="Hyperlink"/>
                </w:rPr>
                <w:t>Go</w:t>
              </w:r>
            </w:hyperlink>
          </w:p>
        </w:tc>
        <w:tc>
          <w:tcPr>
            <w:tcW w:w="850" w:type="dxa"/>
          </w:tcPr>
          <w:p w14:paraId="7D10F475" w14:textId="77777777" w:rsidR="002B4CA8" w:rsidRPr="002B4CA8" w:rsidRDefault="002B4CA8" w:rsidP="002B4C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3EF1785D" w14:textId="77777777" w:rsidR="00BC54D9" w:rsidRDefault="00BC54D9">
      <w:pPr>
        <w:pStyle w:val="big-header"/>
        <w:ind w:left="0" w:right="1134"/>
        <w:rPr>
          <w:rtl/>
        </w:rPr>
      </w:pPr>
    </w:p>
    <w:p w14:paraId="50A3690B" w14:textId="77777777" w:rsidR="00BC54D9" w:rsidRDefault="00BC54D9" w:rsidP="00F715F2">
      <w:pPr>
        <w:pStyle w:val="big-header"/>
        <w:ind w:left="0" w:right="1134"/>
        <w:rPr>
          <w:rStyle w:val="default"/>
          <w:rFonts w:cs="FrankRuehl" w:hint="cs"/>
          <w:rtl/>
        </w:rPr>
      </w:pPr>
      <w:r>
        <w:rPr>
          <w:rtl/>
        </w:rPr>
        <w:br w:type="page"/>
      </w:r>
      <w:r>
        <w:rPr>
          <w:rtl/>
        </w:rPr>
        <w:lastRenderedPageBreak/>
        <w:t>ת</w:t>
      </w:r>
      <w:r>
        <w:rPr>
          <w:rFonts w:hint="cs"/>
          <w:rtl/>
        </w:rPr>
        <w:t>קנות התכנון והבניה (סדרי נוהל בהתנגדויות לתכנית, סמכויות חוקר וסדרי עבודתו), ת</w:t>
      </w:r>
      <w:r>
        <w:rPr>
          <w:rtl/>
        </w:rPr>
        <w:t>ש</w:t>
      </w:r>
      <w:r>
        <w:rPr>
          <w:rFonts w:hint="cs"/>
          <w:rtl/>
        </w:rPr>
        <w:t>מ"ט-1989</w:t>
      </w:r>
      <w:r>
        <w:rPr>
          <w:rStyle w:val="default"/>
          <w:rtl/>
        </w:rPr>
        <w:footnoteReference w:customMarkFollows="1" w:id="1"/>
        <w:t>*</w:t>
      </w:r>
    </w:p>
    <w:p w14:paraId="28019BFF" w14:textId="77777777" w:rsidR="00BC54D9" w:rsidRDefault="00BC54D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הסעיפים 107א(ה) ו-265 לחוק התכנון והבניה, תשכ"ה-1965 (להלן </w:t>
      </w:r>
      <w:r>
        <w:rPr>
          <w:rStyle w:val="default"/>
          <w:rFonts w:cs="FrankRuehl"/>
          <w:rtl/>
        </w:rPr>
        <w:t>–</w:t>
      </w:r>
      <w:r>
        <w:rPr>
          <w:rStyle w:val="default"/>
          <w:rFonts w:cs="FrankRuehl" w:hint="cs"/>
          <w:rtl/>
        </w:rPr>
        <w:t xml:space="preserve"> החוק), ולאחר התייעצות עם המועצה הארצית לתכנון ולבניה, אני מתקין תקנות אלה: </w:t>
      </w:r>
    </w:p>
    <w:p w14:paraId="60CA46AC" w14:textId="77777777" w:rsidR="00BC54D9" w:rsidRDefault="00BC54D9">
      <w:pPr>
        <w:pStyle w:val="P00"/>
        <w:spacing w:before="72"/>
        <w:ind w:left="0" w:right="1134"/>
        <w:rPr>
          <w:rStyle w:val="default"/>
          <w:rFonts w:cs="FrankRuehl" w:hint="cs"/>
          <w:rtl/>
        </w:rPr>
      </w:pPr>
      <w:bookmarkStart w:id="0" w:name="Seif1"/>
      <w:bookmarkEnd w:id="0"/>
      <w:r>
        <w:rPr>
          <w:lang w:val="he-IL"/>
        </w:rPr>
        <w:pict w14:anchorId="604A0598">
          <v:rect id="_x0000_s1026" style="position:absolute;left:0;text-align:left;margin-left:464.5pt;margin-top:8.05pt;width:75.05pt;height:8pt;z-index:251641344" o:allowincell="f" filled="f" stroked="f" strokecolor="lime" strokeweight=".25pt">
            <v:textbox style="mso-next-textbox:#_x0000_s1026" inset="0,0,0,0">
              <w:txbxContent>
                <w:p w14:paraId="4F18C703" w14:textId="77777777" w:rsidR="00BC54D9" w:rsidRDefault="00BC54D9">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4B0627CC"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התנגדות" </w:t>
      </w:r>
      <w:r>
        <w:rPr>
          <w:rStyle w:val="default"/>
          <w:rFonts w:cs="FrankRuehl"/>
          <w:rtl/>
        </w:rPr>
        <w:t>–</w:t>
      </w:r>
      <w:r>
        <w:rPr>
          <w:rStyle w:val="default"/>
          <w:rFonts w:cs="FrankRuehl" w:hint="cs"/>
          <w:rtl/>
        </w:rPr>
        <w:t xml:space="preserve"> התנגדות לפי סעיפים 100 ו-101 לחוק, למעט התנגדות</w:t>
      </w:r>
      <w:r>
        <w:rPr>
          <w:rStyle w:val="default"/>
          <w:rFonts w:cs="FrankRuehl"/>
          <w:rtl/>
        </w:rPr>
        <w:t xml:space="preserve"> </w:t>
      </w:r>
      <w:r>
        <w:rPr>
          <w:rStyle w:val="default"/>
          <w:rFonts w:cs="FrankRuehl" w:hint="cs"/>
          <w:rtl/>
        </w:rPr>
        <w:t>שעניינה השפעה על טיסה צבאית;</w:t>
      </w:r>
    </w:p>
    <w:p w14:paraId="4631ABDA"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המוסד המכריע" </w:t>
      </w:r>
      <w:r>
        <w:rPr>
          <w:rStyle w:val="default"/>
          <w:rFonts w:cs="FrankRuehl"/>
          <w:rtl/>
        </w:rPr>
        <w:t>–</w:t>
      </w:r>
      <w:r>
        <w:rPr>
          <w:rStyle w:val="default"/>
          <w:rFonts w:cs="FrankRuehl" w:hint="cs"/>
          <w:rtl/>
        </w:rPr>
        <w:t xml:space="preserve"> המוסד המוסמך לדון ולהכריע בהתנגדויות על פי סעיפים 105 </w:t>
      </w:r>
      <w:r>
        <w:rPr>
          <w:rStyle w:val="default"/>
          <w:rFonts w:cs="FrankRuehl"/>
          <w:rtl/>
        </w:rPr>
        <w:br/>
      </w:r>
      <w:r>
        <w:rPr>
          <w:rStyle w:val="default"/>
          <w:rFonts w:cs="FrankRuehl" w:hint="cs"/>
          <w:rtl/>
        </w:rPr>
        <w:t xml:space="preserve">ו-109א(ב) לחוק. </w:t>
      </w:r>
    </w:p>
    <w:p w14:paraId="7A9AB5DD" w14:textId="77777777" w:rsidR="00BC54D9" w:rsidRDefault="00BC54D9">
      <w:pPr>
        <w:pStyle w:val="P00"/>
        <w:spacing w:before="72"/>
        <w:ind w:left="0" w:right="1134"/>
        <w:rPr>
          <w:rStyle w:val="default"/>
          <w:rFonts w:cs="FrankRuehl"/>
          <w:rtl/>
        </w:rPr>
      </w:pPr>
      <w:bookmarkStart w:id="1" w:name="Seif2"/>
      <w:bookmarkEnd w:id="1"/>
      <w:r>
        <w:rPr>
          <w:lang w:val="he-IL"/>
        </w:rPr>
        <w:pict w14:anchorId="12C58744">
          <v:rect id="_x0000_s1027" style="position:absolute;left:0;text-align:left;margin-left:464.5pt;margin-top:8.05pt;width:75.05pt;height:16pt;z-index:251642368" o:allowincell="f" filled="f" stroked="f" strokecolor="lime" strokeweight=".25pt">
            <v:textbox style="mso-next-textbox:#_x0000_s1027" inset="0,0,0,0">
              <w:txbxContent>
                <w:p w14:paraId="48390549" w14:textId="77777777" w:rsidR="00BC54D9" w:rsidRDefault="00BC54D9">
                  <w:pPr>
                    <w:spacing w:line="160" w:lineRule="exact"/>
                    <w:jc w:val="left"/>
                    <w:rPr>
                      <w:rFonts w:cs="Miriam"/>
                      <w:noProof/>
                      <w:szCs w:val="18"/>
                      <w:rtl/>
                    </w:rPr>
                  </w:pPr>
                  <w:r>
                    <w:rPr>
                      <w:rFonts w:cs="Miriam"/>
                      <w:szCs w:val="18"/>
                      <w:rtl/>
                    </w:rPr>
                    <w:t>מ</w:t>
                  </w:r>
                  <w:r>
                    <w:rPr>
                      <w:rFonts w:cs="Miriam" w:hint="cs"/>
                      <w:szCs w:val="18"/>
                      <w:rtl/>
                    </w:rPr>
                    <w:t xml:space="preserve">ועד להגשת </w:t>
                  </w:r>
                  <w:r>
                    <w:rPr>
                      <w:rFonts w:cs="Miriam"/>
                      <w:szCs w:val="18"/>
                      <w:rtl/>
                    </w:rPr>
                    <w:t>ה</w:t>
                  </w:r>
                  <w:r>
                    <w:rPr>
                      <w:rFonts w:cs="Miriam" w:hint="cs"/>
                      <w:szCs w:val="18"/>
                      <w:rtl/>
                    </w:rPr>
                    <w:t>תנגדות</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תנגדות תוגש במועד שנקבע לפי סעיף 102 לחוק. </w:t>
      </w:r>
    </w:p>
    <w:p w14:paraId="1C3FE02A" w14:textId="77777777" w:rsidR="00BC54D9" w:rsidRDefault="00BC54D9">
      <w:pPr>
        <w:pStyle w:val="P00"/>
        <w:spacing w:before="72"/>
        <w:ind w:left="0" w:right="1134"/>
        <w:rPr>
          <w:rStyle w:val="default"/>
          <w:rFonts w:cs="FrankRuehl" w:hint="cs"/>
          <w:rtl/>
        </w:rPr>
      </w:pPr>
      <w:bookmarkStart w:id="2" w:name="Seif3"/>
      <w:bookmarkEnd w:id="2"/>
      <w:r>
        <w:rPr>
          <w:lang w:val="he-IL"/>
        </w:rPr>
        <w:pict w14:anchorId="3EE2F686">
          <v:rect id="_x0000_s1028" style="position:absolute;left:0;text-align:left;margin-left:464.5pt;margin-top:8.05pt;width:75.05pt;height:16pt;z-index:251643392" o:allowincell="f" filled="f" stroked="f" strokecolor="lime" strokeweight=".25pt">
            <v:textbox style="mso-next-textbox:#_x0000_s1028" inset="0,0,0,0">
              <w:txbxContent>
                <w:p w14:paraId="04225F3C" w14:textId="77777777" w:rsidR="00BC54D9" w:rsidRDefault="00BC54D9">
                  <w:pPr>
                    <w:spacing w:line="160" w:lineRule="exact"/>
                    <w:jc w:val="left"/>
                    <w:rPr>
                      <w:rFonts w:cs="Miriam"/>
                      <w:noProof/>
                      <w:szCs w:val="18"/>
                      <w:rtl/>
                    </w:rPr>
                  </w:pPr>
                  <w:r>
                    <w:rPr>
                      <w:rFonts w:cs="Miriam"/>
                      <w:szCs w:val="18"/>
                      <w:rtl/>
                    </w:rPr>
                    <w:t>פ</w:t>
                  </w:r>
                  <w:r>
                    <w:rPr>
                      <w:rFonts w:cs="Miriam" w:hint="cs"/>
                      <w:szCs w:val="18"/>
                      <w:rtl/>
                    </w:rPr>
                    <w:t xml:space="preserve">רטים נוספים </w:t>
                  </w:r>
                  <w:r>
                    <w:rPr>
                      <w:rFonts w:cs="Miriam"/>
                      <w:szCs w:val="18"/>
                      <w:rtl/>
                    </w:rPr>
                    <w:t>ב</w:t>
                  </w:r>
                  <w:r>
                    <w:rPr>
                      <w:rFonts w:cs="Miriam" w:hint="cs"/>
                      <w:szCs w:val="18"/>
                      <w:rtl/>
                    </w:rPr>
                    <w:t>כתב ההתנגדות</w:t>
                  </w:r>
                </w:p>
              </w:txbxContent>
            </v:textbox>
            <w10:anchorlock/>
          </v:rect>
        </w:pict>
      </w:r>
      <w:r>
        <w:rPr>
          <w:rStyle w:val="big-number"/>
          <w:rFonts w:cs="Miriam"/>
          <w:rtl/>
        </w:rPr>
        <w:t>3.</w:t>
      </w:r>
      <w:r>
        <w:rPr>
          <w:rStyle w:val="big-number"/>
          <w:rFonts w:cs="Miriam"/>
          <w:rtl/>
        </w:rPr>
        <w:tab/>
      </w:r>
      <w:r>
        <w:rPr>
          <w:rStyle w:val="default"/>
          <w:rFonts w:cs="FrankRuehl"/>
          <w:rtl/>
        </w:rPr>
        <w:t>כ</w:t>
      </w:r>
      <w:r>
        <w:rPr>
          <w:rStyle w:val="default"/>
          <w:rFonts w:cs="FrankRuehl" w:hint="cs"/>
          <w:rtl/>
        </w:rPr>
        <w:t>תב ההתנגדות כאמור בסעיף 103א לחוק ייערך בארבעה עו</w:t>
      </w:r>
      <w:r>
        <w:rPr>
          <w:rStyle w:val="default"/>
          <w:rFonts w:cs="FrankRuehl"/>
          <w:rtl/>
        </w:rPr>
        <w:t>ת</w:t>
      </w:r>
      <w:r>
        <w:rPr>
          <w:rStyle w:val="default"/>
          <w:rFonts w:cs="FrankRuehl" w:hint="cs"/>
          <w:rtl/>
        </w:rPr>
        <w:t xml:space="preserve">קים, ובנוסף לנימוקי ההתנגדות יפרט </w:t>
      </w:r>
      <w:r>
        <w:rPr>
          <w:rStyle w:val="default"/>
          <w:rFonts w:cs="FrankRuehl"/>
          <w:rtl/>
        </w:rPr>
        <w:t>–</w:t>
      </w:r>
    </w:p>
    <w:p w14:paraId="59876EEB" w14:textId="77777777" w:rsidR="00BC54D9" w:rsidRDefault="00BC54D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את ענינו של המתנגד בקרקע, בבנין או בפרט תכנוני אחר שהתכנית נוגעת בהם, והאופן בו פוגעת התכנית בענין זה; ובהתנגדות לפי סעיף 101 לחוק </w:t>
      </w:r>
      <w:r>
        <w:rPr>
          <w:rStyle w:val="default"/>
          <w:rFonts w:cs="FrankRuehl"/>
          <w:rtl/>
        </w:rPr>
        <w:t>–</w:t>
      </w:r>
      <w:r>
        <w:rPr>
          <w:rStyle w:val="default"/>
          <w:rFonts w:cs="FrankRuehl" w:hint="cs"/>
          <w:rtl/>
        </w:rPr>
        <w:t xml:space="preserve"> את השפעת התכנית על הטיסה;</w:t>
      </w:r>
    </w:p>
    <w:p w14:paraId="3BB70809" w14:textId="77777777" w:rsidR="00BC54D9" w:rsidRDefault="00BC54D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 מענו של המתנגד, ואם היה מענו מחוץ לישראל </w:t>
      </w:r>
      <w:r>
        <w:rPr>
          <w:rStyle w:val="default"/>
          <w:rFonts w:cs="FrankRuehl"/>
          <w:rtl/>
        </w:rPr>
        <w:t>–</w:t>
      </w:r>
      <w:r>
        <w:rPr>
          <w:rStyle w:val="default"/>
          <w:rFonts w:cs="FrankRuehl" w:hint="cs"/>
          <w:rtl/>
        </w:rPr>
        <w:t xml:space="preserve"> המען ל</w:t>
      </w:r>
      <w:r>
        <w:rPr>
          <w:rStyle w:val="default"/>
          <w:rFonts w:cs="FrankRuehl"/>
          <w:rtl/>
        </w:rPr>
        <w:t>מ</w:t>
      </w:r>
      <w:r>
        <w:rPr>
          <w:rStyle w:val="default"/>
          <w:rFonts w:cs="FrankRuehl" w:hint="cs"/>
          <w:rtl/>
        </w:rPr>
        <w:t>סירת מסמכים בישראל.</w:t>
      </w:r>
    </w:p>
    <w:p w14:paraId="77BC12DD" w14:textId="77777777" w:rsidR="00BC54D9" w:rsidRDefault="00BC54D9">
      <w:pPr>
        <w:pStyle w:val="P00"/>
        <w:spacing w:before="72"/>
        <w:ind w:left="0" w:right="1134"/>
        <w:rPr>
          <w:rStyle w:val="default"/>
          <w:rFonts w:cs="FrankRuehl"/>
          <w:rtl/>
        </w:rPr>
      </w:pPr>
      <w:bookmarkStart w:id="3" w:name="Seif4"/>
      <w:bookmarkEnd w:id="3"/>
      <w:r>
        <w:rPr>
          <w:lang w:val="he-IL"/>
        </w:rPr>
        <w:pict w14:anchorId="24183CB6">
          <v:rect id="_x0000_s1029" style="position:absolute;left:0;text-align:left;margin-left:464.5pt;margin-top:8.05pt;width:75.05pt;height:24pt;z-index:251644416" o:allowincell="f" filled="f" stroked="f" strokecolor="lime" strokeweight=".25pt">
            <v:textbox style="mso-next-textbox:#_x0000_s1029" inset="0,0,0,0">
              <w:txbxContent>
                <w:p w14:paraId="2A2A756E"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 xml:space="preserve">עברת כתב </w:t>
                  </w:r>
                  <w:r>
                    <w:rPr>
                      <w:rFonts w:cs="Miriam"/>
                      <w:szCs w:val="18"/>
                      <w:rtl/>
                    </w:rPr>
                    <w:t>ה</w:t>
                  </w:r>
                  <w:r>
                    <w:rPr>
                      <w:rFonts w:cs="Miriam" w:hint="cs"/>
                      <w:szCs w:val="18"/>
                      <w:rtl/>
                    </w:rPr>
                    <w:t xml:space="preserve">התנגדות למוסד </w:t>
                  </w:r>
                  <w:r>
                    <w:rPr>
                      <w:rFonts w:cs="Miriam"/>
                      <w:szCs w:val="18"/>
                      <w:rtl/>
                    </w:rPr>
                    <w:t>ת</w:t>
                  </w:r>
                  <w:r>
                    <w:rPr>
                      <w:rFonts w:cs="Miriam" w:hint="cs"/>
                      <w:szCs w:val="18"/>
                      <w:rtl/>
                    </w:rPr>
                    <w:t>כנון אחר</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מחוזית תעביר עותק של כתב התנגדות לתכנית מיתאר מחוזית למועצה הארצית, לא יאוחר מ-30 ימים מתום המועד להגשת ההתנגדויות כאמור בסעיף 102 לחוק; שר הפנים רשאי, על-פי בקשת יושב ראש הועדה המחוזי</w:t>
      </w:r>
      <w:r>
        <w:rPr>
          <w:rStyle w:val="default"/>
          <w:rFonts w:cs="FrankRuehl"/>
          <w:rtl/>
        </w:rPr>
        <w:t>ת</w:t>
      </w:r>
      <w:r>
        <w:rPr>
          <w:rStyle w:val="default"/>
          <w:rFonts w:cs="FrankRuehl" w:hint="cs"/>
          <w:rtl/>
        </w:rPr>
        <w:t>, להאריך את המועד האמור.</w:t>
      </w:r>
    </w:p>
    <w:p w14:paraId="052CA113" w14:textId="77777777" w:rsidR="00BC54D9" w:rsidRDefault="00BC54D9">
      <w:pPr>
        <w:pStyle w:val="P00"/>
        <w:spacing w:before="72"/>
        <w:ind w:left="0" w:right="1134"/>
        <w:rPr>
          <w:rStyle w:val="default"/>
          <w:rFonts w:cs="FrankRuehl"/>
          <w:rtl/>
        </w:rPr>
      </w:pPr>
      <w:r>
        <w:rPr>
          <w:lang w:val="he-IL"/>
        </w:rPr>
        <w:pict w14:anchorId="50DDD746">
          <v:rect id="_x0000_s1030" style="position:absolute;left:0;text-align:left;margin-left:464.5pt;margin-top:8.05pt;width:75.05pt;height:8pt;z-index:251645440" o:allowincell="f" filled="f" stroked="f" strokecolor="lime" strokeweight=".25pt">
            <v:textbox style="mso-next-textbox:#_x0000_s1030" inset="0,0,0,0">
              <w:txbxContent>
                <w:p w14:paraId="0DB54D52"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בהתנגדות לתכנית שבסמכות ועדה מחוזית לפי סעיף 62 לחוק, ימציא המתנגד את ההתנגדות לועדה המחוזית ועותק לועדה המקומית הנוגעת בדבר, וכן ימציא ראיה על המצאת העותק לועדה המקומית ומועד ההמצאה.</w:t>
      </w:r>
    </w:p>
    <w:p w14:paraId="1C2C01E3" w14:textId="77777777" w:rsidR="00BC54D9" w:rsidRDefault="00BC54D9">
      <w:pPr>
        <w:pStyle w:val="P00"/>
        <w:spacing w:before="72"/>
        <w:ind w:left="0" w:right="1134"/>
        <w:rPr>
          <w:rStyle w:val="default"/>
          <w:rFonts w:cs="FrankRuehl" w:hint="cs"/>
          <w:rtl/>
        </w:rPr>
      </w:pPr>
      <w:r>
        <w:rPr>
          <w:lang w:val="he-IL"/>
        </w:rPr>
        <w:pict w14:anchorId="69988B5E">
          <v:rect id="_x0000_s1031" style="position:absolute;left:0;text-align:left;margin-left:464.5pt;margin-top:8.05pt;width:75.05pt;height:8pt;z-index:251646464" o:allowincell="f" filled="f" stroked="f" strokecolor="lime" strokeweight=".25pt">
            <v:textbox style="mso-next-textbox:#_x0000_s1031" inset="0,0,0,0">
              <w:txbxContent>
                <w:p w14:paraId="3A8F0D7E"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בהתנגדות לתכנית שבסמכות ועדה מקומית לפי סעיף 62א לחוק ימציא המתנגד את ההתנגדות לועדה המקומית ועותק לועדה המחוזית, וכן ימציא ראיה על המצאת העותק לועדה המחוזית ומועד ההמצאה.</w:t>
      </w:r>
    </w:p>
    <w:p w14:paraId="5F512CD7"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4" w:name="Rov30"/>
      <w:r>
        <w:rPr>
          <w:rStyle w:val="default"/>
          <w:rFonts w:cs="FrankRuehl" w:hint="cs"/>
          <w:vanish/>
          <w:color w:val="FF0000"/>
          <w:szCs w:val="20"/>
          <w:shd w:val="clear" w:color="auto" w:fill="FFFF99"/>
          <w:rtl/>
        </w:rPr>
        <w:t>מיום 1.1.1996</w:t>
      </w:r>
    </w:p>
    <w:p w14:paraId="483229F8"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780DE38" w14:textId="77777777" w:rsidR="00BC54D9" w:rsidRDefault="00BC54D9">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35D9DCFE" w14:textId="77777777" w:rsidR="00BC54D9" w:rsidRDefault="00BC54D9">
      <w:pPr>
        <w:pStyle w:val="P0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 xml:space="preserve">המתנגד ימציא עותק של כתב ההתנגדות לכל תכנית אחרת לוועדה המקומית וכן ימציא ראיה על המצאת עותק זה ומועד ההמצאה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לוועדה המחוזית.</w:t>
      </w:r>
    </w:p>
    <w:p w14:paraId="01FFBD2A" w14:textId="77777777" w:rsidR="00BC54D9" w:rsidRDefault="00BC54D9">
      <w:pPr>
        <w:pStyle w:val="P00"/>
        <w:spacing w:before="0"/>
        <w:ind w:left="0" w:right="1134"/>
        <w:rPr>
          <w:rStyle w:val="default"/>
          <w:rFonts w:cs="FrankRuehl"/>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בהתנגדות לתכנית שבסמכות ועדה מחוזית לפי סעיף 62 לחוק, ימציא המתנגד את ההתנגדות לועדה המחוזית ועותק לועדה המקומית הנוגעת בדבר, וכן ימציא ראיה על המצאת העותק לועדה המקומית ומועד ההמצאה.</w:t>
      </w:r>
    </w:p>
    <w:p w14:paraId="4B08B346" w14:textId="77777777" w:rsidR="00BC54D9" w:rsidRDefault="00BC54D9">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בהתנגדות לתכנית שבסמכות ועדה מקומית לפי סעיף 62א לחוק ימציא המתנגד את ההתנגדות לועדה המקומית ועותק לועדה המחוזית, וכן ימציא ראיה על המצאת העותק לועדה המחוזית ומועד ההמצאה.</w:t>
      </w:r>
      <w:bookmarkEnd w:id="4"/>
    </w:p>
    <w:p w14:paraId="27D2550F" w14:textId="77777777" w:rsidR="00BC54D9" w:rsidRDefault="00BC54D9">
      <w:pPr>
        <w:pStyle w:val="P00"/>
        <w:spacing w:before="72"/>
        <w:ind w:left="0" w:right="1134"/>
        <w:rPr>
          <w:rStyle w:val="default"/>
          <w:rFonts w:cs="FrankRuehl"/>
          <w:rtl/>
        </w:rPr>
      </w:pPr>
      <w:bookmarkStart w:id="5" w:name="Seif5"/>
      <w:bookmarkEnd w:id="5"/>
      <w:r>
        <w:rPr>
          <w:lang w:val="he-IL"/>
        </w:rPr>
        <w:pict w14:anchorId="1C27876B">
          <v:rect id="_x0000_s1032" style="position:absolute;left:0;text-align:left;margin-left:464.5pt;margin-top:8.05pt;width:75.05pt;height:16pt;z-index:251647488" o:allowincell="f" filled="f" stroked="f" strokecolor="lime" strokeweight=".25pt">
            <v:textbox style="mso-next-textbox:#_x0000_s1032" inset="0,0,0,0">
              <w:txbxContent>
                <w:p w14:paraId="7717E887" w14:textId="77777777" w:rsidR="00BC54D9" w:rsidRDefault="00BC54D9">
                  <w:pPr>
                    <w:spacing w:line="160" w:lineRule="exact"/>
                    <w:jc w:val="left"/>
                    <w:rPr>
                      <w:rFonts w:cs="Miriam"/>
                      <w:noProof/>
                      <w:szCs w:val="18"/>
                      <w:rtl/>
                    </w:rPr>
                  </w:pPr>
                  <w:r>
                    <w:rPr>
                      <w:rFonts w:cs="Miriam"/>
                      <w:szCs w:val="18"/>
                      <w:rtl/>
                    </w:rPr>
                    <w:t>ח</w:t>
                  </w:r>
                  <w:r>
                    <w:rPr>
                      <w:rFonts w:cs="Miriam" w:hint="cs"/>
                      <w:szCs w:val="18"/>
                      <w:rtl/>
                    </w:rPr>
                    <w:t xml:space="preserve">וות דעת של </w:t>
                  </w:r>
                  <w:r>
                    <w:rPr>
                      <w:rFonts w:cs="Miriam"/>
                      <w:szCs w:val="18"/>
                      <w:rtl/>
                    </w:rPr>
                    <w:t>ה</w:t>
                  </w:r>
                  <w:r>
                    <w:rPr>
                      <w:rFonts w:cs="Miriam" w:hint="cs"/>
                      <w:szCs w:val="18"/>
                      <w:rtl/>
                    </w:rPr>
                    <w:t>ועדה המקומית</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תישמע הטענה שהעתק חוות הדעת של הוועדה המקומ</w:t>
      </w:r>
      <w:r>
        <w:rPr>
          <w:rStyle w:val="default"/>
          <w:rFonts w:cs="FrankRuehl"/>
          <w:rtl/>
        </w:rPr>
        <w:t>י</w:t>
      </w:r>
      <w:r>
        <w:rPr>
          <w:rStyle w:val="default"/>
          <w:rFonts w:cs="FrankRuehl" w:hint="cs"/>
          <w:rtl/>
        </w:rPr>
        <w:t>ת לא נשלח למתנגד, אלא בידי אותו מתנגד ובהזדמנות הראשונה.</w:t>
      </w:r>
    </w:p>
    <w:p w14:paraId="4B15D5A6" w14:textId="77777777" w:rsidR="00BC54D9" w:rsidRDefault="00BC54D9">
      <w:pPr>
        <w:pStyle w:val="P00"/>
        <w:spacing w:before="72"/>
        <w:ind w:left="0" w:right="1134"/>
        <w:rPr>
          <w:rStyle w:val="default"/>
          <w:rFonts w:cs="FrankRuehl" w:hint="cs"/>
          <w:rtl/>
        </w:rPr>
      </w:pPr>
      <w:r>
        <w:rPr>
          <w:lang w:val="he-IL"/>
        </w:rPr>
        <w:pict w14:anchorId="3382C76C">
          <v:rect id="_x0000_s1033" style="position:absolute;left:0;text-align:left;margin-left:464.5pt;margin-top:8.05pt;width:75.05pt;height:8pt;z-index:251648512" o:allowincell="f" filled="f" stroked="f" strokecolor="lime" strokeweight=".25pt">
            <v:textbox style="mso-next-textbox:#_x0000_s1033" inset="0,0,0,0">
              <w:txbxContent>
                <w:p w14:paraId="264B0A60"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יוחל בדיון בהתנגדויות לתכנית לפני הגשת חוות דעת כמפורט לעיל למוסד המכריע, או לפני תום המועד להגשתה, לפי המוקדם </w:t>
      </w:r>
      <w:r>
        <w:rPr>
          <w:rStyle w:val="default"/>
          <w:rFonts w:cs="FrankRuehl"/>
          <w:rtl/>
        </w:rPr>
        <w:t>–</w:t>
      </w:r>
    </w:p>
    <w:p w14:paraId="1FB219CC" w14:textId="77777777" w:rsidR="00BC54D9" w:rsidRDefault="00BC54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בתכנית מחוזית </w:t>
      </w:r>
      <w:r>
        <w:rPr>
          <w:rStyle w:val="default"/>
          <w:rFonts w:cs="FrankRuehl"/>
          <w:rtl/>
        </w:rPr>
        <w:t>–</w:t>
      </w:r>
      <w:r>
        <w:rPr>
          <w:rStyle w:val="default"/>
          <w:rFonts w:cs="FrankRuehl" w:hint="cs"/>
          <w:rtl/>
        </w:rPr>
        <w:t xml:space="preserve"> חוות דעת של הועדה המחוזית;</w:t>
      </w:r>
    </w:p>
    <w:p w14:paraId="0E946E72" w14:textId="77777777" w:rsidR="00BC54D9" w:rsidRDefault="00BC54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בתכנית </w:t>
      </w:r>
      <w:r>
        <w:rPr>
          <w:rStyle w:val="default"/>
          <w:rFonts w:cs="FrankRuehl"/>
          <w:rtl/>
        </w:rPr>
        <w:t>ש</w:t>
      </w:r>
      <w:r>
        <w:rPr>
          <w:rStyle w:val="default"/>
          <w:rFonts w:cs="FrankRuehl" w:hint="cs"/>
          <w:rtl/>
        </w:rPr>
        <w:t xml:space="preserve">בסמכות ועדה מחוזית </w:t>
      </w:r>
      <w:r>
        <w:rPr>
          <w:rStyle w:val="default"/>
          <w:rFonts w:cs="FrankRuehl"/>
          <w:rtl/>
        </w:rPr>
        <w:t>–</w:t>
      </w:r>
      <w:r>
        <w:rPr>
          <w:rStyle w:val="default"/>
          <w:rFonts w:cs="FrankRuehl" w:hint="cs"/>
          <w:rtl/>
        </w:rPr>
        <w:t xml:space="preserve"> חוות דעת של הועדה המקומית;</w:t>
      </w:r>
    </w:p>
    <w:p w14:paraId="6F5DBBE4" w14:textId="77777777" w:rsidR="00BC54D9" w:rsidRDefault="00BC54D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בתכנית שבסמכות ועדה מקומית </w:t>
      </w:r>
      <w:r>
        <w:rPr>
          <w:rStyle w:val="default"/>
          <w:rFonts w:cs="FrankRuehl"/>
          <w:rtl/>
        </w:rPr>
        <w:t>–</w:t>
      </w:r>
      <w:r>
        <w:rPr>
          <w:rStyle w:val="default"/>
          <w:rFonts w:cs="FrankRuehl" w:hint="cs"/>
          <w:rtl/>
        </w:rPr>
        <w:t xml:space="preserve"> חוות דעת של מתכנן המחוז.</w:t>
      </w:r>
    </w:p>
    <w:p w14:paraId="79FE07AB"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6" w:name="Rov31"/>
      <w:r>
        <w:rPr>
          <w:rStyle w:val="default"/>
          <w:rFonts w:cs="FrankRuehl" w:hint="cs"/>
          <w:vanish/>
          <w:color w:val="FF0000"/>
          <w:szCs w:val="20"/>
          <w:shd w:val="clear" w:color="auto" w:fill="FFFF99"/>
          <w:rtl/>
        </w:rPr>
        <w:t>מיום 1.1.1996</w:t>
      </w:r>
    </w:p>
    <w:p w14:paraId="2179366A"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2294DC2" w14:textId="77777777" w:rsidR="00BC54D9" w:rsidRDefault="00BC54D9">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4598EFBB" w14:textId="77777777" w:rsidR="00BC54D9" w:rsidRDefault="00BC54D9">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תקנת משנה 5(ב)</w:t>
      </w:r>
    </w:p>
    <w:p w14:paraId="1731B420" w14:textId="77777777" w:rsidR="00BC54D9" w:rsidRDefault="00BC54D9">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68D7E546" w14:textId="77777777" w:rsidR="00BC54D9" w:rsidRDefault="00BC54D9">
      <w:pPr>
        <w:pStyle w:val="P00"/>
        <w:spacing w:before="0"/>
        <w:ind w:left="0" w:right="1134"/>
        <w:rPr>
          <w:rStyle w:val="default"/>
          <w:rFonts w:cs="FrankRuehl" w:hint="cs"/>
          <w:strike/>
          <w:sz w:val="2"/>
          <w:szCs w:val="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לא יוחל בדיון בהתנגדויות לפני הגשת חוות הדעת של הוועדה המקומית כאמור בסעיף 1060א) לחוק או לפני תום המועד להגשתה, לפי המוקדם.</w:t>
      </w:r>
      <w:bookmarkEnd w:id="6"/>
    </w:p>
    <w:p w14:paraId="3D838A5E" w14:textId="77777777" w:rsidR="00BC54D9" w:rsidRDefault="00BC54D9">
      <w:pPr>
        <w:pStyle w:val="P00"/>
        <w:spacing w:before="72"/>
        <w:ind w:left="0" w:right="1134"/>
        <w:rPr>
          <w:rStyle w:val="default"/>
          <w:rFonts w:cs="FrankRuehl"/>
          <w:rtl/>
        </w:rPr>
      </w:pPr>
      <w:bookmarkStart w:id="7" w:name="Seif6"/>
      <w:bookmarkEnd w:id="7"/>
      <w:r>
        <w:rPr>
          <w:lang w:val="he-IL"/>
        </w:rPr>
        <w:pict w14:anchorId="3B2952E0">
          <v:rect id="_x0000_s1034" style="position:absolute;left:0;text-align:left;margin-left:464.5pt;margin-top:8.05pt;width:75.05pt;height:28.6pt;z-index:251649536" o:allowincell="f" filled="f" stroked="f" strokecolor="lime" strokeweight=".25pt">
            <v:textbox style="mso-next-textbox:#_x0000_s1034" inset="0,0,0,0">
              <w:txbxContent>
                <w:p w14:paraId="695C4584" w14:textId="77777777" w:rsidR="00BC54D9" w:rsidRDefault="00BC54D9">
                  <w:pPr>
                    <w:spacing w:line="160" w:lineRule="exact"/>
                    <w:jc w:val="left"/>
                    <w:rPr>
                      <w:rFonts w:cs="Miriam" w:hint="cs"/>
                      <w:szCs w:val="18"/>
                      <w:rtl/>
                    </w:rPr>
                  </w:pPr>
                  <w:r>
                    <w:rPr>
                      <w:rFonts w:cs="Miriam"/>
                      <w:szCs w:val="18"/>
                      <w:rtl/>
                    </w:rPr>
                    <w:t>מ</w:t>
                  </w:r>
                  <w:r>
                    <w:rPr>
                      <w:rFonts w:cs="Miriam" w:hint="cs"/>
                      <w:szCs w:val="18"/>
                      <w:rtl/>
                    </w:rPr>
                    <w:t xml:space="preserve">ודעה על </w:t>
                  </w:r>
                  <w:r>
                    <w:rPr>
                      <w:rFonts w:cs="Miriam"/>
                      <w:szCs w:val="18"/>
                      <w:rtl/>
                    </w:rPr>
                    <w:t>פ</w:t>
                  </w:r>
                  <w:r>
                    <w:rPr>
                      <w:rFonts w:cs="Miriam" w:hint="cs"/>
                      <w:szCs w:val="18"/>
                      <w:rtl/>
                    </w:rPr>
                    <w:t>תיחת הדיון</w:t>
                  </w:r>
                </w:p>
                <w:p w14:paraId="13E3CDC5" w14:textId="77777777" w:rsidR="00BC54D9" w:rsidRDefault="00BC54D9">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ארבעה עשר ימים לפחות לפני המועד לפתיחת הדיון בהתנגדות </w:t>
      </w:r>
      <w:r>
        <w:rPr>
          <w:rStyle w:val="default"/>
          <w:rFonts w:cs="FrankRuehl"/>
          <w:rtl/>
        </w:rPr>
        <w:t xml:space="preserve">ישלח המוסד המכריע הזמנות בדואר רשום או בפקסימילה למתנגדים ולמוזמנים הנוספים לפי סעיף 107 לחוק; </w:t>
      </w:r>
      <w:r>
        <w:rPr>
          <w:rStyle w:val="default"/>
          <w:rFonts w:cs="FrankRuehl"/>
          <w:rtl/>
        </w:rPr>
        <w:lastRenderedPageBreak/>
        <w:t>וכן יפרסם</w:t>
      </w:r>
      <w:r>
        <w:rPr>
          <w:rStyle w:val="default"/>
          <w:rFonts w:cs="FrankRuehl" w:hint="cs"/>
          <w:rtl/>
        </w:rPr>
        <w:t xml:space="preserve"> מודעה על קיום הדיון במקומות שבהם מתפרסמות ההודעות על הפקדת תכניות באותו מקום, לפי סעיף 89(ב) לחוק.</w:t>
      </w:r>
    </w:p>
    <w:p w14:paraId="7A600D1D"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מודעה תפרט, בנוסף למקום הדיון ולמועדו, את אלה:</w:t>
      </w:r>
    </w:p>
    <w:p w14:paraId="51E410FD" w14:textId="77777777" w:rsidR="00BC54D9" w:rsidRDefault="00BC54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התכנית שעליה הוגשו ההתנגדות או ההתנגדויות;</w:t>
      </w:r>
    </w:p>
    <w:p w14:paraId="356C92B3" w14:textId="77777777" w:rsidR="00BC54D9" w:rsidRDefault="00BC54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עיקר הוראות התכנית;</w:t>
      </w:r>
    </w:p>
    <w:p w14:paraId="2144C03C" w14:textId="77777777" w:rsidR="00BC54D9" w:rsidRDefault="00BC54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תחום התכנית כמתואר בה;</w:t>
      </w:r>
    </w:p>
    <w:p w14:paraId="658F8427" w14:textId="77777777" w:rsidR="00BC54D9" w:rsidRDefault="00BC54D9">
      <w:pPr>
        <w:pStyle w:val="P22"/>
        <w:spacing w:before="72"/>
        <w:ind w:left="1021" w:right="1134"/>
        <w:rPr>
          <w:rStyle w:val="default"/>
          <w:rFonts w:cs="FrankRuehl"/>
          <w:rtl/>
        </w:rPr>
      </w:pPr>
      <w:r>
        <w:rPr>
          <w:rtl/>
          <w:lang w:val="he-IL"/>
        </w:rPr>
        <w:pict w14:anchorId="3B5D30A5">
          <v:shapetype id="_x0000_t202" coordsize="21600,21600" o:spt="202" path="m,l,21600r21600,l21600,xe">
            <v:stroke joinstyle="miter"/>
            <v:path gradientshapeok="t" o:connecttype="rect"/>
          </v:shapetype>
          <v:shape id="_x0000_s1058" type="#_x0000_t202" style="position:absolute;left:0;text-align:left;margin-left:470.25pt;margin-top:7.1pt;width:1in;height:10.6pt;z-index:251673088" filled="f" stroked="f">
            <v:textbox inset="1mm,0,1mm,0">
              <w:txbxContent>
                <w:p w14:paraId="72948B6A" w14:textId="77777777" w:rsidR="00BC54D9" w:rsidRDefault="00BC54D9">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(4)</w:t>
      </w:r>
      <w:r>
        <w:rPr>
          <w:rStyle w:val="default"/>
          <w:rFonts w:cs="FrankRuehl"/>
          <w:rtl/>
        </w:rPr>
        <w:tab/>
      </w:r>
      <w:r>
        <w:rPr>
          <w:rStyle w:val="default"/>
          <w:rFonts w:cs="FrankRuehl" w:hint="cs"/>
          <w:rtl/>
        </w:rPr>
        <w:t xml:space="preserve">(נמחקה). </w:t>
      </w:r>
    </w:p>
    <w:p w14:paraId="4DCDBB83" w14:textId="77777777" w:rsidR="00BC54D9" w:rsidRDefault="00BC54D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ייפסל דיון בהתנגדות מחמת זה בלבד שחלו פגמים במודעה לפי תקנה זו, למעט טעויות בשם התכנית או במקום הדיון או במועדו.</w:t>
      </w:r>
    </w:p>
    <w:p w14:paraId="689F6748"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8" w:name="Rov32"/>
      <w:r>
        <w:rPr>
          <w:rStyle w:val="default"/>
          <w:rFonts w:cs="FrankRuehl" w:hint="cs"/>
          <w:vanish/>
          <w:color w:val="FF0000"/>
          <w:szCs w:val="20"/>
          <w:shd w:val="clear" w:color="auto" w:fill="FFFF99"/>
          <w:rtl/>
        </w:rPr>
        <w:t>מיום 15.8.2006</w:t>
      </w:r>
    </w:p>
    <w:p w14:paraId="464A1510"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2316F3D6" w14:textId="77777777" w:rsidR="00BC54D9" w:rsidRDefault="00BC54D9">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תשס"ו מס' 6499</w:t>
        </w:r>
      </w:hyperlink>
      <w:r>
        <w:rPr>
          <w:rStyle w:val="default"/>
          <w:rFonts w:cs="FrankRuehl" w:hint="cs"/>
          <w:vanish/>
          <w:szCs w:val="20"/>
          <w:shd w:val="clear" w:color="auto" w:fill="FFFF99"/>
          <w:rtl/>
        </w:rPr>
        <w:t xml:space="preserve"> מיום 16.7.2006 עמ' 992</w:t>
      </w:r>
    </w:p>
    <w:p w14:paraId="4295173C" w14:textId="77777777" w:rsidR="00BC54D9" w:rsidRDefault="00BC54D9">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ארבעה עשר ימים לפחות לפני המועד לפתיחת הדיון בהתנגדות </w:t>
      </w:r>
      <w:r>
        <w:rPr>
          <w:rStyle w:val="default"/>
          <w:rFonts w:cs="FrankRuehl" w:hint="cs"/>
          <w:strike/>
          <w:vanish/>
          <w:sz w:val="22"/>
          <w:szCs w:val="22"/>
          <w:shd w:val="clear" w:color="auto" w:fill="FFFF99"/>
          <w:rtl/>
        </w:rPr>
        <w:t>יפרסם המוסד המכריע</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ישלח המוסד המכריע הזמנות בדואר רשום או בפקסימילה למתנגדים ולמוזמנים הנוספים לפי סעיף 107 לחוק; וכן יפרסם</w:t>
      </w:r>
      <w:r>
        <w:rPr>
          <w:rStyle w:val="default"/>
          <w:rFonts w:cs="FrankRuehl" w:hint="cs"/>
          <w:vanish/>
          <w:sz w:val="22"/>
          <w:szCs w:val="22"/>
          <w:shd w:val="clear" w:color="auto" w:fill="FFFF99"/>
          <w:rtl/>
        </w:rPr>
        <w:t xml:space="preserve"> מודעה על קיום הדיון במקומות שבהם מתפרסמות ההודעות על הפקדת תכניות באותו מקום, לפי סעיף 89(ב) לחוק.</w:t>
      </w:r>
    </w:p>
    <w:p w14:paraId="6CA91F01" w14:textId="77777777" w:rsidR="00BC54D9" w:rsidRDefault="00BC54D9">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מודעה תפרט, בנוסף למקום הדיון ולמועדו, את אלה:</w:t>
      </w:r>
    </w:p>
    <w:p w14:paraId="2F174AC5" w14:textId="77777777" w:rsidR="00BC54D9" w:rsidRDefault="00BC54D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שם התכנית שעליה הוגשו ההתנגדות או ההתנגדויות;</w:t>
      </w:r>
    </w:p>
    <w:p w14:paraId="2B9C4681" w14:textId="77777777" w:rsidR="00BC54D9" w:rsidRDefault="00BC54D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עיקר הוראות התכנית;</w:t>
      </w:r>
    </w:p>
    <w:p w14:paraId="25497BA9" w14:textId="77777777" w:rsidR="00BC54D9" w:rsidRDefault="00BC54D9">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תחום התכנית כמתואר בה;</w:t>
      </w:r>
    </w:p>
    <w:p w14:paraId="0F19D019" w14:textId="77777777" w:rsidR="00BC54D9" w:rsidRDefault="00BC54D9">
      <w:pPr>
        <w:pStyle w:val="P22"/>
        <w:spacing w:before="0"/>
        <w:ind w:left="1021" w:right="1134"/>
        <w:rPr>
          <w:rStyle w:val="default"/>
          <w:rFonts w:cs="FrankRuehl"/>
          <w:strike/>
          <w:sz w:val="2"/>
          <w:szCs w:val="2"/>
          <w:rtl/>
        </w:rPr>
      </w:pPr>
      <w:r>
        <w:rPr>
          <w:rStyle w:val="default"/>
          <w:rFonts w:cs="FrankRuehl"/>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שמות המתנגדים שהוזמנו, זולת אם כל המתנגדים לתכנית הוזמנו לאותו מועד; אולם אם נחתמה התנגדות בידי מספר בנ</w:t>
      </w:r>
      <w:r>
        <w:rPr>
          <w:rStyle w:val="default"/>
          <w:rFonts w:cs="FrankRuehl"/>
          <w:strike/>
          <w:vanish/>
          <w:sz w:val="22"/>
          <w:szCs w:val="22"/>
          <w:shd w:val="clear" w:color="auto" w:fill="FFFF99"/>
          <w:rtl/>
        </w:rPr>
        <w:t>י</w:t>
      </w:r>
      <w:r>
        <w:rPr>
          <w:rStyle w:val="default"/>
          <w:rFonts w:cs="FrankRuehl" w:hint="cs"/>
          <w:strike/>
          <w:vanish/>
          <w:sz w:val="22"/>
          <w:szCs w:val="22"/>
          <w:shd w:val="clear" w:color="auto" w:fill="FFFF99"/>
          <w:rtl/>
        </w:rPr>
        <w:t xml:space="preserve"> אדם או הוגשו מספר התנגדויות בנוסח או בתוכן זהה או דומה, די באזכור שמו של אחד מהם ובציון מספר המתנגדים הנוספים כאמור. </w:t>
      </w:r>
      <w:bookmarkEnd w:id="8"/>
    </w:p>
    <w:p w14:paraId="6C51106B" w14:textId="77777777" w:rsidR="00BC54D9" w:rsidRDefault="00BC54D9">
      <w:pPr>
        <w:pStyle w:val="P00"/>
        <w:spacing w:before="72"/>
        <w:ind w:left="0" w:right="1134"/>
        <w:rPr>
          <w:rStyle w:val="default"/>
          <w:rFonts w:cs="FrankRuehl"/>
          <w:rtl/>
        </w:rPr>
      </w:pPr>
      <w:bookmarkStart w:id="9" w:name="Seif7"/>
      <w:bookmarkEnd w:id="9"/>
      <w:r>
        <w:rPr>
          <w:lang w:val="he-IL"/>
        </w:rPr>
        <w:pict w14:anchorId="011FF88C">
          <v:rect id="_x0000_s1035" style="position:absolute;left:0;text-align:left;margin-left:464.5pt;margin-top:8.05pt;width:75.05pt;height:24pt;z-index:251650560" o:allowincell="f" filled="f" stroked="f" strokecolor="lime" strokeweight=".25pt">
            <v:textbox style="mso-next-textbox:#_x0000_s1035" inset="0,0,0,0">
              <w:txbxContent>
                <w:p w14:paraId="7E15B5E5" w14:textId="77777777" w:rsidR="00BC54D9" w:rsidRDefault="00BC54D9">
                  <w:pPr>
                    <w:spacing w:line="160" w:lineRule="exact"/>
                    <w:jc w:val="left"/>
                    <w:rPr>
                      <w:rFonts w:cs="Miriam"/>
                      <w:noProof/>
                      <w:szCs w:val="18"/>
                      <w:rtl/>
                    </w:rPr>
                  </w:pPr>
                  <w:r>
                    <w:rPr>
                      <w:rFonts w:cs="Miriam"/>
                      <w:szCs w:val="18"/>
                      <w:rtl/>
                    </w:rPr>
                    <w:t>מ</w:t>
                  </w:r>
                  <w:r>
                    <w:rPr>
                      <w:rFonts w:cs="Miriam" w:hint="cs"/>
                      <w:szCs w:val="18"/>
                      <w:rtl/>
                    </w:rPr>
                    <w:t>ח</w:t>
                  </w:r>
                  <w:r>
                    <w:rPr>
                      <w:rFonts w:cs="Miriam"/>
                      <w:szCs w:val="18"/>
                      <w:rtl/>
                    </w:rPr>
                    <w:t>י</w:t>
                  </w:r>
                  <w:r>
                    <w:rPr>
                      <w:rFonts w:cs="Miriam" w:hint="cs"/>
                      <w:szCs w:val="18"/>
                      <w:rtl/>
                    </w:rPr>
                    <w:t xml:space="preserve">קה על הסף </w:t>
                  </w:r>
                  <w:r>
                    <w:rPr>
                      <w:rFonts w:cs="Miriam"/>
                      <w:szCs w:val="18"/>
                      <w:rtl/>
                    </w:rPr>
                    <w:t>ות</w:t>
                  </w:r>
                  <w:r>
                    <w:rPr>
                      <w:rFonts w:cs="Miriam" w:hint="cs"/>
                      <w:szCs w:val="18"/>
                      <w:rtl/>
                    </w:rPr>
                    <w:t>יקון התנגדות</w:t>
                  </w:r>
                </w:p>
                <w:p w14:paraId="21F01A90"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נתקיים בהתנגדות תנאי שנקבע לענין הגשתה בתקנות אלה, רשאי המוסד המכריע, לאחר שניתנה למתנגד הזדמנות להביא בפניו את טענותיו, למחוק את ההתנגדות על הסף.</w:t>
      </w:r>
    </w:p>
    <w:p w14:paraId="7CEFC1B1" w14:textId="77777777" w:rsidR="00BC54D9" w:rsidRDefault="00BC54D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נתקיים בהתנגדות תנאי שנקבע לענין הגשתה בתקנות אלה, רשאי המ</w:t>
      </w:r>
      <w:r>
        <w:rPr>
          <w:rStyle w:val="default"/>
          <w:rFonts w:cs="FrankRuehl"/>
          <w:rtl/>
        </w:rPr>
        <w:t>ו</w:t>
      </w:r>
      <w:r>
        <w:rPr>
          <w:rStyle w:val="default"/>
          <w:rFonts w:cs="FrankRuehl" w:hint="cs"/>
          <w:rtl/>
        </w:rPr>
        <w:t>סד המכריע, במקום למחוק את ההתנגדות לפי תקנת משנה (א), להרשות את תיקון ההתנגדות כדי להתאימה לדרישות התקנות, הכל בדרך ובתנאים שימצא לנכון, או ללא תנאים.</w:t>
      </w:r>
    </w:p>
    <w:p w14:paraId="14E6A800"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10" w:name="Rov33"/>
      <w:r>
        <w:rPr>
          <w:rStyle w:val="default"/>
          <w:rFonts w:cs="FrankRuehl" w:hint="cs"/>
          <w:vanish/>
          <w:color w:val="FF0000"/>
          <w:szCs w:val="20"/>
          <w:shd w:val="clear" w:color="auto" w:fill="FFFF99"/>
          <w:rtl/>
        </w:rPr>
        <w:t>מיום 1.1.1996</w:t>
      </w:r>
    </w:p>
    <w:p w14:paraId="6FC7D5D9"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6063DB78" w14:textId="77777777" w:rsidR="00BC54D9" w:rsidRDefault="00BC54D9">
      <w:pPr>
        <w:pStyle w:val="P00"/>
        <w:spacing w:before="0"/>
        <w:ind w:left="0"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71E76B53" w14:textId="77777777" w:rsidR="00BC54D9" w:rsidRDefault="00BC54D9">
      <w:pPr>
        <w:pStyle w:val="P00"/>
        <w:ind w:left="0" w:right="1134"/>
        <w:rPr>
          <w:rStyle w:val="default"/>
          <w:rFonts w:cs="FrankRuehl"/>
          <w:sz w:val="2"/>
          <w:szCs w:val="2"/>
          <w:rtl/>
        </w:rPr>
      </w:pPr>
      <w:r>
        <w:rPr>
          <w:rStyle w:val="big-number"/>
          <w:rFonts w:cs="Miriam"/>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נתקיים בהתנגדות תנאי שנקבע לענין הגשתה </w:t>
      </w:r>
      <w:r>
        <w:rPr>
          <w:rStyle w:val="default"/>
          <w:rFonts w:cs="FrankRuehl" w:hint="cs"/>
          <w:strike/>
          <w:vanish/>
          <w:sz w:val="22"/>
          <w:szCs w:val="22"/>
          <w:shd w:val="clear" w:color="auto" w:fill="FFFF99"/>
          <w:rtl/>
        </w:rPr>
        <w:t>בחוק או</w:t>
      </w:r>
      <w:r>
        <w:rPr>
          <w:rStyle w:val="default"/>
          <w:rFonts w:cs="FrankRuehl" w:hint="cs"/>
          <w:vanish/>
          <w:sz w:val="22"/>
          <w:szCs w:val="22"/>
          <w:shd w:val="clear" w:color="auto" w:fill="FFFF99"/>
          <w:rtl/>
        </w:rPr>
        <w:t xml:space="preserve"> בתקנות אלה, רשאי המוסד המכריע, לאחר שניתנה למתנגד הזדמנות להביא בפניו את טענותיו, למחוק את ההתנגדות על הסף.</w:t>
      </w:r>
      <w:bookmarkEnd w:id="10"/>
    </w:p>
    <w:p w14:paraId="560D3C19" w14:textId="77777777" w:rsidR="00BC54D9" w:rsidRDefault="00BC54D9">
      <w:pPr>
        <w:pStyle w:val="P00"/>
        <w:spacing w:before="72"/>
        <w:ind w:left="0" w:right="1134"/>
        <w:rPr>
          <w:rStyle w:val="default"/>
          <w:rFonts w:cs="FrankRuehl"/>
          <w:rtl/>
        </w:rPr>
      </w:pPr>
      <w:bookmarkStart w:id="11" w:name="Seif8"/>
      <w:bookmarkEnd w:id="11"/>
      <w:r>
        <w:rPr>
          <w:lang w:val="he-IL"/>
        </w:rPr>
        <w:pict w14:anchorId="428EB4BA">
          <v:rect id="_x0000_s1036" style="position:absolute;left:0;text-align:left;margin-left:464.5pt;margin-top:8.05pt;width:75.05pt;height:8pt;z-index:251651584" o:allowincell="f" filled="f" stroked="f" strokecolor="lime" strokeweight=".25pt">
            <v:textbox style="mso-next-textbox:#_x0000_s1036" inset="0,0,0,0">
              <w:txbxContent>
                <w:p w14:paraId="5F3DA541"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זמנ</w:t>
                  </w:r>
                  <w:r>
                    <w:rPr>
                      <w:rFonts w:cs="Miriam"/>
                      <w:szCs w:val="18"/>
                      <w:rtl/>
                    </w:rPr>
                    <w:t>ת</w:t>
                  </w:r>
                  <w:r>
                    <w:rPr>
                      <w:rFonts w:cs="Miriam" w:hint="cs"/>
                      <w:szCs w:val="18"/>
                      <w:rtl/>
                    </w:rPr>
                    <w:t xml:space="preserve"> הצדדים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שהוזמן לדיון בהתנגדות לפי סעיף 107 לחוק ולא התייצב, רשאי המוסד המכריע לדון בה</w:t>
      </w:r>
      <w:r>
        <w:rPr>
          <w:rStyle w:val="default"/>
          <w:rFonts w:cs="FrankRuehl"/>
          <w:rtl/>
        </w:rPr>
        <w:t>ת</w:t>
      </w:r>
      <w:r>
        <w:rPr>
          <w:rStyle w:val="default"/>
          <w:rFonts w:cs="FrankRuehl" w:hint="cs"/>
          <w:rtl/>
        </w:rPr>
        <w:t>נגדותו שלא בפניו.</w:t>
      </w:r>
    </w:p>
    <w:p w14:paraId="54C7691E"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קויים או לא הושלם הדיון בהתנגדות פלונית במועד שנקבע לשמיעתה, רשאי היושב ראש של המוסד המכריע להודיע באותו מועד על מועד חדש לדיון, והודעתו תבוא, לענין סעיף 107 לחוק, במקום זימונם של אלה שהיו נוכחים בשעת מתן ההודעה.</w:t>
      </w:r>
    </w:p>
    <w:p w14:paraId="01187C2B"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תישמע טע</w:t>
      </w:r>
      <w:r>
        <w:rPr>
          <w:rStyle w:val="default"/>
          <w:rFonts w:cs="FrankRuehl"/>
          <w:rtl/>
        </w:rPr>
        <w:t>נ</w:t>
      </w:r>
      <w:r>
        <w:rPr>
          <w:rStyle w:val="default"/>
          <w:rFonts w:cs="FrankRuehl" w:hint="cs"/>
          <w:rtl/>
        </w:rPr>
        <w:t xml:space="preserve">ה שמי שחובה להזמינו לא הוזמן, אלא בידי מי שטוען שלא הוזמן כדין ובהזדמנות הראשונה. </w:t>
      </w:r>
    </w:p>
    <w:p w14:paraId="2360300D" w14:textId="77777777" w:rsidR="00BC54D9" w:rsidRDefault="00BC54D9">
      <w:pPr>
        <w:pStyle w:val="P00"/>
        <w:spacing w:before="72"/>
        <w:ind w:left="0" w:right="1134"/>
        <w:rPr>
          <w:rStyle w:val="default"/>
          <w:rFonts w:cs="FrankRuehl"/>
          <w:rtl/>
        </w:rPr>
      </w:pPr>
      <w:bookmarkStart w:id="12" w:name="Seif9"/>
      <w:bookmarkEnd w:id="12"/>
      <w:r>
        <w:rPr>
          <w:lang w:val="he-IL"/>
        </w:rPr>
        <w:pict w14:anchorId="77B8214E">
          <v:rect id="_x0000_s1037" style="position:absolute;left:0;text-align:left;margin-left:464.5pt;margin-top:8.05pt;width:75.05pt;height:8pt;z-index:251652608" o:allowincell="f" filled="f" stroked="f" strokecolor="lime" strokeweight=".25pt">
            <v:textbox style="mso-next-textbox:#_x0000_s1037" inset="0,0,0,0">
              <w:txbxContent>
                <w:p w14:paraId="3655A960"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שאול המצהיר</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המכריע רשאי, בכל עת, אחרי תחילת הדיון בהתנגדות, לדרוש ממתנגד שמסר תצהיר לתמיכה בהת</w:t>
      </w:r>
      <w:r>
        <w:rPr>
          <w:rStyle w:val="default"/>
          <w:rFonts w:cs="FrankRuehl"/>
          <w:rtl/>
        </w:rPr>
        <w:t>נ</w:t>
      </w:r>
      <w:r>
        <w:rPr>
          <w:rStyle w:val="default"/>
          <w:rFonts w:cs="FrankRuehl" w:hint="cs"/>
          <w:rtl/>
        </w:rPr>
        <w:t>גדותו, שהמצהיר יתייצב בדיון בפני המוסד המכריע ומשהתייצב, רשאי המוסד המכריע לשאול אותו שאלות הנובעות מהאמור בתצהירו והנראות למוסד המכריע דרושות לבירורה היעיל של ההתנגדות.</w:t>
      </w:r>
    </w:p>
    <w:p w14:paraId="3C201F91"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עוד לפני תחילת הדיון רשאי יושב ראש המוסד המכריע לדרוש מהמתנגד את התייצבותו כאמור</w:t>
      </w:r>
      <w:r>
        <w:rPr>
          <w:rStyle w:val="default"/>
          <w:rFonts w:cs="FrankRuehl"/>
          <w:rtl/>
        </w:rPr>
        <w:t xml:space="preserve"> </w:t>
      </w:r>
      <w:r>
        <w:rPr>
          <w:rStyle w:val="default"/>
          <w:rFonts w:cs="FrankRuehl" w:hint="cs"/>
          <w:rtl/>
        </w:rPr>
        <w:t>של מצהיר בתחילת הדיון, אם הדבר נראה לו יעיל למניעת השהייתו של הדיון.</w:t>
      </w:r>
    </w:p>
    <w:p w14:paraId="3767CF89"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התייצב המצהיר ללא הסבר סביר, או התייצב, אך סירב להשיב על שאלה שלא היה פטור מלהשיב עליה לפי כל דין </w:t>
      </w:r>
      <w:r>
        <w:rPr>
          <w:rStyle w:val="default"/>
          <w:rFonts w:cs="FrankRuehl"/>
          <w:rtl/>
        </w:rPr>
        <w:t>–</w:t>
      </w:r>
      <w:r>
        <w:rPr>
          <w:rStyle w:val="default"/>
          <w:rFonts w:cs="FrankRuehl" w:hint="cs"/>
          <w:rtl/>
        </w:rPr>
        <w:t xml:space="preserve"> רשאי המוסד המכריע למחוק את ההתנגדות על הסף. </w:t>
      </w:r>
    </w:p>
    <w:p w14:paraId="24919270" w14:textId="77777777" w:rsidR="00BC54D9" w:rsidRDefault="00BC54D9">
      <w:pPr>
        <w:pStyle w:val="P00"/>
        <w:spacing w:before="72"/>
        <w:ind w:left="0" w:right="1134"/>
        <w:rPr>
          <w:rStyle w:val="default"/>
          <w:rFonts w:cs="FrankRuehl" w:hint="cs"/>
          <w:rtl/>
        </w:rPr>
      </w:pPr>
      <w:bookmarkStart w:id="13" w:name="Seif10"/>
      <w:bookmarkEnd w:id="13"/>
      <w:r>
        <w:rPr>
          <w:lang w:val="he-IL"/>
        </w:rPr>
        <w:pict w14:anchorId="6DE29B8E">
          <v:rect id="_x0000_s1038" style="position:absolute;left:0;text-align:left;margin-left:464.5pt;margin-top:8.05pt;width:75.05pt;height:16pt;z-index:251653632" o:allowincell="f" filled="f" stroked="f" strokecolor="lime" strokeweight=".25pt">
            <v:textbox style="mso-next-textbox:#_x0000_s1038" inset="0,0,0,0">
              <w:txbxContent>
                <w:p w14:paraId="7D85B4F1" w14:textId="77777777" w:rsidR="00BC54D9" w:rsidRDefault="00BC54D9">
                  <w:pPr>
                    <w:spacing w:line="160" w:lineRule="exact"/>
                    <w:jc w:val="left"/>
                    <w:rPr>
                      <w:rFonts w:cs="Miriam"/>
                      <w:noProof/>
                      <w:szCs w:val="18"/>
                      <w:rtl/>
                    </w:rPr>
                  </w:pPr>
                  <w:r>
                    <w:rPr>
                      <w:rFonts w:cs="Miriam"/>
                      <w:szCs w:val="18"/>
                      <w:rtl/>
                    </w:rPr>
                    <w:t>א</w:t>
                  </w:r>
                  <w:r>
                    <w:rPr>
                      <w:rFonts w:cs="Miriam" w:hint="cs"/>
                      <w:szCs w:val="18"/>
                      <w:rtl/>
                    </w:rPr>
                    <w:t>יחו</w:t>
                  </w:r>
                  <w:r>
                    <w:rPr>
                      <w:rFonts w:cs="Miriam"/>
                      <w:szCs w:val="18"/>
                      <w:rtl/>
                    </w:rPr>
                    <w:t>ד</w:t>
                  </w:r>
                  <w:r>
                    <w:rPr>
                      <w:rFonts w:cs="Miriam" w:hint="cs"/>
                      <w:szCs w:val="18"/>
                      <w:rtl/>
                    </w:rPr>
                    <w:t xml:space="preserve"> הדיון</w:t>
                  </w:r>
                </w:p>
                <w:p w14:paraId="0D7B7B50"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מוסד המכריע רשאי לאחד את הדיון בהתנגדויות שונות לאותה תכנית ולדון בהן במשותף, אם כרוכות בהן בעיות זהות או דומות מבחינה עובדתית, תכנונית או משפטית; אין בהוראה זו כדי לגרוע מסמכות מוסד התכנון לפי סעיף 106(ג) לחוק.</w:t>
      </w:r>
    </w:p>
    <w:p w14:paraId="7FAB9A17"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14" w:name="Rov34"/>
      <w:r>
        <w:rPr>
          <w:rStyle w:val="default"/>
          <w:rFonts w:cs="FrankRuehl" w:hint="cs"/>
          <w:vanish/>
          <w:color w:val="FF0000"/>
          <w:szCs w:val="20"/>
          <w:shd w:val="clear" w:color="auto" w:fill="FFFF99"/>
          <w:rtl/>
        </w:rPr>
        <w:t>מיום 1.1.1996</w:t>
      </w:r>
    </w:p>
    <w:p w14:paraId="75436887"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360DECC5" w14:textId="77777777" w:rsidR="00BC54D9" w:rsidRDefault="00BC54D9">
      <w:pPr>
        <w:pStyle w:val="P00"/>
        <w:spacing w:before="0"/>
        <w:ind w:left="0" w:right="1134"/>
        <w:rPr>
          <w:rStyle w:val="default"/>
          <w:rFonts w:cs="FrankRuehl" w:hint="cs"/>
          <w:vanish/>
          <w:szCs w:val="20"/>
          <w:shd w:val="clear" w:color="auto" w:fill="FFFF99"/>
          <w:rtl/>
        </w:rPr>
      </w:pPr>
      <w:hyperlink r:id="rId10"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4F41006E" w14:textId="77777777" w:rsidR="00BC54D9" w:rsidRDefault="00BC54D9">
      <w:pPr>
        <w:pStyle w:val="P00"/>
        <w:ind w:left="0" w:right="1134"/>
        <w:rPr>
          <w:rStyle w:val="default"/>
          <w:rFonts w:cs="FrankRuehl" w:hint="cs"/>
          <w:sz w:val="2"/>
          <w:szCs w:val="2"/>
          <w:rtl/>
        </w:rPr>
      </w:pPr>
      <w:r>
        <w:rPr>
          <w:rStyle w:val="big-number"/>
          <w:rFonts w:cs="FrankRuehl"/>
          <w:vanish/>
          <w:sz w:val="22"/>
          <w:szCs w:val="22"/>
          <w:shd w:val="clear" w:color="auto" w:fill="FFFF99"/>
          <w:rtl/>
        </w:rPr>
        <w:t>10.</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מוסד המכריע רשאי לאחד את הדיון בהתנגדויות שונות לאותה תכנית ולדון בהן במשותף, אם כרוכות בהן בעיות זהות או דומות מבחינה עובדתית, תכנונית או משפטית; אין בהוראה זו כדי לגרוע מסמכות </w:t>
      </w:r>
      <w:r>
        <w:rPr>
          <w:rStyle w:val="default"/>
          <w:rFonts w:cs="FrankRuehl" w:hint="cs"/>
          <w:strike/>
          <w:vanish/>
          <w:sz w:val="22"/>
          <w:szCs w:val="22"/>
          <w:shd w:val="clear" w:color="auto" w:fill="FFFF99"/>
          <w:rtl/>
        </w:rPr>
        <w:t>הועדה המחוזית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מוסד התכנון</w:t>
      </w:r>
      <w:r>
        <w:rPr>
          <w:rStyle w:val="default"/>
          <w:rFonts w:cs="FrankRuehl" w:hint="cs"/>
          <w:vanish/>
          <w:sz w:val="22"/>
          <w:szCs w:val="22"/>
          <w:shd w:val="clear" w:color="auto" w:fill="FFFF99"/>
          <w:rtl/>
        </w:rPr>
        <w:t xml:space="preserve"> לפי סעיף 106(ג) לחוק.</w:t>
      </w:r>
      <w:bookmarkEnd w:id="14"/>
    </w:p>
    <w:p w14:paraId="0BBA6504" w14:textId="77777777" w:rsidR="00BC54D9" w:rsidRDefault="00BC54D9">
      <w:pPr>
        <w:pStyle w:val="P00"/>
        <w:spacing w:before="72"/>
        <w:ind w:left="0" w:right="1134"/>
        <w:rPr>
          <w:rStyle w:val="default"/>
          <w:rFonts w:cs="FrankRuehl"/>
          <w:rtl/>
        </w:rPr>
      </w:pPr>
      <w:bookmarkStart w:id="15" w:name="Seif11"/>
      <w:bookmarkEnd w:id="15"/>
      <w:r>
        <w:rPr>
          <w:lang w:val="he-IL"/>
        </w:rPr>
        <w:pict w14:anchorId="297677EB">
          <v:rect id="_x0000_s1039" style="position:absolute;left:0;text-align:left;margin-left:464.5pt;margin-top:8.05pt;width:75.05pt;height:8pt;z-index:251654656" o:allowincell="f" filled="f" stroked="f" strokecolor="lime" strokeweight=".25pt">
            <v:textbox style="mso-next-textbox:#_x0000_s1039" inset="0,0,0,0">
              <w:txbxContent>
                <w:p w14:paraId="22F337AF" w14:textId="77777777" w:rsidR="00BC54D9" w:rsidRDefault="00BC54D9">
                  <w:pPr>
                    <w:spacing w:line="160" w:lineRule="exact"/>
                    <w:jc w:val="left"/>
                    <w:rPr>
                      <w:rFonts w:cs="Miriam"/>
                      <w:noProof/>
                      <w:szCs w:val="18"/>
                      <w:rtl/>
                    </w:rPr>
                  </w:pPr>
                  <w:r>
                    <w:rPr>
                      <w:rFonts w:cs="Miriam"/>
                      <w:szCs w:val="18"/>
                      <w:rtl/>
                    </w:rPr>
                    <w:t>פ</w:t>
                  </w:r>
                  <w:r>
                    <w:rPr>
                      <w:rFonts w:cs="Miriam" w:hint="cs"/>
                      <w:szCs w:val="18"/>
                      <w:rtl/>
                    </w:rPr>
                    <w:t>תיחת הדיון</w:t>
                  </w:r>
                </w:p>
              </w:txbxContent>
            </v:textbox>
            <w10:anchorlock/>
          </v:rect>
        </w:pict>
      </w:r>
      <w:r>
        <w:rPr>
          <w:rStyle w:val="big-number"/>
          <w:rFonts w:cs="Miriam"/>
          <w:rtl/>
        </w:rPr>
        <w:t>11.</w:t>
      </w:r>
      <w:r>
        <w:rPr>
          <w:rStyle w:val="big-number"/>
          <w:rFonts w:cs="Miriam"/>
          <w:rtl/>
        </w:rPr>
        <w:tab/>
      </w:r>
      <w:r>
        <w:rPr>
          <w:rStyle w:val="default"/>
          <w:rFonts w:cs="FrankRuehl"/>
          <w:rtl/>
        </w:rPr>
        <w:t>י</w:t>
      </w:r>
      <w:r>
        <w:rPr>
          <w:rStyle w:val="default"/>
          <w:rFonts w:cs="FrankRuehl" w:hint="cs"/>
          <w:rtl/>
        </w:rPr>
        <w:t xml:space="preserve">ושב ראש המוסד המכריע </w:t>
      </w:r>
      <w:r>
        <w:rPr>
          <w:rStyle w:val="default"/>
          <w:rFonts w:cs="FrankRuehl"/>
          <w:rtl/>
        </w:rPr>
        <w:t>י</w:t>
      </w:r>
      <w:r>
        <w:rPr>
          <w:rStyle w:val="default"/>
          <w:rFonts w:cs="FrankRuehl" w:hint="cs"/>
          <w:rtl/>
        </w:rPr>
        <w:t xml:space="preserve">פתח את הדיון במסירת תוכן ההתנגדות </w:t>
      </w:r>
      <w:r>
        <w:rPr>
          <w:rStyle w:val="default"/>
          <w:rFonts w:cs="FrankRuehl"/>
          <w:rtl/>
        </w:rPr>
        <w:t>–</w:t>
      </w:r>
      <w:r>
        <w:rPr>
          <w:rStyle w:val="default"/>
          <w:rFonts w:cs="FrankRuehl" w:hint="cs"/>
          <w:rtl/>
        </w:rPr>
        <w:t xml:space="preserve"> או ההתנגדויות, אם הוחלט על איחוד הדיון בהן </w:t>
      </w:r>
      <w:r>
        <w:rPr>
          <w:rStyle w:val="default"/>
          <w:rFonts w:cs="FrankRuehl"/>
          <w:rtl/>
        </w:rPr>
        <w:t>–</w:t>
      </w:r>
      <w:r>
        <w:rPr>
          <w:rStyle w:val="default"/>
          <w:rFonts w:cs="FrankRuehl" w:hint="cs"/>
          <w:rtl/>
        </w:rPr>
        <w:t xml:space="preserve"> וחוות הדעת של הועדה המקומית, אם הוגשה, זולת אם חברי המוסד המכריע הנוכחים והצדדים לדיון שהתייצבו ויתרו על כך, ובמידה שויתרו. </w:t>
      </w:r>
    </w:p>
    <w:p w14:paraId="08C1F0E5" w14:textId="77777777" w:rsidR="00BC54D9" w:rsidRDefault="00BC54D9">
      <w:pPr>
        <w:pStyle w:val="P00"/>
        <w:spacing w:before="72"/>
        <w:ind w:left="0" w:right="1134"/>
        <w:rPr>
          <w:rStyle w:val="default"/>
          <w:rFonts w:cs="FrankRuehl"/>
          <w:rtl/>
        </w:rPr>
      </w:pPr>
      <w:bookmarkStart w:id="16" w:name="Seif12"/>
      <w:bookmarkEnd w:id="16"/>
      <w:r>
        <w:rPr>
          <w:lang w:val="he-IL"/>
        </w:rPr>
        <w:pict w14:anchorId="40E34A69">
          <v:rect id="_x0000_s1040" style="position:absolute;left:0;text-align:left;margin-left:464.5pt;margin-top:8.05pt;width:75.05pt;height:8pt;z-index:251655680" o:allowincell="f" filled="f" stroked="f" strokecolor="lime" strokeweight=".25pt">
            <v:textbox style="mso-next-textbox:#_x0000_s1040" inset="0,0,0,0">
              <w:txbxContent>
                <w:p w14:paraId="4D41DABC" w14:textId="77777777" w:rsidR="00BC54D9" w:rsidRDefault="00BC54D9">
                  <w:pPr>
                    <w:spacing w:line="160" w:lineRule="exact"/>
                    <w:jc w:val="left"/>
                    <w:rPr>
                      <w:rFonts w:cs="Miriam"/>
                      <w:noProof/>
                      <w:szCs w:val="18"/>
                      <w:rtl/>
                    </w:rPr>
                  </w:pPr>
                  <w:r>
                    <w:rPr>
                      <w:rFonts w:cs="Miriam"/>
                      <w:szCs w:val="18"/>
                      <w:rtl/>
                    </w:rPr>
                    <w:t>ס</w:t>
                  </w:r>
                  <w:r>
                    <w:rPr>
                      <w:rFonts w:cs="Miriam" w:hint="cs"/>
                      <w:szCs w:val="18"/>
                      <w:rtl/>
                    </w:rPr>
                    <w:t>דרי הטיעון</w:t>
                  </w:r>
                </w:p>
              </w:txbxContent>
            </v:textbox>
            <w10:anchorlock/>
          </v:rect>
        </w:pict>
      </w:r>
      <w:r>
        <w:rPr>
          <w:rStyle w:val="big-number"/>
          <w:rFonts w:cs="Miriam"/>
          <w:rtl/>
        </w:rPr>
        <w:t>12.</w:t>
      </w:r>
      <w:r>
        <w:rPr>
          <w:rStyle w:val="big-number"/>
          <w:rFonts w:cs="Miriam"/>
          <w:rtl/>
        </w:rPr>
        <w:tab/>
      </w:r>
      <w:r>
        <w:rPr>
          <w:rStyle w:val="default"/>
          <w:rFonts w:cs="FrankRuehl"/>
          <w:rtl/>
        </w:rPr>
        <w:t>ה</w:t>
      </w:r>
      <w:r>
        <w:rPr>
          <w:rStyle w:val="default"/>
          <w:rFonts w:cs="FrankRuehl" w:hint="cs"/>
          <w:rtl/>
        </w:rPr>
        <w:t xml:space="preserve">מתנגד יטען תחילה, אחריו מגיש </w:t>
      </w:r>
      <w:r>
        <w:rPr>
          <w:rStyle w:val="default"/>
          <w:rFonts w:cs="FrankRuehl"/>
          <w:rtl/>
        </w:rPr>
        <w:t>ה</w:t>
      </w:r>
      <w:r>
        <w:rPr>
          <w:rStyle w:val="default"/>
          <w:rFonts w:cs="FrankRuehl" w:hint="cs"/>
          <w:rtl/>
        </w:rPr>
        <w:t xml:space="preserve">תכנית ויתר הזכאים להשמיע דבריהם לפי סעיף 107 לחוק; למתנגד תהא זכות תשובה. </w:t>
      </w:r>
    </w:p>
    <w:p w14:paraId="13433BA3" w14:textId="77777777" w:rsidR="00BC54D9" w:rsidRDefault="00BC54D9">
      <w:pPr>
        <w:pStyle w:val="P00"/>
        <w:spacing w:before="72"/>
        <w:ind w:left="0" w:right="1134"/>
        <w:rPr>
          <w:rStyle w:val="default"/>
          <w:rFonts w:cs="FrankRuehl" w:hint="cs"/>
          <w:rtl/>
        </w:rPr>
      </w:pPr>
      <w:bookmarkStart w:id="17" w:name="Seif13"/>
      <w:bookmarkEnd w:id="17"/>
      <w:r>
        <w:rPr>
          <w:lang w:val="he-IL"/>
        </w:rPr>
        <w:pict w14:anchorId="6AAA8864">
          <v:rect id="_x0000_s1041" style="position:absolute;left:0;text-align:left;margin-left:464.5pt;margin-top:8.05pt;width:75.05pt;height:26.95pt;z-index:251656704" o:allowincell="f" filled="f" stroked="f" strokecolor="lime" strokeweight=".25pt">
            <v:textbox style="mso-next-textbox:#_x0000_s1041" inset="0,0,0,0">
              <w:txbxContent>
                <w:p w14:paraId="7B0239B7" w14:textId="77777777" w:rsidR="00BC54D9" w:rsidRDefault="00BC54D9">
                  <w:pPr>
                    <w:spacing w:line="160" w:lineRule="exact"/>
                    <w:jc w:val="left"/>
                    <w:rPr>
                      <w:rFonts w:cs="Miriam"/>
                      <w:noProof/>
                      <w:szCs w:val="18"/>
                      <w:rtl/>
                    </w:rPr>
                  </w:pPr>
                  <w:r>
                    <w:rPr>
                      <w:rFonts w:cs="Miriam"/>
                      <w:szCs w:val="18"/>
                      <w:rtl/>
                    </w:rPr>
                    <w:t>ז</w:t>
                  </w:r>
                  <w:r>
                    <w:rPr>
                      <w:rFonts w:cs="Miriam" w:hint="cs"/>
                      <w:szCs w:val="18"/>
                      <w:rtl/>
                    </w:rPr>
                    <w:t xml:space="preserve">כות העמידה </w:t>
                  </w:r>
                  <w:r>
                    <w:rPr>
                      <w:rFonts w:cs="Miriam"/>
                      <w:szCs w:val="18"/>
                      <w:rtl/>
                    </w:rPr>
                    <w:t>ש</w:t>
                  </w:r>
                  <w:r>
                    <w:rPr>
                      <w:rFonts w:cs="Miriam" w:hint="cs"/>
                      <w:szCs w:val="18"/>
                      <w:rtl/>
                    </w:rPr>
                    <w:t>ל</w:t>
                  </w:r>
                </w:p>
                <w:p w14:paraId="1F6D0A02" w14:textId="77777777" w:rsidR="00BC54D9" w:rsidRDefault="00BC54D9">
                  <w:pPr>
                    <w:spacing w:line="160" w:lineRule="exact"/>
                    <w:jc w:val="left"/>
                    <w:rPr>
                      <w:rFonts w:cs="Miriam" w:hint="cs"/>
                      <w:szCs w:val="18"/>
                      <w:rtl/>
                    </w:rPr>
                  </w:pPr>
                  <w:r>
                    <w:rPr>
                      <w:rFonts w:cs="Miriam"/>
                      <w:szCs w:val="18"/>
                      <w:rtl/>
                    </w:rPr>
                    <w:t>ה</w:t>
                  </w:r>
                  <w:r>
                    <w:rPr>
                      <w:rFonts w:cs="Miriam" w:hint="cs"/>
                      <w:szCs w:val="18"/>
                      <w:rtl/>
                    </w:rPr>
                    <w:t>יוזם בפועל</w:t>
                  </w:r>
                </w:p>
                <w:p w14:paraId="3525B130" w14:textId="77777777" w:rsidR="00BC54D9" w:rsidRDefault="00BC54D9">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ר</w:t>
      </w:r>
      <w:r>
        <w:rPr>
          <w:rStyle w:val="default"/>
          <w:rFonts w:cs="FrankRuehl" w:hint="cs"/>
          <w:rtl/>
        </w:rPr>
        <w:t>אה המוסד שהיזמה להגשת התכנית היתה בפועל בידי אדם זולת מוסד התכנון שהגיש את התכנית, וששמיעתו של אותו אדם דרושה לשם בירורן המלא והיעיל של השאלות המ</w:t>
      </w:r>
      <w:r>
        <w:rPr>
          <w:rStyle w:val="default"/>
          <w:rFonts w:cs="FrankRuehl"/>
          <w:rtl/>
        </w:rPr>
        <w:t>ת</w:t>
      </w:r>
      <w:r>
        <w:rPr>
          <w:rStyle w:val="default"/>
          <w:rFonts w:cs="FrankRuehl" w:hint="cs"/>
          <w:rtl/>
        </w:rPr>
        <w:t xml:space="preserve">עוררות או העשויות להתעורר בדיון, רשאי הוא להרשות לאותו אדם, בתנאים ולפי סדר שיקבע המוסד המכריע בהחלטתו, לטעון את טענותיו לענין ההתנגדות, כולה או מקצתה. </w:t>
      </w:r>
    </w:p>
    <w:p w14:paraId="1553A9C5" w14:textId="77777777" w:rsidR="00BC54D9" w:rsidRDefault="00BC54D9">
      <w:pPr>
        <w:pStyle w:val="P00"/>
        <w:spacing w:before="72"/>
        <w:ind w:left="0" w:right="1134"/>
        <w:rPr>
          <w:rStyle w:val="default"/>
          <w:rFonts w:cs="FrankRuehl" w:hint="cs"/>
          <w:rtl/>
        </w:rPr>
      </w:pPr>
      <w:r>
        <w:rPr>
          <w:rtl/>
          <w:lang w:val="he-IL"/>
        </w:rPr>
        <w:pict w14:anchorId="2B3F53E6">
          <v:shape id="_x0000_s1060" type="#_x0000_t202" style="position:absolute;left:0;text-align:left;margin-left:470.25pt;margin-top:7.1pt;width:1in;height:11.2pt;z-index:251674112" filled="f" stroked="f">
            <v:textbox inset="1mm,0,1mm,0">
              <w:txbxContent>
                <w:p w14:paraId="1241CE03" w14:textId="77777777" w:rsidR="00BC54D9" w:rsidRDefault="00BC54D9">
                  <w:pPr>
                    <w:spacing w:line="160" w:lineRule="exact"/>
                    <w:jc w:val="left"/>
                    <w:rPr>
                      <w:rFonts w:cs="Miriam"/>
                      <w:noProof/>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ביקש מגיש התכנית או היוזם כאמור בתקנת משנה (א) להגיש למוסד המכריע</w:t>
      </w:r>
      <w:r>
        <w:rPr>
          <w:rStyle w:val="default"/>
          <w:rFonts w:cs="FrankRuehl" w:hint="cs"/>
          <w:rtl/>
        </w:rPr>
        <w:t xml:space="preserve"> </w:t>
      </w:r>
      <w:r>
        <w:rPr>
          <w:rStyle w:val="default"/>
          <w:rFonts w:cs="FrankRuehl"/>
          <w:rtl/>
        </w:rPr>
        <w:t>תגובה בכתב להתנגדויות שהוגשו לתכנית, ימציא את התגובה למוסד המכריע, לוועדה המקומית ולמתנגד, 5 ימים לפחות לפני המועד הקבוע לשמיעת ההתנגדויות; בתגובה יפורטו נימוקי המגיב והיא תלווה בתצהיר המאמת את העובדות שעליהן היא</w:t>
      </w:r>
      <w:r>
        <w:rPr>
          <w:rStyle w:val="default"/>
          <w:rFonts w:cs="FrankRuehl" w:hint="cs"/>
          <w:rtl/>
        </w:rPr>
        <w:t xml:space="preserve"> </w:t>
      </w:r>
      <w:r>
        <w:rPr>
          <w:rStyle w:val="default"/>
          <w:rFonts w:cs="FrankRuehl"/>
          <w:rtl/>
        </w:rPr>
        <w:t>מסתמכת; על התגובה והתצהיר יחולו הוראות סעיף 103א לחוק ותקנה 9, בשינויים המחויבים.</w:t>
      </w:r>
    </w:p>
    <w:p w14:paraId="45A49DF8"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18" w:name="Rov35"/>
      <w:r>
        <w:rPr>
          <w:rStyle w:val="default"/>
          <w:rFonts w:cs="FrankRuehl" w:hint="cs"/>
          <w:vanish/>
          <w:color w:val="FF0000"/>
          <w:szCs w:val="20"/>
          <w:shd w:val="clear" w:color="auto" w:fill="FFFF99"/>
          <w:rtl/>
        </w:rPr>
        <w:t>מיום 15.8.2006</w:t>
      </w:r>
    </w:p>
    <w:p w14:paraId="574CFDCC"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3FB1589F" w14:textId="77777777" w:rsidR="00BC54D9" w:rsidRDefault="00BC54D9">
      <w:pPr>
        <w:pStyle w:val="P00"/>
        <w:spacing w:before="0"/>
        <w:ind w:left="0"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תשס"ו מס' 6499</w:t>
        </w:r>
      </w:hyperlink>
      <w:r>
        <w:rPr>
          <w:rStyle w:val="default"/>
          <w:rFonts w:cs="FrankRuehl" w:hint="cs"/>
          <w:vanish/>
          <w:szCs w:val="20"/>
          <w:shd w:val="clear" w:color="auto" w:fill="FFFF99"/>
          <w:rtl/>
        </w:rPr>
        <w:t xml:space="preserve"> מיום 16.7.2006 עמ' 992</w:t>
      </w:r>
    </w:p>
    <w:p w14:paraId="11A1999E" w14:textId="77777777" w:rsidR="00BC54D9" w:rsidRDefault="00BC54D9">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13.</w:t>
      </w:r>
      <w:r>
        <w:rPr>
          <w:rStyle w:val="big-number"/>
          <w:rFonts w:cs="FrankRuehl"/>
          <w:vanish/>
          <w:sz w:val="22"/>
          <w:szCs w:val="22"/>
          <w:shd w:val="clear" w:color="auto" w:fill="FFFF99"/>
          <w:rtl/>
        </w:rPr>
        <w:tab/>
      </w:r>
      <w:r>
        <w:rPr>
          <w:rStyle w:val="big-number"/>
          <w:rFonts w:cs="FrankRuehl" w:hint="cs"/>
          <w:vanish/>
          <w:sz w:val="22"/>
          <w:szCs w:val="22"/>
          <w:u w:val="single"/>
          <w:shd w:val="clear" w:color="auto" w:fill="FFFF99"/>
          <w:rtl/>
        </w:rPr>
        <w:t>(א)</w:t>
      </w:r>
      <w:r>
        <w:rPr>
          <w:rStyle w:val="big-number"/>
          <w:rFonts w:cs="FrankRuehl" w:hint="cs"/>
          <w:vanish/>
          <w:sz w:val="22"/>
          <w:szCs w:val="22"/>
          <w:shd w:val="clear" w:color="auto" w:fill="FFFF99"/>
          <w:rtl/>
        </w:rPr>
        <w:tab/>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אה המוסד שהיזמה להגשת התכנית היתה בפועל בידי אדם זולת מוסד התכנון שהגיש את התכנית, וששמיעתו של אותו אדם דרושה לשם בירורן המלא והיעיל של השאלות המ</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עוררות או העשויות להתעורר בדיון, רשאי הוא להרשות לאותו אדם, בתנאים ולפי סדר שיקבע המוסד המכריע בהחלטתו, לטעון את טענותיו לענין ההתנגדות, כולה או מקצתה. </w:t>
      </w:r>
    </w:p>
    <w:p w14:paraId="7F8EEB4E" w14:textId="77777777" w:rsidR="00BC54D9" w:rsidRDefault="00BC54D9">
      <w:pPr>
        <w:pStyle w:val="P00"/>
        <w:spacing w:before="0"/>
        <w:ind w:left="0" w:right="1134"/>
        <w:rPr>
          <w:rStyle w:val="default"/>
          <w:rFonts w:cs="FrankRuehl" w:hint="cs"/>
          <w:sz w:val="2"/>
          <w:szCs w:val="2"/>
          <w:u w:val="single"/>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ביקש מגיש התכנית או היוזם כאמור בתקנת משנה (א) להגיש למוסד המכריע</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תגובה בכתב להתנגדויות שהוגשו לתכנית, ימציא את התגובה למוסד המכריע, לוועדה המקומית ולמתנגד, 5 ימים לפחות לפני המועד הקבוע לשמיעת ההתנגדויות; בתגובה יפורטו נימוקי המגיב והיא תלווה בתצהיר המאמת את העובדות שעליהן היא</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מסתמכת; על התגובה והתצהיר יחולו הוראות סעיף 103א לחוק ותקנה 9, בשינויים המחויבים.</w:t>
      </w:r>
      <w:bookmarkEnd w:id="18"/>
    </w:p>
    <w:p w14:paraId="28E61649" w14:textId="77777777" w:rsidR="00BC54D9" w:rsidRDefault="00BC54D9">
      <w:pPr>
        <w:pStyle w:val="P00"/>
        <w:spacing w:before="72"/>
        <w:ind w:left="0" w:right="1134"/>
        <w:rPr>
          <w:rStyle w:val="default"/>
          <w:rFonts w:cs="FrankRuehl"/>
          <w:rtl/>
        </w:rPr>
      </w:pPr>
      <w:bookmarkStart w:id="19" w:name="Seif14"/>
      <w:bookmarkEnd w:id="19"/>
      <w:r>
        <w:rPr>
          <w:lang w:val="he-IL"/>
        </w:rPr>
        <w:pict w14:anchorId="378263CA">
          <v:rect id="_x0000_s1042" style="position:absolute;left:0;text-align:left;margin-left:464.5pt;margin-top:8.05pt;width:75.05pt;height:8pt;z-index:251657728" o:allowincell="f" filled="f" stroked="f" strokecolor="lime" strokeweight=".25pt">
            <v:textbox style="mso-next-textbox:#_x0000_s1042" inset="0,0,0,0">
              <w:txbxContent>
                <w:p w14:paraId="08F005D7"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גב</w:t>
                  </w:r>
                  <w:r>
                    <w:rPr>
                      <w:rFonts w:cs="Miriam"/>
                      <w:szCs w:val="18"/>
                      <w:rtl/>
                    </w:rPr>
                    <w:t>ל</w:t>
                  </w:r>
                  <w:r>
                    <w:rPr>
                      <w:rFonts w:cs="Miriam" w:hint="cs"/>
                      <w:szCs w:val="18"/>
                      <w:rtl/>
                    </w:rPr>
                    <w:t>ת הטיעון</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 xml:space="preserve">א תישמע בדיון כל טענה אלא לענין הנימוקים שפורטו בהתנגדות או בחוות הדעת של הוועדה </w:t>
      </w:r>
      <w:r>
        <w:rPr>
          <w:rStyle w:val="default"/>
          <w:rFonts w:cs="FrankRuehl"/>
          <w:rtl/>
        </w:rPr>
        <w:t>ה</w:t>
      </w:r>
      <w:r>
        <w:rPr>
          <w:rStyle w:val="default"/>
          <w:rFonts w:cs="FrankRuehl" w:hint="cs"/>
          <w:rtl/>
        </w:rPr>
        <w:t xml:space="preserve">מקומית, אם הוגשה, זולת אם החליט המוסד המכריע לנהוג אחרת, מטעמים מיוחדים שיירשמו, ובמידה שהחליט, הכל בתנאים שהמוסד המכריע ימצא לנכון, או ללא תנאים. </w:t>
      </w:r>
    </w:p>
    <w:p w14:paraId="1DF1A73E" w14:textId="77777777" w:rsidR="00BC54D9" w:rsidRDefault="00BC54D9">
      <w:pPr>
        <w:pStyle w:val="P00"/>
        <w:spacing w:before="72"/>
        <w:ind w:left="0" w:right="1134"/>
        <w:rPr>
          <w:rStyle w:val="default"/>
          <w:rFonts w:cs="FrankRuehl"/>
          <w:rtl/>
        </w:rPr>
      </w:pPr>
      <w:bookmarkStart w:id="20" w:name="Seif15"/>
      <w:bookmarkEnd w:id="20"/>
      <w:r>
        <w:rPr>
          <w:lang w:val="he-IL"/>
        </w:rPr>
        <w:pict w14:anchorId="203B0FEE">
          <v:rect id="_x0000_s1043" style="position:absolute;left:0;text-align:left;margin-left:464.5pt;margin-top:8.05pt;width:75.05pt;height:8pt;z-index:251658752" o:allowincell="f" filled="f" stroked="f" strokecolor="lime" strokeweight=".25pt">
            <v:textbox style="mso-next-textbox:#_x0000_s1043" inset="0,0,0,0">
              <w:txbxContent>
                <w:p w14:paraId="1678FFF2" w14:textId="77777777" w:rsidR="00BC54D9" w:rsidRDefault="00BC54D9">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יהא המתנגד, מגיש התכנית או</w:t>
      </w:r>
      <w:r>
        <w:rPr>
          <w:rStyle w:val="default"/>
          <w:rFonts w:cs="FrankRuehl"/>
          <w:rtl/>
        </w:rPr>
        <w:t xml:space="preserve"> </w:t>
      </w:r>
      <w:r>
        <w:rPr>
          <w:rStyle w:val="default"/>
          <w:rFonts w:cs="FrankRuehl" w:hint="cs"/>
          <w:rtl/>
        </w:rPr>
        <w:t>היוזם כאמור בתקנה 13 רשאי להביא ראיות לתמיכה בטענותיו שבעובדה או לסתירת טענות</w:t>
      </w:r>
      <w:r>
        <w:rPr>
          <w:rStyle w:val="default"/>
          <w:rFonts w:cs="FrankRuehl"/>
          <w:rtl/>
        </w:rPr>
        <w:t xml:space="preserve"> </w:t>
      </w:r>
      <w:r>
        <w:rPr>
          <w:rStyle w:val="default"/>
          <w:rFonts w:cs="FrankRuehl" w:hint="cs"/>
          <w:rtl/>
        </w:rPr>
        <w:t>שבעובדה של הצד שכנגד אלא ברשות המוסד המכריע.</w:t>
      </w:r>
    </w:p>
    <w:p w14:paraId="5AA9BC41"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למתן רשות להביא ראיות תוגש בהזדמנות הראשונה שבה נודע למבקש הצורך להביא את הראיות, ורשאי המוסד המכריע לדרוש שתלווה בתצהיר</w:t>
      </w:r>
      <w:r>
        <w:rPr>
          <w:rStyle w:val="default"/>
          <w:rFonts w:cs="FrankRuehl"/>
          <w:rtl/>
        </w:rPr>
        <w:t xml:space="preserve"> </w:t>
      </w:r>
      <w:r>
        <w:rPr>
          <w:rStyle w:val="default"/>
          <w:rFonts w:cs="FrankRuehl" w:hint="cs"/>
          <w:rtl/>
        </w:rPr>
        <w:t>לגבי עובדות מסוימות.</w:t>
      </w:r>
    </w:p>
    <w:p w14:paraId="3CA7F570"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המוסד המכריע רשאי לקבל כראיה את עדותם, בכתב או בעל פה, של יועצים מקצועיים ושל מומחים.</w:t>
      </w:r>
    </w:p>
    <w:p w14:paraId="127F8BC7"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המוסד המכריע יקבע את סדרי הבאת הראיות.</w:t>
      </w:r>
    </w:p>
    <w:p w14:paraId="42220CB6"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תקנה זו אינה גורעת מסמכותו של המוסד המכריע לגבות ראיות, מיזמתו הוא, לרבות הסמכות לבקר</w:t>
      </w:r>
      <w:r>
        <w:rPr>
          <w:rStyle w:val="default"/>
          <w:rFonts w:cs="FrankRuehl"/>
          <w:rtl/>
        </w:rPr>
        <w:t xml:space="preserve"> </w:t>
      </w:r>
      <w:r>
        <w:rPr>
          <w:rStyle w:val="default"/>
          <w:rFonts w:cs="FrankRuehl" w:hint="cs"/>
          <w:rtl/>
        </w:rPr>
        <w:t xml:space="preserve">במקום. </w:t>
      </w:r>
    </w:p>
    <w:p w14:paraId="2F4E7D88" w14:textId="77777777" w:rsidR="00BC54D9" w:rsidRDefault="00BC54D9">
      <w:pPr>
        <w:pStyle w:val="P00"/>
        <w:spacing w:before="72"/>
        <w:ind w:left="0" w:right="1134"/>
        <w:rPr>
          <w:rStyle w:val="default"/>
          <w:rFonts w:cs="FrankRuehl"/>
          <w:rtl/>
        </w:rPr>
      </w:pPr>
      <w:bookmarkStart w:id="21" w:name="Seif16"/>
      <w:bookmarkEnd w:id="21"/>
      <w:r>
        <w:rPr>
          <w:lang w:val="he-IL"/>
        </w:rPr>
        <w:pict w14:anchorId="14DEE53F">
          <v:rect id="_x0000_s1044" style="position:absolute;left:0;text-align:left;margin-left:464.5pt;margin-top:8.05pt;width:75.05pt;height:16pt;z-index:251659776" o:allowincell="f" filled="f" stroked="f" strokecolor="lime" strokeweight=".25pt">
            <v:textbox style="mso-next-textbox:#_x0000_s1044" inset="0,0,0,0">
              <w:txbxContent>
                <w:p w14:paraId="7E311933"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 xml:space="preserve">מצאת מסמכים </w:t>
                  </w:r>
                  <w:r>
                    <w:rPr>
                      <w:rFonts w:cs="Miriam"/>
                      <w:szCs w:val="18"/>
                      <w:rtl/>
                    </w:rPr>
                    <w:t>ו</w:t>
                  </w:r>
                  <w:r>
                    <w:rPr>
                      <w:rFonts w:cs="Miriam" w:hint="cs"/>
                      <w:szCs w:val="18"/>
                      <w:rtl/>
                    </w:rPr>
                    <w:t>ידיעות נוספים</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המכריע רשאי לדרוש מהמתנגד, ממגיש התכנית</w:t>
      </w:r>
      <w:r>
        <w:rPr>
          <w:rStyle w:val="default"/>
          <w:rFonts w:cs="FrankRuehl"/>
          <w:rtl/>
        </w:rPr>
        <w:t xml:space="preserve"> </w:t>
      </w:r>
      <w:r>
        <w:rPr>
          <w:rStyle w:val="default"/>
          <w:rFonts w:cs="FrankRuehl" w:hint="cs"/>
          <w:rtl/>
        </w:rPr>
        <w:t>ומהיוזם כאמור בתקנה 13, להמציא לו, תוך המועד שיקבע, מסמכים או ידיעות נוספים שברשותם והדרושים, לדעתו, לבירור ההתנגדות; המוסד המכריע רשאי לדרוש כי ידיעות כאמור יוג</w:t>
      </w:r>
      <w:r>
        <w:rPr>
          <w:rStyle w:val="default"/>
          <w:rFonts w:cs="FrankRuehl"/>
          <w:rtl/>
        </w:rPr>
        <w:t>ש</w:t>
      </w:r>
      <w:r>
        <w:rPr>
          <w:rStyle w:val="default"/>
          <w:rFonts w:cs="FrankRuehl" w:hint="cs"/>
          <w:rtl/>
        </w:rPr>
        <w:t>ו לו בתצהיר.</w:t>
      </w:r>
    </w:p>
    <w:p w14:paraId="713294F5"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קיים מתנגד דרישה לפי תקנה זו, רשאי המוסד המכריע, לאחר שניתנה למתנגד הזדמנות לטעון את טענותיו, למחוק את ההתנגדות, כולה או מקצתה.</w:t>
      </w:r>
    </w:p>
    <w:p w14:paraId="3C8970F1"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קיים מגיש תכנית או היוזם כאמור בתקנה 13 דרישה לפי תקנה זו, רשאי המוסד המכריע, לאחר שניתנה לאלה הזד</w:t>
      </w:r>
      <w:r>
        <w:rPr>
          <w:rStyle w:val="default"/>
          <w:rFonts w:cs="FrankRuehl"/>
          <w:rtl/>
        </w:rPr>
        <w:t>מ</w:t>
      </w:r>
      <w:r>
        <w:rPr>
          <w:rStyle w:val="default"/>
          <w:rFonts w:cs="FrankRuehl" w:hint="cs"/>
          <w:rtl/>
        </w:rPr>
        <w:t xml:space="preserve">נות לטעון את טענותיהם בענין זה, לראות את הטענות שבעובדה שבהתנגדות, כולן או מקצתן, כאילו הוכחו. </w:t>
      </w:r>
    </w:p>
    <w:p w14:paraId="7FBEA3CA" w14:textId="77777777" w:rsidR="00BC54D9" w:rsidRDefault="00BC54D9">
      <w:pPr>
        <w:pStyle w:val="P00"/>
        <w:spacing w:before="72"/>
        <w:ind w:left="0" w:right="1134"/>
        <w:rPr>
          <w:rStyle w:val="default"/>
          <w:rFonts w:cs="FrankRuehl"/>
          <w:rtl/>
        </w:rPr>
      </w:pPr>
      <w:bookmarkStart w:id="22" w:name="Seif17"/>
      <w:bookmarkEnd w:id="22"/>
      <w:r>
        <w:rPr>
          <w:lang w:val="he-IL"/>
        </w:rPr>
        <w:pict w14:anchorId="460D55D0">
          <v:rect id="_x0000_s1045" style="position:absolute;left:0;text-align:left;margin-left:464.5pt;margin-top:8.05pt;width:75.05pt;height:8pt;z-index:251660800" o:allowincell="f" filled="f" stroked="f" strokecolor="lime" strokeweight=".25pt">
            <v:textbox style="mso-next-textbox:#_x0000_s1045" inset="0,0,0,0">
              <w:txbxContent>
                <w:p w14:paraId="7BA35C74" w14:textId="77777777" w:rsidR="00BC54D9" w:rsidRDefault="00BC54D9">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פרוטוקול על מהלך הדיון בפני המוסד המכריע ינוהל בידי יושב ראש המוסד או בידי מי שמינה לכך, וייחתם ביד יושב ראש המוסד המכריע.</w:t>
      </w:r>
    </w:p>
    <w:p w14:paraId="4F9E7F35" w14:textId="77777777" w:rsidR="00BC54D9" w:rsidRDefault="00BC54D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הפרוטוקול י</w:t>
      </w:r>
      <w:r>
        <w:rPr>
          <w:rStyle w:val="default"/>
          <w:rFonts w:cs="FrankRuehl"/>
          <w:rtl/>
        </w:rPr>
        <w:t>כ</w:t>
      </w:r>
      <w:r>
        <w:rPr>
          <w:rStyle w:val="default"/>
          <w:rFonts w:cs="FrankRuehl" w:hint="cs"/>
          <w:rtl/>
        </w:rPr>
        <w:t xml:space="preserve">לול את </w:t>
      </w:r>
      <w:r>
        <w:rPr>
          <w:rStyle w:val="default"/>
          <w:rFonts w:cs="FrankRuehl"/>
          <w:rtl/>
        </w:rPr>
        <w:t>–</w:t>
      </w:r>
    </w:p>
    <w:p w14:paraId="0E82F3CA" w14:textId="77777777" w:rsidR="00BC54D9" w:rsidRDefault="00BC54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שמותיהם של חברי המוסד המכריע שנכחו במשך כל הישיבה או במשך חלק ממנה; </w:t>
      </w:r>
    </w:p>
    <w:p w14:paraId="50CF5690" w14:textId="77777777" w:rsidR="00BC54D9" w:rsidRDefault="00BC54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שמותיהם של חברי המוסד המכריע שנעדרו מהישיבה, ושמותיהם של אנשים אחרים שנכחו בישיבה, שלא כמאזינים בלבד, ותיאור מעמדם, לרבות המתנגדים והמשיבים על נציגיהם ומלוויהם;</w:t>
      </w:r>
    </w:p>
    <w:p w14:paraId="3D38A569" w14:textId="77777777" w:rsidR="00BC54D9" w:rsidRDefault="00BC54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תמצית הטיעון של כל מי שהיה רשאי לטעון לפי החוק או תקנות אלה;</w:t>
      </w:r>
    </w:p>
    <w:p w14:paraId="412E717B" w14:textId="77777777" w:rsidR="00BC54D9" w:rsidRDefault="00BC54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החלטותיו של המוסד המכריע ושל היושב ראש שלו.</w:t>
      </w:r>
    </w:p>
    <w:p w14:paraId="2DC44856"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הפרוטוקול יישמר בידי המוסד המכריע, אם לא נאמר אחרת בתקנות לפי החוק, עד שיוכרע מה ייעשה בו לפי חוק הארכיונים, תשט"ו-195</w:t>
      </w:r>
      <w:r>
        <w:rPr>
          <w:rStyle w:val="default"/>
          <w:rFonts w:cs="FrankRuehl"/>
          <w:rtl/>
        </w:rPr>
        <w:t>5.</w:t>
      </w:r>
    </w:p>
    <w:p w14:paraId="5E17DE1D"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כתב ההתנגדות, חוות דעתה של הוועדה המקומית לפי סעיף 106 לחוק וכן המסמכים והראיות האחרות שנתקבלו על ידי המוסד המכריע והנוגעים לדיון, יישמרו בידי המוסד המכריע ביחד עם הפרוטוקול.</w:t>
      </w:r>
    </w:p>
    <w:p w14:paraId="54B0D454"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המוסד המכריע רשאי לדרוש ממי שמסר במהלך הדיון מסמכים או ראיו</w:t>
      </w:r>
      <w:r>
        <w:rPr>
          <w:rStyle w:val="default"/>
          <w:rFonts w:cs="FrankRuehl"/>
          <w:rtl/>
        </w:rPr>
        <w:t>ת</w:t>
      </w:r>
      <w:r>
        <w:rPr>
          <w:rStyle w:val="default"/>
          <w:rFonts w:cs="FrankRuehl" w:hint="cs"/>
          <w:rtl/>
        </w:rPr>
        <w:t xml:space="preserve"> אחרות, לערוך מהם תמצית. </w:t>
      </w:r>
    </w:p>
    <w:p w14:paraId="1ECE7388" w14:textId="77777777" w:rsidR="00BC54D9" w:rsidRDefault="00BC54D9">
      <w:pPr>
        <w:pStyle w:val="P00"/>
        <w:spacing w:before="72"/>
        <w:ind w:left="0" w:right="1134"/>
        <w:rPr>
          <w:rStyle w:val="default"/>
          <w:rFonts w:cs="FrankRuehl"/>
          <w:rtl/>
        </w:rPr>
      </w:pPr>
      <w:bookmarkStart w:id="23" w:name="Seif18"/>
      <w:bookmarkEnd w:id="23"/>
      <w:r>
        <w:rPr>
          <w:lang w:val="he-IL"/>
        </w:rPr>
        <w:pict w14:anchorId="08A1E1AF">
          <v:rect id="_x0000_s1046" style="position:absolute;left:0;text-align:left;margin-left:464.5pt;margin-top:8.05pt;width:75.05pt;height:16pt;z-index:251661824" o:allowincell="f" filled="f" stroked="f" strokecolor="lime" strokeweight=".25pt">
            <v:textbox style="mso-next-textbox:#_x0000_s1046" inset="0,0,0,0">
              <w:txbxContent>
                <w:p w14:paraId="4B742568"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 xml:space="preserve">חולה על דיון </w:t>
                  </w:r>
                  <w:r>
                    <w:rPr>
                      <w:rFonts w:cs="Miriam"/>
                      <w:szCs w:val="18"/>
                      <w:rtl/>
                    </w:rPr>
                    <w:t>ב</w:t>
                  </w:r>
                  <w:r>
                    <w:rPr>
                      <w:rFonts w:cs="Miriam" w:hint="cs"/>
                      <w:szCs w:val="18"/>
                      <w:rtl/>
                    </w:rPr>
                    <w:t>פני חוקר</w:t>
                  </w:r>
                </w:p>
              </w:txbxContent>
            </v:textbox>
            <w10:anchorlock/>
          </v:rect>
        </w:pict>
      </w:r>
      <w:r>
        <w:rPr>
          <w:rStyle w:val="big-number"/>
          <w:rFonts w:cs="Miriam"/>
          <w:rtl/>
        </w:rPr>
        <w:t>18.</w:t>
      </w:r>
      <w:r>
        <w:rPr>
          <w:rStyle w:val="big-number"/>
          <w:rFonts w:cs="Miriam"/>
          <w:rtl/>
        </w:rPr>
        <w:tab/>
      </w:r>
      <w:r>
        <w:rPr>
          <w:rStyle w:val="default"/>
          <w:rFonts w:cs="FrankRuehl"/>
          <w:rtl/>
        </w:rPr>
        <w:t>נ</w:t>
      </w:r>
      <w:r>
        <w:rPr>
          <w:rStyle w:val="default"/>
          <w:rFonts w:cs="FrankRuehl" w:hint="cs"/>
          <w:rtl/>
        </w:rPr>
        <w:t>תמנה חוקר לפי סעיף 107א לחוק, יחולו תקנות 6, 8, 12 עד 17, ו-22, בשינויים המחוייבים, גם על שמיעת ההתנגדויות על ידי החוקר, ולענין זה יהיו לחוקר הסמכויות של המוסד המכריע ושל היושב ראש שלו, למעט הסמכוי</w:t>
      </w:r>
      <w:r>
        <w:rPr>
          <w:rStyle w:val="default"/>
          <w:rFonts w:cs="FrankRuehl"/>
          <w:rtl/>
        </w:rPr>
        <w:t>ו</w:t>
      </w:r>
      <w:r>
        <w:rPr>
          <w:rStyle w:val="default"/>
          <w:rFonts w:cs="FrankRuehl" w:hint="cs"/>
          <w:rtl/>
        </w:rPr>
        <w:t xml:space="preserve">ת לפי תקנה 16(ב) ו-(ג) והחובות לפי תקנה 17(ג) ו-(ד). </w:t>
      </w:r>
    </w:p>
    <w:p w14:paraId="7132FA26" w14:textId="77777777" w:rsidR="00BC54D9" w:rsidRDefault="00BC54D9">
      <w:pPr>
        <w:pStyle w:val="P00"/>
        <w:spacing w:before="72"/>
        <w:ind w:left="0" w:right="1134"/>
        <w:rPr>
          <w:rStyle w:val="default"/>
          <w:rFonts w:cs="FrankRuehl"/>
          <w:rtl/>
        </w:rPr>
      </w:pPr>
      <w:bookmarkStart w:id="24" w:name="Seif19"/>
      <w:bookmarkEnd w:id="24"/>
      <w:r>
        <w:rPr>
          <w:lang w:val="he-IL"/>
        </w:rPr>
        <w:pict w14:anchorId="455BB73D">
          <v:rect id="_x0000_s1047" style="position:absolute;left:0;text-align:left;margin-left:464.5pt;margin-top:8.05pt;width:75.05pt;height:24pt;z-index:251662848" o:allowincell="f" filled="f" stroked="f" strokecolor="lime" strokeweight=".25pt">
            <v:textbox style="mso-next-textbox:#_x0000_s1047" inset="0,0,0,0">
              <w:txbxContent>
                <w:p w14:paraId="448C2FE9" w14:textId="77777777" w:rsidR="00BC54D9" w:rsidRDefault="00BC54D9">
                  <w:pPr>
                    <w:spacing w:line="160" w:lineRule="exact"/>
                    <w:jc w:val="left"/>
                    <w:rPr>
                      <w:rFonts w:cs="Miriam"/>
                      <w:noProof/>
                      <w:szCs w:val="18"/>
                      <w:rtl/>
                    </w:rPr>
                  </w:pPr>
                  <w:r>
                    <w:rPr>
                      <w:rFonts w:cs="Miriam"/>
                      <w:szCs w:val="18"/>
                      <w:rtl/>
                    </w:rPr>
                    <w:t>ד</w:t>
                  </w:r>
                  <w:r>
                    <w:rPr>
                      <w:rFonts w:cs="Miriam" w:hint="cs"/>
                      <w:szCs w:val="18"/>
                      <w:rtl/>
                    </w:rPr>
                    <w:t>יון לפ</w:t>
                  </w:r>
                  <w:r>
                    <w:rPr>
                      <w:rFonts w:cs="Miriam"/>
                      <w:szCs w:val="18"/>
                      <w:rtl/>
                    </w:rPr>
                    <w:t>נ</w:t>
                  </w:r>
                  <w:r>
                    <w:rPr>
                      <w:rFonts w:cs="Miriam" w:hint="cs"/>
                      <w:szCs w:val="18"/>
                      <w:rtl/>
                    </w:rPr>
                    <w:t xml:space="preserve">י חוקר </w:t>
                  </w:r>
                  <w:r>
                    <w:rPr>
                      <w:rFonts w:cs="Miriam"/>
                      <w:szCs w:val="18"/>
                      <w:rtl/>
                    </w:rPr>
                    <w:t>–</w:t>
                  </w:r>
                  <w:r>
                    <w:rPr>
                      <w:rFonts w:cs="Miriam" w:hint="cs"/>
                      <w:szCs w:val="18"/>
                      <w:rtl/>
                    </w:rPr>
                    <w:t xml:space="preserve"> הוראות </w:t>
                  </w:r>
                  <w:r>
                    <w:rPr>
                      <w:rFonts w:cs="Miriam"/>
                      <w:szCs w:val="18"/>
                      <w:rtl/>
                    </w:rPr>
                    <w:t>נ</w:t>
                  </w:r>
                  <w:r>
                    <w:rPr>
                      <w:rFonts w:cs="Miriam" w:hint="cs"/>
                      <w:szCs w:val="18"/>
                      <w:rtl/>
                    </w:rPr>
                    <w:t>וספות</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הממנה חוקר לפי סעיף 107א לחוק רשאי לקבוע לו, בשעת המינוי, מועד לסיום החקירה ולהגשת המלצותיו בעקבותיה.</w:t>
      </w:r>
    </w:p>
    <w:p w14:paraId="4BB38A86"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היתה קבלת התנגדות, לדעתו של החוקר, עלולה לפגוע באדם </w:t>
      </w:r>
      <w:r>
        <w:rPr>
          <w:rStyle w:val="default"/>
          <w:rFonts w:cs="FrankRuehl"/>
          <w:rtl/>
        </w:rPr>
        <w:t>ש</w:t>
      </w:r>
      <w:r>
        <w:rPr>
          <w:rStyle w:val="default"/>
          <w:rFonts w:cs="FrankRuehl" w:hint="cs"/>
          <w:rtl/>
        </w:rPr>
        <w:t>אף הוא רשאי להגיש התנגדות לתכנית, רשאי הוא לתת לאותו אדם הזדמנות לטעון בפניו את טענותיו, בעל פה או בכתב, כפי שיחליט החוקר.</w:t>
      </w:r>
    </w:p>
    <w:p w14:paraId="41D6274C" w14:textId="77777777" w:rsidR="00BC54D9" w:rsidRDefault="00BC54D9">
      <w:pPr>
        <w:pStyle w:val="P00"/>
        <w:spacing w:before="72"/>
        <w:ind w:left="0" w:right="1134"/>
        <w:rPr>
          <w:rStyle w:val="default"/>
          <w:rFonts w:cs="FrankRuehl"/>
          <w:rtl/>
        </w:rPr>
      </w:pPr>
      <w:r>
        <w:rPr>
          <w:lang w:val="he-IL"/>
        </w:rPr>
        <w:pict w14:anchorId="6A916FA2">
          <v:rect id="_x0000_s1048" style="position:absolute;left:0;text-align:left;margin-left:464.5pt;margin-top:8.05pt;width:75.05pt;height:8pt;z-index:251663872" o:allowincell="f" filled="f" stroked="f" strokecolor="lime" strokeweight=".25pt">
            <v:textbox style="mso-next-textbox:#_x0000_s1048" inset="0,0,0,0">
              <w:txbxContent>
                <w:p w14:paraId="728C7647"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לגבי תכנית שבסמכות הועדה המחוזית, יתן החוקר למתכנן המחוז הזדמנות להשמיע דבריו, ובתכנית שבסמכות ועדה מקומית, </w:t>
      </w:r>
      <w:r>
        <w:rPr>
          <w:rStyle w:val="default"/>
          <w:rFonts w:cs="FrankRuehl"/>
          <w:rtl/>
        </w:rPr>
        <w:t>י</w:t>
      </w:r>
      <w:r>
        <w:rPr>
          <w:rStyle w:val="default"/>
          <w:rFonts w:cs="FrankRuehl" w:hint="cs"/>
          <w:rtl/>
        </w:rPr>
        <w:t>תן החוקר למהנדס הועדה הזדמנות להשמיע דבריו.</w:t>
      </w:r>
    </w:p>
    <w:p w14:paraId="4FAE68AC"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חוקר יעביר למוסד המכריע את פרוטוקול הדיונים שהתנהלו בפניו על מסמכיו הנלווים וכן את המלצותיו המנומקות לגבי ההתנגדויות.</w:t>
      </w:r>
    </w:p>
    <w:p w14:paraId="70F2750F"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הוועדה המקומית רשאית למנות מזכיר לחוקר מבין עובדיה וכן לתת את שירותי המזכירות האחרי</w:t>
      </w:r>
      <w:r>
        <w:rPr>
          <w:rStyle w:val="default"/>
          <w:rFonts w:cs="FrankRuehl"/>
          <w:rtl/>
        </w:rPr>
        <w:t>ם</w:t>
      </w:r>
      <w:r>
        <w:rPr>
          <w:rStyle w:val="default"/>
          <w:rFonts w:cs="FrankRuehl" w:hint="cs"/>
          <w:rtl/>
        </w:rPr>
        <w:t xml:space="preserve"> הכרוכים במילוי תפקידו של חוקר; לא עשתה כן, תישא הוועדה המקומית בהוצאות שירותי המזכיר ושירותי המזכירות האחרים כאמור, שיינתנו בידי מי שהוועדה המחוזית או שר הפנים, לפי הענין, מינו לכך ובדרך שאלה קבעו.</w:t>
      </w:r>
    </w:p>
    <w:p w14:paraId="2081B3D7" w14:textId="77777777" w:rsidR="00BC54D9" w:rsidRDefault="00BC54D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במילוי תפקידם יהיו המזכיר לחוקר ונותני השירותים האחרים כאמור כפופים להוראות החוקר בלבד.</w:t>
      </w:r>
    </w:p>
    <w:p w14:paraId="2ADD0E75"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25" w:name="Rov36"/>
      <w:r>
        <w:rPr>
          <w:rStyle w:val="default"/>
          <w:rFonts w:cs="FrankRuehl" w:hint="cs"/>
          <w:vanish/>
          <w:color w:val="FF0000"/>
          <w:szCs w:val="20"/>
          <w:shd w:val="clear" w:color="auto" w:fill="FFFF99"/>
          <w:rtl/>
        </w:rPr>
        <w:t>מיום 1.1.1996</w:t>
      </w:r>
    </w:p>
    <w:p w14:paraId="7D805FB0"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0E3E430" w14:textId="77777777" w:rsidR="00BC54D9" w:rsidRDefault="00BC54D9">
      <w:pPr>
        <w:pStyle w:val="P00"/>
        <w:spacing w:before="0"/>
        <w:ind w:left="0"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01B5EC05" w14:textId="77777777" w:rsidR="00BC54D9" w:rsidRDefault="00BC54D9">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תקנת משנה 19(ג)</w:t>
      </w:r>
    </w:p>
    <w:p w14:paraId="3B2C227B" w14:textId="77777777" w:rsidR="00BC54D9" w:rsidRDefault="00BC54D9">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27339809" w14:textId="77777777" w:rsidR="00BC54D9" w:rsidRDefault="00BC54D9">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(ג)</w:t>
      </w:r>
      <w:r>
        <w:rPr>
          <w:rStyle w:val="default"/>
          <w:rFonts w:cs="FrankRuehl" w:hint="cs"/>
          <w:strike/>
          <w:vanish/>
          <w:sz w:val="22"/>
          <w:szCs w:val="22"/>
          <w:shd w:val="clear" w:color="auto" w:fill="FFFF99"/>
          <w:rtl/>
        </w:rPr>
        <w:tab/>
        <w:t>החוקר יתן למתכנן המחוז הזדמנות להשמיע דבריו.</w:t>
      </w:r>
      <w:bookmarkEnd w:id="25"/>
    </w:p>
    <w:p w14:paraId="015C6977" w14:textId="77777777" w:rsidR="00BC54D9" w:rsidRDefault="00BC54D9">
      <w:pPr>
        <w:pStyle w:val="P00"/>
        <w:spacing w:before="72"/>
        <w:ind w:left="0" w:right="1134"/>
        <w:rPr>
          <w:rStyle w:val="default"/>
          <w:rFonts w:cs="FrankRuehl"/>
          <w:rtl/>
        </w:rPr>
      </w:pPr>
      <w:bookmarkStart w:id="26" w:name="Seif20"/>
      <w:bookmarkEnd w:id="26"/>
      <w:r>
        <w:rPr>
          <w:lang w:val="he-IL"/>
        </w:rPr>
        <w:pict w14:anchorId="687476D6">
          <v:rect id="_x0000_s1049" style="position:absolute;left:0;text-align:left;margin-left:464.5pt;margin-top:8.05pt;width:75.05pt;height:8pt;z-index:251664896" o:allowincell="f" filled="f" stroked="f" strokecolor="lime" strokeweight=".25pt">
            <v:textbox style="mso-next-textbox:#_x0000_s1049" inset="0,0,0,0">
              <w:txbxContent>
                <w:p w14:paraId="22C680EF" w14:textId="77777777" w:rsidR="00BC54D9" w:rsidRDefault="00BC54D9">
                  <w:pPr>
                    <w:spacing w:line="160" w:lineRule="exact"/>
                    <w:jc w:val="lef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העברת הדיון בתכנית לוועדה להשלמת תכניות לפי סעיף 109א(ב) לחוק לא תגרע מסמכותו של החוקר לסיים את הדיון בהתנגדויות ולהגיש את המלצותיו.</w:t>
      </w:r>
    </w:p>
    <w:p w14:paraId="5146A5B0"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נשמעו התנגדויות בידי חוקר, יראו אותן כאילו נשמעו בידי המוסד המכריע; אולם המוסד המכריע רשאי להזמין לדיון את המתנגדים, כולם או מקצתם, את מגיש התכנית ואת מי שטען טענות בפני החוקר לפי תקנות 12, 13, ו-19(ב), לשם שמיעת טענותיהם לנושא ההתנגדות או ההתנגדויות</w:t>
      </w:r>
      <w:r>
        <w:rPr>
          <w:rStyle w:val="default"/>
          <w:rFonts w:cs="FrankRuehl"/>
          <w:rtl/>
        </w:rPr>
        <w:t xml:space="preserve"> </w:t>
      </w:r>
      <w:r>
        <w:rPr>
          <w:rStyle w:val="default"/>
          <w:rFonts w:cs="FrankRuehl" w:hint="cs"/>
          <w:rtl/>
        </w:rPr>
        <w:t xml:space="preserve">או לחלק מהן. </w:t>
      </w:r>
    </w:p>
    <w:p w14:paraId="1E4F3844" w14:textId="77777777" w:rsidR="00BC54D9" w:rsidRDefault="00BC54D9">
      <w:pPr>
        <w:pStyle w:val="P00"/>
        <w:spacing w:before="72"/>
        <w:ind w:left="0" w:right="1134"/>
        <w:rPr>
          <w:rStyle w:val="default"/>
          <w:rFonts w:cs="FrankRuehl" w:hint="cs"/>
          <w:rtl/>
        </w:rPr>
      </w:pPr>
      <w:bookmarkStart w:id="27" w:name="Seif21"/>
      <w:bookmarkEnd w:id="27"/>
      <w:r>
        <w:rPr>
          <w:lang w:val="he-IL"/>
        </w:rPr>
        <w:pict w14:anchorId="56FFD98A">
          <v:rect id="_x0000_s1050" style="position:absolute;left:0;text-align:left;margin-left:464.5pt;margin-top:8.05pt;width:75.05pt;height:24pt;z-index:251665920" o:allowincell="f" filled="f" stroked="f" strokecolor="lime" strokeweight=".25pt">
            <v:textbox style="mso-next-textbox:#_x0000_s1050" inset="0,0,0,0">
              <w:txbxContent>
                <w:p w14:paraId="0D11C876"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 xml:space="preserve">חלטת המוסד </w:t>
                  </w:r>
                  <w:r>
                    <w:rPr>
                      <w:rFonts w:cs="Miriam"/>
                      <w:szCs w:val="18"/>
                      <w:rtl/>
                    </w:rPr>
                    <w:t>ה</w:t>
                  </w:r>
                  <w:r>
                    <w:rPr>
                      <w:rFonts w:cs="Miriam" w:hint="cs"/>
                      <w:szCs w:val="18"/>
                      <w:rtl/>
                    </w:rPr>
                    <w:t>מכריע</w:t>
                  </w:r>
                </w:p>
                <w:p w14:paraId="7E441B33" w14:textId="77777777" w:rsidR="00BC54D9" w:rsidRDefault="00BC54D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כרעת המוסד המכריע בהתנגדות תיערך בכתב, תיחתם ביד יושב ראש המוסד המכריע ותצורף לפרוטוקול הדיונים; העתק ממנה יומצא למתנגד, לועדה המחוזית, לועדה המקומית ולמגיש התכנית; אולם בהתנגדויות לתכנית מתאר מחוזי</w:t>
      </w:r>
      <w:r>
        <w:rPr>
          <w:rStyle w:val="default"/>
          <w:rFonts w:cs="FrankRuehl"/>
          <w:rtl/>
        </w:rPr>
        <w:t>ת</w:t>
      </w:r>
      <w:r>
        <w:rPr>
          <w:rStyle w:val="default"/>
          <w:rFonts w:cs="FrankRuehl" w:hint="cs"/>
          <w:rtl/>
        </w:rPr>
        <w:t xml:space="preserve"> לא יהיה צורך להמציא העתק ההכרעה לועדה המקומית.</w:t>
      </w:r>
    </w:p>
    <w:p w14:paraId="602E5A26" w14:textId="77777777" w:rsidR="00BC54D9" w:rsidRDefault="00BC54D9">
      <w:pPr>
        <w:pStyle w:val="P00"/>
        <w:spacing w:before="0"/>
        <w:ind w:left="0" w:right="1134"/>
        <w:rPr>
          <w:rStyle w:val="default"/>
          <w:rFonts w:cs="FrankRuehl" w:hint="cs"/>
          <w:vanish/>
          <w:color w:val="FF0000"/>
          <w:szCs w:val="20"/>
          <w:shd w:val="clear" w:color="auto" w:fill="FFFF99"/>
          <w:rtl/>
        </w:rPr>
      </w:pPr>
      <w:bookmarkStart w:id="28" w:name="Rov37"/>
      <w:r>
        <w:rPr>
          <w:rStyle w:val="default"/>
          <w:rFonts w:cs="FrankRuehl" w:hint="cs"/>
          <w:vanish/>
          <w:color w:val="FF0000"/>
          <w:szCs w:val="20"/>
          <w:shd w:val="clear" w:color="auto" w:fill="FFFF99"/>
          <w:rtl/>
        </w:rPr>
        <w:t>מיום 1.1.1996</w:t>
      </w:r>
    </w:p>
    <w:p w14:paraId="6D454EA6" w14:textId="77777777" w:rsidR="00BC54D9" w:rsidRDefault="00BC54D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16E73742" w14:textId="77777777" w:rsidR="00BC54D9" w:rsidRDefault="00BC54D9">
      <w:pPr>
        <w:pStyle w:val="P00"/>
        <w:spacing w:before="0"/>
        <w:ind w:left="0"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תשנ"ו מס' 5730</w:t>
        </w:r>
      </w:hyperlink>
      <w:r>
        <w:rPr>
          <w:rStyle w:val="default"/>
          <w:rFonts w:cs="FrankRuehl" w:hint="cs"/>
          <w:vanish/>
          <w:szCs w:val="20"/>
          <w:shd w:val="clear" w:color="auto" w:fill="FFFF99"/>
          <w:rtl/>
        </w:rPr>
        <w:t xml:space="preserve"> מיום 11.1.1996 עמ' 428</w:t>
      </w:r>
    </w:p>
    <w:p w14:paraId="3F3FA9AE" w14:textId="77777777" w:rsidR="00BC54D9" w:rsidRDefault="00BC54D9">
      <w:pPr>
        <w:pStyle w:val="P00"/>
        <w:ind w:left="0" w:right="1134"/>
        <w:rPr>
          <w:rStyle w:val="default"/>
          <w:rFonts w:cs="FrankRuehl" w:hint="cs"/>
          <w:sz w:val="2"/>
          <w:szCs w:val="2"/>
          <w:rtl/>
        </w:rPr>
      </w:pPr>
      <w:r>
        <w:rPr>
          <w:rStyle w:val="big-number"/>
          <w:rFonts w:cs="FrankRuehl"/>
          <w:vanish/>
          <w:sz w:val="22"/>
          <w:szCs w:val="22"/>
          <w:shd w:val="clear" w:color="auto" w:fill="FFFF99"/>
          <w:rtl/>
        </w:rPr>
        <w:t>21.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כרעת המוסד המכריע בהתנגדות תיערך בכתב, תיחתם ביד יושב ראש המוסד המכריע ותצורף לפרוטוקול הדיונים; העתק ממנה יומצא למתנגד, </w:t>
      </w:r>
      <w:r>
        <w:rPr>
          <w:rStyle w:val="default"/>
          <w:rFonts w:cs="FrankRuehl" w:hint="cs"/>
          <w:vanish/>
          <w:sz w:val="22"/>
          <w:szCs w:val="22"/>
          <w:u w:val="single"/>
          <w:shd w:val="clear" w:color="auto" w:fill="FFFF99"/>
          <w:rtl/>
        </w:rPr>
        <w:t>לועדה המחוזית,</w:t>
      </w:r>
      <w:r>
        <w:rPr>
          <w:rStyle w:val="default"/>
          <w:rFonts w:cs="FrankRuehl" w:hint="cs"/>
          <w:vanish/>
          <w:sz w:val="22"/>
          <w:szCs w:val="22"/>
          <w:shd w:val="clear" w:color="auto" w:fill="FFFF99"/>
          <w:rtl/>
        </w:rPr>
        <w:t xml:space="preserve"> לועדה המקומית ולמגיש התכנית; אולם בהתנגדויות לתכנית מתאר מחוזי</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לא יהיה צורך להמציא העתק ההכרעה לועדה המקומית.</w:t>
      </w:r>
      <w:bookmarkEnd w:id="28"/>
    </w:p>
    <w:p w14:paraId="085D55BA" w14:textId="77777777" w:rsidR="00BC54D9" w:rsidRDefault="00BC54D9">
      <w:pPr>
        <w:pStyle w:val="P00"/>
        <w:spacing w:before="72"/>
        <w:ind w:left="0" w:right="1134"/>
        <w:rPr>
          <w:rStyle w:val="default"/>
          <w:rFonts w:cs="FrankRuehl"/>
          <w:rtl/>
        </w:rPr>
      </w:pPr>
      <w:bookmarkStart w:id="29" w:name="Seif22"/>
      <w:bookmarkEnd w:id="29"/>
      <w:r>
        <w:rPr>
          <w:lang w:val="he-IL"/>
        </w:rPr>
        <w:pict w14:anchorId="30496F41">
          <v:rect id="_x0000_s1051" style="position:absolute;left:0;text-align:left;margin-left:464.5pt;margin-top:8.05pt;width:75.05pt;height:16pt;z-index:251666944" o:allowincell="f" filled="f" stroked="f" strokecolor="lime" strokeweight=".25pt">
            <v:textbox style="mso-next-textbox:#_x0000_s1051" inset="0,0,0,0">
              <w:txbxContent>
                <w:p w14:paraId="106EB572" w14:textId="77777777" w:rsidR="00BC54D9" w:rsidRDefault="00BC54D9">
                  <w:pPr>
                    <w:spacing w:line="160" w:lineRule="exact"/>
                    <w:jc w:val="left"/>
                    <w:rPr>
                      <w:rFonts w:cs="Miriam"/>
                      <w:noProof/>
                      <w:szCs w:val="18"/>
                      <w:rtl/>
                    </w:rPr>
                  </w:pPr>
                  <w:r>
                    <w:rPr>
                      <w:rFonts w:cs="Miriam"/>
                      <w:szCs w:val="18"/>
                      <w:rtl/>
                    </w:rPr>
                    <w:t>ס</w:t>
                  </w:r>
                  <w:r>
                    <w:rPr>
                      <w:rFonts w:cs="Miriam" w:hint="cs"/>
                      <w:szCs w:val="18"/>
                      <w:rtl/>
                    </w:rPr>
                    <w:t xml:space="preserve">טיה מהוראות </w:t>
                  </w:r>
                  <w:r>
                    <w:rPr>
                      <w:rFonts w:cs="Miriam"/>
                      <w:szCs w:val="18"/>
                      <w:rtl/>
                    </w:rPr>
                    <w:t>ה</w:t>
                  </w:r>
                  <w:r>
                    <w:rPr>
                      <w:rFonts w:cs="Miriam" w:hint="cs"/>
                      <w:szCs w:val="18"/>
                      <w:rtl/>
                    </w:rPr>
                    <w:t>תקנות</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 xml:space="preserve">מוסד המכריע, בהסכמת הנוגעים בדבר ומנימוקים שירשמו, רשאי לסטות מהוראה מהוראות תקנות אלה, אם הדבר נראה לו לשם ניהול יעיל ומעשי של הדיונים. </w:t>
      </w:r>
    </w:p>
    <w:p w14:paraId="7FAE680E" w14:textId="77777777" w:rsidR="00BC54D9" w:rsidRDefault="00BC54D9">
      <w:pPr>
        <w:pStyle w:val="P00"/>
        <w:spacing w:before="72"/>
        <w:ind w:left="0" w:right="1134"/>
        <w:rPr>
          <w:rStyle w:val="default"/>
          <w:rFonts w:cs="FrankRuehl"/>
          <w:rtl/>
        </w:rPr>
      </w:pPr>
      <w:bookmarkStart w:id="30" w:name="Seif23"/>
      <w:bookmarkEnd w:id="30"/>
      <w:r>
        <w:rPr>
          <w:lang w:val="he-IL"/>
        </w:rPr>
        <w:pict w14:anchorId="0C3DEE94">
          <v:rect id="_x0000_s1052" style="position:absolute;left:0;text-align:left;margin-left:464.5pt;margin-top:8.05pt;width:75.05pt;height:8pt;z-index:251667968" o:allowincell="f" filled="f" stroked="f" strokecolor="lime" strokeweight=".25pt">
            <v:textbox style="mso-next-textbox:#_x0000_s1052" inset="0,0,0,0">
              <w:txbxContent>
                <w:p w14:paraId="0EADDC76" w14:textId="77777777" w:rsidR="00BC54D9" w:rsidRDefault="00BC54D9">
                  <w:pPr>
                    <w:spacing w:line="160" w:lineRule="exact"/>
                    <w:jc w:val="left"/>
                    <w:rPr>
                      <w:rFonts w:cs="Miriam"/>
                      <w:noProof/>
                      <w:szCs w:val="18"/>
                      <w:rtl/>
                    </w:rPr>
                  </w:pPr>
                  <w:r>
                    <w:rPr>
                      <w:rFonts w:cs="Miriam"/>
                      <w:szCs w:val="18"/>
                      <w:rtl/>
                    </w:rPr>
                    <w:t>ק</w:t>
                  </w:r>
                  <w:r>
                    <w:rPr>
                      <w:rFonts w:cs="Miriam" w:hint="cs"/>
                      <w:szCs w:val="18"/>
                      <w:rtl/>
                    </w:rPr>
                    <w:t>יום תוקף</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ין לפסול הליך לפי תקנו</w:t>
      </w:r>
      <w:r>
        <w:rPr>
          <w:rStyle w:val="default"/>
          <w:rFonts w:cs="FrankRuehl"/>
          <w:rtl/>
        </w:rPr>
        <w:t>ת</w:t>
      </w:r>
      <w:r>
        <w:rPr>
          <w:rStyle w:val="default"/>
          <w:rFonts w:cs="FrankRuehl" w:hint="cs"/>
          <w:rtl/>
        </w:rPr>
        <w:t xml:space="preserve"> אלה בשל אי-קיום הוראה מהוראותיהן, אם נתברר שאי-הקיום לא גרם לעיוות דין.</w:t>
      </w:r>
    </w:p>
    <w:p w14:paraId="60DAD6B9" w14:textId="77777777" w:rsidR="00BC54D9" w:rsidRDefault="00BC54D9">
      <w:pPr>
        <w:pStyle w:val="P00"/>
        <w:spacing w:before="72"/>
        <w:ind w:left="0" w:right="1134"/>
        <w:rPr>
          <w:rStyle w:val="default"/>
          <w:rFonts w:cs="FrankRuehl"/>
          <w:rtl/>
        </w:rPr>
      </w:pPr>
      <w:bookmarkStart w:id="31" w:name="Seif24"/>
      <w:bookmarkEnd w:id="31"/>
      <w:r>
        <w:rPr>
          <w:lang w:val="he-IL"/>
        </w:rPr>
        <w:pict w14:anchorId="3EF64EB3">
          <v:rect id="_x0000_s1053" style="position:absolute;left:0;text-align:left;margin-left:464.5pt;margin-top:8.05pt;width:75.05pt;height:16pt;z-index:251668992" o:allowincell="f" filled="f" stroked="f" strokecolor="lime" strokeweight=".25pt">
            <v:textbox style="mso-next-textbox:#_x0000_s1053" inset="0,0,0,0">
              <w:txbxContent>
                <w:p w14:paraId="7C755BF6" w14:textId="77777777" w:rsidR="00BC54D9" w:rsidRDefault="00BC54D9">
                  <w:pPr>
                    <w:spacing w:line="160" w:lineRule="exact"/>
                    <w:jc w:val="left"/>
                    <w:rPr>
                      <w:rFonts w:cs="Miriam"/>
                      <w:noProof/>
                      <w:szCs w:val="18"/>
                      <w:rtl/>
                    </w:rPr>
                  </w:pPr>
                  <w:r>
                    <w:rPr>
                      <w:rFonts w:cs="Miriam"/>
                      <w:szCs w:val="18"/>
                      <w:rtl/>
                    </w:rPr>
                    <w:t>ס</w:t>
                  </w:r>
                  <w:r>
                    <w:rPr>
                      <w:rFonts w:cs="Miriam" w:hint="cs"/>
                      <w:szCs w:val="18"/>
                      <w:rtl/>
                    </w:rPr>
                    <w:t>מכות שיורית</w:t>
                  </w:r>
                </w:p>
                <w:p w14:paraId="3D55E587" w14:textId="77777777" w:rsidR="00BC54D9" w:rsidRDefault="00BC54D9">
                  <w:pPr>
                    <w:spacing w:line="160" w:lineRule="exact"/>
                    <w:jc w:val="left"/>
                    <w:rPr>
                      <w:rFonts w:cs="Miriam"/>
                      <w:noProof/>
                      <w:szCs w:val="18"/>
                      <w:rtl/>
                    </w:rPr>
                  </w:pPr>
                </w:p>
              </w:txbxContent>
            </v:textbox>
            <w10:anchorlock/>
          </v:rect>
        </w:pict>
      </w:r>
      <w:r>
        <w:rPr>
          <w:rStyle w:val="big-number"/>
          <w:rFonts w:cs="Miriam"/>
          <w:rtl/>
        </w:rPr>
        <w:t>24.</w:t>
      </w:r>
      <w:r>
        <w:rPr>
          <w:rStyle w:val="big-number"/>
          <w:rFonts w:cs="Miriam"/>
          <w:rtl/>
        </w:rPr>
        <w:tab/>
      </w:r>
      <w:r>
        <w:rPr>
          <w:rStyle w:val="default"/>
          <w:rFonts w:cs="FrankRuehl"/>
          <w:rtl/>
        </w:rPr>
        <w:t>י</w:t>
      </w:r>
      <w:r>
        <w:rPr>
          <w:rStyle w:val="default"/>
          <w:rFonts w:cs="FrankRuehl" w:hint="cs"/>
          <w:rtl/>
        </w:rPr>
        <w:t>ושב ראש המוסד המכריע רשאי להורות כיצד ינהגו בענין פלוני שבסדרי הנוהל בהתנגדויות שלגביו לא נקבעה הוראה מפורשת בתקנות אלה או בחוק.</w:t>
      </w:r>
    </w:p>
    <w:p w14:paraId="466C57F0" w14:textId="77777777" w:rsidR="00BC54D9" w:rsidRDefault="00BC54D9">
      <w:pPr>
        <w:pStyle w:val="P00"/>
        <w:spacing w:before="72"/>
        <w:ind w:left="0" w:right="1134"/>
        <w:rPr>
          <w:rStyle w:val="default"/>
          <w:rFonts w:cs="FrankRuehl"/>
          <w:rtl/>
        </w:rPr>
      </w:pPr>
      <w:bookmarkStart w:id="32" w:name="Seif25"/>
      <w:bookmarkEnd w:id="32"/>
      <w:r>
        <w:rPr>
          <w:lang w:val="he-IL"/>
        </w:rPr>
        <w:pict w14:anchorId="0A3605F1">
          <v:rect id="_x0000_s1054" style="position:absolute;left:0;text-align:left;margin-left:464.5pt;margin-top:8.05pt;width:75.05pt;height:16pt;z-index:251670016" o:allowincell="f" filled="f" stroked="f" strokecolor="lime" strokeweight=".25pt">
            <v:textbox style="mso-next-textbox:#_x0000_s1054" inset="0,0,0,0">
              <w:txbxContent>
                <w:p w14:paraId="4B0913A8"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מ</w:t>
                  </w:r>
                  <w:r>
                    <w:rPr>
                      <w:rFonts w:cs="Miriam"/>
                      <w:szCs w:val="18"/>
                      <w:rtl/>
                    </w:rPr>
                    <w:t>צ</w:t>
                  </w:r>
                  <w:r>
                    <w:rPr>
                      <w:rFonts w:cs="Miriam" w:hint="cs"/>
                      <w:szCs w:val="18"/>
                      <w:rtl/>
                    </w:rPr>
                    <w:t>את מסמכים</w:t>
                  </w:r>
                </w:p>
                <w:p w14:paraId="3643E149" w14:textId="77777777" w:rsidR="00BC54D9" w:rsidRDefault="00BC54D9">
                  <w:pPr>
                    <w:spacing w:line="160" w:lineRule="exact"/>
                    <w:jc w:val="left"/>
                    <w:rPr>
                      <w:rFonts w:cs="Miriam"/>
                      <w:noProof/>
                      <w:szCs w:val="18"/>
                      <w:rtl/>
                    </w:rPr>
                  </w:pP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הזמנה</w:t>
      </w:r>
      <w:r>
        <w:rPr>
          <w:rStyle w:val="default"/>
          <w:rFonts w:cs="FrankRuehl"/>
          <w:rtl/>
        </w:rPr>
        <w:t xml:space="preserve">, </w:t>
      </w:r>
      <w:r>
        <w:rPr>
          <w:rStyle w:val="default"/>
          <w:rFonts w:cs="FrankRuehl" w:hint="cs"/>
          <w:rtl/>
        </w:rPr>
        <w:t xml:space="preserve">דרישה ומסמך אחר שיש להמציא לאדם לפי תקנות אלה (בתקנה זו </w:t>
      </w:r>
      <w:r>
        <w:rPr>
          <w:rStyle w:val="default"/>
          <w:rFonts w:cs="FrankRuehl"/>
          <w:rtl/>
        </w:rPr>
        <w:t>–</w:t>
      </w:r>
      <w:r>
        <w:rPr>
          <w:rStyle w:val="default"/>
          <w:rFonts w:cs="FrankRuehl" w:hint="cs"/>
          <w:rtl/>
        </w:rPr>
        <w:t xml:space="preserve"> מסמך), המצאתו תהא באחת מאלה:</w:t>
      </w:r>
    </w:p>
    <w:p w14:paraId="45767F22" w14:textId="77777777" w:rsidR="00BC54D9" w:rsidRDefault="00BC54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w:t>
      </w:r>
      <w:r>
        <w:rPr>
          <w:rStyle w:val="default"/>
          <w:rFonts w:cs="FrankRuehl"/>
          <w:rtl/>
        </w:rPr>
        <w:t xml:space="preserve"> </w:t>
      </w:r>
      <w:r>
        <w:rPr>
          <w:rStyle w:val="default"/>
          <w:rFonts w:cs="FrankRuehl" w:hint="cs"/>
          <w:rtl/>
        </w:rPr>
        <w:t xml:space="preserve">שנים, ובתאגיד ובחבר בני-אדם </w:t>
      </w:r>
      <w:r>
        <w:rPr>
          <w:rStyle w:val="default"/>
          <w:rFonts w:cs="FrankRuehl"/>
          <w:rtl/>
        </w:rPr>
        <w:t>–</w:t>
      </w:r>
      <w:r>
        <w:rPr>
          <w:rStyle w:val="default"/>
          <w:rFonts w:cs="FrankRuehl" w:hint="cs"/>
          <w:rtl/>
        </w:rPr>
        <w:t xml:space="preserve"> במסירה במשרדו הרשום או לידי אדם המורשה כדין לייצגו;</w:t>
      </w:r>
    </w:p>
    <w:p w14:paraId="6DF8193C" w14:textId="77777777" w:rsidR="00BC54D9" w:rsidRDefault="00BC54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במשלוח, במכתב רשום, לפי מענו של האדם, התאגיד או חבר בני האדם; ויראו את התאריך שבאישור המסירה של המכתב הרשום כתאריך ההמצאה.</w:t>
      </w:r>
    </w:p>
    <w:p w14:paraId="61ED037D"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הודיע מי שיש להמציא לו מסמך (להלן </w:t>
      </w:r>
      <w:r>
        <w:rPr>
          <w:rStyle w:val="default"/>
          <w:rFonts w:cs="FrankRuehl"/>
          <w:rtl/>
        </w:rPr>
        <w:t>–</w:t>
      </w:r>
      <w:r>
        <w:rPr>
          <w:rStyle w:val="default"/>
          <w:rFonts w:cs="FrankRuehl" w:hint="cs"/>
          <w:rtl/>
        </w:rPr>
        <w:t xml:space="preserve"> הנמען</w:t>
      </w:r>
      <w:r>
        <w:rPr>
          <w:rStyle w:val="default"/>
          <w:rFonts w:cs="FrankRuehl"/>
          <w:rtl/>
        </w:rPr>
        <w:t xml:space="preserve">) </w:t>
      </w:r>
      <w:r>
        <w:rPr>
          <w:rStyle w:val="default"/>
          <w:rFonts w:cs="FrankRuehl" w:hint="cs"/>
          <w:rtl/>
        </w:rPr>
        <w:t>למוסד המכריע או לחוקר, לפי הענין, על שמו ומענו של נציג לענין הדיון בהתנגדויות, יכול שההמצאה תהא במסירה לאותו נציג או במסירה במשרד הנציג לידי פקידו.</w:t>
      </w:r>
    </w:p>
    <w:p w14:paraId="5CABB371" w14:textId="77777777" w:rsidR="00BC54D9" w:rsidRDefault="00BC54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ראה יושב ראש המוסד המכריע או החוקר, לפי הענין, שאי-אפשר לבצע את ההמצאה כאמור בתקנות משנה (א) או (ב), </w:t>
      </w:r>
      <w:r>
        <w:rPr>
          <w:rStyle w:val="default"/>
          <w:rFonts w:cs="FrankRuehl"/>
          <w:rtl/>
        </w:rPr>
        <w:t>ר</w:t>
      </w:r>
      <w:r>
        <w:rPr>
          <w:rStyle w:val="default"/>
          <w:rFonts w:cs="FrankRuehl" w:hint="cs"/>
          <w:rtl/>
        </w:rPr>
        <w:t>שאי הוא להורות על המצאה באחת הדרכים האלה:</w:t>
      </w:r>
    </w:p>
    <w:p w14:paraId="420FD882" w14:textId="77777777" w:rsidR="00BC54D9" w:rsidRDefault="00BC54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בהדבקת עותק המסמך במקום הנראה לעין במשרדי המוסד המכריע, וכן בבית שבו, כידוע, גר או עסק הנמען לאחרונה, או שנמסר עליו כמען למסירת מסמכים לפי תקנה 3(2);</w:t>
      </w:r>
    </w:p>
    <w:p w14:paraId="74F1C0A0" w14:textId="77777777" w:rsidR="00BC54D9" w:rsidRDefault="00BC54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בפרסום מודעה ברשומות או בעתון;</w:t>
      </w:r>
    </w:p>
    <w:p w14:paraId="7977AC50" w14:textId="77777777" w:rsidR="00BC54D9" w:rsidRDefault="00BC54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בכל דרך אחרת שתיראה </w:t>
      </w:r>
      <w:r>
        <w:rPr>
          <w:rStyle w:val="default"/>
          <w:rFonts w:cs="FrankRuehl"/>
          <w:rtl/>
        </w:rPr>
        <w:t>ל</w:t>
      </w:r>
      <w:r>
        <w:rPr>
          <w:rStyle w:val="default"/>
          <w:rFonts w:cs="FrankRuehl" w:hint="cs"/>
          <w:rtl/>
        </w:rPr>
        <w:t>ו.</w:t>
      </w:r>
    </w:p>
    <w:p w14:paraId="7F1A725E" w14:textId="77777777" w:rsidR="00BC54D9" w:rsidRDefault="00BC54D9">
      <w:pPr>
        <w:pStyle w:val="P00"/>
        <w:spacing w:before="72"/>
        <w:ind w:left="0" w:right="1134"/>
        <w:rPr>
          <w:rStyle w:val="default"/>
          <w:rFonts w:cs="FrankRuehl"/>
          <w:rtl/>
        </w:rPr>
      </w:pPr>
      <w:bookmarkStart w:id="33" w:name="Seif26"/>
      <w:bookmarkEnd w:id="33"/>
      <w:r>
        <w:rPr>
          <w:lang w:val="he-IL"/>
        </w:rPr>
        <w:pict w14:anchorId="558EAB04">
          <v:rect id="_x0000_s1055" style="position:absolute;left:0;text-align:left;margin-left:464.5pt;margin-top:8.05pt;width:75.05pt;height:16pt;z-index:251671040" o:allowincell="f" filled="f" stroked="f" strokecolor="lime" strokeweight=".25pt">
            <v:textbox style="mso-next-textbox:#_x0000_s1055" inset="0,0,0,0">
              <w:txbxContent>
                <w:p w14:paraId="0DF37656" w14:textId="77777777" w:rsidR="00BC54D9" w:rsidRDefault="00BC54D9">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w:t>
                  </w:r>
                </w:p>
                <w:p w14:paraId="500F76E4" w14:textId="77777777" w:rsidR="00BC54D9" w:rsidRDefault="00BC54D9">
                  <w:pPr>
                    <w:spacing w:line="160" w:lineRule="exact"/>
                    <w:jc w:val="left"/>
                    <w:rPr>
                      <w:rFonts w:cs="Miriam"/>
                      <w:noProof/>
                      <w:szCs w:val="18"/>
                      <w:rtl/>
                    </w:rPr>
                  </w:pPr>
                </w:p>
              </w:txbxContent>
            </v:textbox>
            <w10:anchorlock/>
          </v:rect>
        </w:pict>
      </w:r>
      <w:r>
        <w:rPr>
          <w:rStyle w:val="big-number"/>
          <w:rFonts w:cs="Miriam"/>
          <w:rtl/>
        </w:rPr>
        <w:t>26.</w:t>
      </w:r>
      <w:r>
        <w:rPr>
          <w:rStyle w:val="big-number"/>
          <w:rFonts w:cs="Miriam"/>
          <w:rtl/>
        </w:rPr>
        <w:tab/>
      </w:r>
      <w:r>
        <w:rPr>
          <w:rStyle w:val="default"/>
          <w:rFonts w:cs="FrankRuehl"/>
          <w:rtl/>
        </w:rPr>
        <w:t>ת</w:t>
      </w:r>
      <w:r>
        <w:rPr>
          <w:rStyle w:val="default"/>
          <w:rFonts w:cs="FrankRuehl" w:hint="cs"/>
          <w:rtl/>
        </w:rPr>
        <w:t xml:space="preserve">קנות התכנון והבניה (סדרי דין לדיון בהתנגדויות לתכנית), תשכ"ו-1966 </w:t>
      </w:r>
      <w:r>
        <w:rPr>
          <w:rStyle w:val="default"/>
          <w:rFonts w:cs="FrankRuehl"/>
          <w:rtl/>
        </w:rPr>
        <w:t>–</w:t>
      </w:r>
      <w:r>
        <w:rPr>
          <w:rStyle w:val="default"/>
          <w:rFonts w:cs="FrankRuehl" w:hint="cs"/>
          <w:rtl/>
        </w:rPr>
        <w:t xml:space="preserve"> בטלות.</w:t>
      </w:r>
    </w:p>
    <w:p w14:paraId="34A28359" w14:textId="77777777" w:rsidR="00BC54D9" w:rsidRDefault="00BC54D9">
      <w:pPr>
        <w:pStyle w:val="P00"/>
        <w:spacing w:before="72"/>
        <w:ind w:left="0" w:right="1134"/>
        <w:rPr>
          <w:rStyle w:val="default"/>
          <w:rFonts w:cs="FrankRuehl"/>
          <w:rtl/>
        </w:rPr>
      </w:pPr>
      <w:bookmarkStart w:id="34" w:name="Seif27"/>
      <w:bookmarkEnd w:id="34"/>
      <w:r>
        <w:rPr>
          <w:lang w:val="he-IL"/>
        </w:rPr>
        <w:pict w14:anchorId="5D43A8B2">
          <v:rect id="_x0000_s1056" style="position:absolute;left:0;text-align:left;margin-left:464.5pt;margin-top:8.05pt;width:75.05pt;height:16pt;z-index:251672064" o:allowincell="f" filled="f" stroked="f" strokecolor="lime" strokeweight=".25pt">
            <v:textbox style="mso-next-textbox:#_x0000_s1056" inset="0,0,0,0">
              <w:txbxContent>
                <w:p w14:paraId="4665082C" w14:textId="77777777" w:rsidR="00BC54D9" w:rsidRDefault="00BC54D9">
                  <w:pPr>
                    <w:spacing w:line="160" w:lineRule="exact"/>
                    <w:jc w:val="left"/>
                    <w:rPr>
                      <w:rFonts w:cs="Miriam"/>
                      <w:noProof/>
                      <w:szCs w:val="18"/>
                      <w:rtl/>
                    </w:rPr>
                  </w:pPr>
                  <w:r>
                    <w:rPr>
                      <w:rFonts w:cs="Miriam"/>
                      <w:szCs w:val="18"/>
                      <w:rtl/>
                    </w:rPr>
                    <w:t>ה</w:t>
                  </w:r>
                  <w:r>
                    <w:rPr>
                      <w:rFonts w:cs="Miriam" w:hint="cs"/>
                      <w:szCs w:val="18"/>
                      <w:rtl/>
                    </w:rPr>
                    <w:t>וראות מעבר</w:t>
                  </w:r>
                </w:p>
                <w:p w14:paraId="2CF7593A" w14:textId="77777777" w:rsidR="00BC54D9" w:rsidRDefault="00BC54D9">
                  <w:pPr>
                    <w:spacing w:line="160" w:lineRule="exact"/>
                    <w:jc w:val="left"/>
                    <w:rPr>
                      <w:rFonts w:cs="Miriam"/>
                      <w:noProof/>
                      <w:szCs w:val="18"/>
                      <w:rtl/>
                    </w:rPr>
                  </w:pPr>
                </w:p>
              </w:txbxContent>
            </v:textbox>
            <w10:anchorlock/>
          </v:rect>
        </w:pict>
      </w:r>
      <w:r>
        <w:rPr>
          <w:rStyle w:val="big-number"/>
          <w:rFonts w:cs="Miriam"/>
          <w:rtl/>
        </w:rPr>
        <w:t>27.</w:t>
      </w:r>
      <w:r>
        <w:rPr>
          <w:rStyle w:val="big-number"/>
          <w:rFonts w:cs="Miriam"/>
          <w:rtl/>
        </w:rPr>
        <w:tab/>
      </w:r>
      <w:r>
        <w:rPr>
          <w:rStyle w:val="default"/>
          <w:rFonts w:cs="FrankRuehl"/>
          <w:rtl/>
        </w:rPr>
        <w:t>ת</w:t>
      </w:r>
      <w:r>
        <w:rPr>
          <w:rStyle w:val="default"/>
          <w:rFonts w:cs="FrankRuehl" w:hint="cs"/>
          <w:rtl/>
        </w:rPr>
        <w:t>קנות אלה יחולו גם על התנגדויות שהוגשו לפני יום תחילתן, החל מן השלב שאליו הגיעו הדיונים וההליכים האחרים לגביהן.</w:t>
      </w:r>
    </w:p>
    <w:p w14:paraId="5995C945" w14:textId="77777777" w:rsidR="00BC54D9" w:rsidRDefault="00BC54D9">
      <w:pPr>
        <w:pStyle w:val="P00"/>
        <w:spacing w:before="72"/>
        <w:ind w:left="0" w:right="1134"/>
        <w:rPr>
          <w:rStyle w:val="default"/>
          <w:rFonts w:cs="FrankRuehl" w:hint="cs"/>
          <w:rtl/>
        </w:rPr>
      </w:pPr>
    </w:p>
    <w:p w14:paraId="62573109" w14:textId="77777777" w:rsidR="00BC54D9" w:rsidRDefault="00BC54D9">
      <w:pPr>
        <w:pStyle w:val="P00"/>
        <w:spacing w:before="72"/>
        <w:ind w:left="0" w:right="1134"/>
        <w:rPr>
          <w:rStyle w:val="default"/>
          <w:rFonts w:cs="FrankRuehl" w:hint="cs"/>
          <w:rtl/>
        </w:rPr>
      </w:pPr>
    </w:p>
    <w:p w14:paraId="4600FF5C" w14:textId="77777777" w:rsidR="00BC54D9" w:rsidRDefault="00BC54D9" w:rsidP="00134F1D">
      <w:pPr>
        <w:pStyle w:val="sig-0"/>
        <w:tabs>
          <w:tab w:val="clear" w:pos="4820"/>
          <w:tab w:val="center" w:pos="5670"/>
        </w:tabs>
        <w:spacing w:before="72"/>
        <w:ind w:left="0" w:right="1134"/>
        <w:rPr>
          <w:rtl/>
        </w:rPr>
      </w:pPr>
      <w:r>
        <w:rPr>
          <w:rtl/>
        </w:rPr>
        <w:t>ב</w:t>
      </w:r>
      <w:r>
        <w:rPr>
          <w:rFonts w:hint="cs"/>
          <w:rtl/>
        </w:rPr>
        <w:t>' בסיון תשמ"ט (5 ביוני</w:t>
      </w:r>
      <w:r>
        <w:rPr>
          <w:rtl/>
        </w:rPr>
        <w:t xml:space="preserve"> 1989)</w:t>
      </w:r>
      <w:r>
        <w:rPr>
          <w:rtl/>
        </w:rPr>
        <w:tab/>
      </w:r>
      <w:r>
        <w:rPr>
          <w:rFonts w:hint="cs"/>
          <w:rtl/>
        </w:rPr>
        <w:t>אריה דרעי</w:t>
      </w:r>
    </w:p>
    <w:p w14:paraId="2F514523" w14:textId="77777777" w:rsidR="00BC54D9" w:rsidRDefault="00BC54D9" w:rsidP="00134F1D">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14:paraId="5BD62BF3" w14:textId="77777777" w:rsidR="00BC54D9" w:rsidRDefault="00BC54D9">
      <w:pPr>
        <w:pStyle w:val="P00"/>
        <w:spacing w:before="72"/>
        <w:ind w:left="0" w:right="1134"/>
        <w:rPr>
          <w:rStyle w:val="default"/>
          <w:rFonts w:cs="FrankRuehl" w:hint="cs"/>
          <w:rtl/>
        </w:rPr>
      </w:pPr>
    </w:p>
    <w:p w14:paraId="4260FA1F" w14:textId="77777777" w:rsidR="00BC54D9" w:rsidRDefault="00BC54D9">
      <w:pPr>
        <w:pStyle w:val="P00"/>
        <w:spacing w:before="72"/>
        <w:ind w:left="0" w:right="1134"/>
        <w:rPr>
          <w:rStyle w:val="default"/>
          <w:rFonts w:cs="FrankRuehl"/>
          <w:rtl/>
        </w:rPr>
      </w:pPr>
    </w:p>
    <w:p w14:paraId="1D683FDF" w14:textId="77777777" w:rsidR="00BC54D9" w:rsidRDefault="00BC54D9">
      <w:pPr>
        <w:pStyle w:val="P00"/>
        <w:spacing w:before="72"/>
        <w:ind w:left="0" w:right="1134"/>
        <w:rPr>
          <w:rStyle w:val="default"/>
          <w:rFonts w:cs="FrankRuehl"/>
          <w:rtl/>
        </w:rPr>
      </w:pPr>
      <w:bookmarkStart w:id="35" w:name="LawPartEnd"/>
    </w:p>
    <w:bookmarkEnd w:id="35"/>
    <w:p w14:paraId="436701DD" w14:textId="77777777" w:rsidR="002B4CA8" w:rsidRDefault="002B4CA8">
      <w:pPr>
        <w:pStyle w:val="P00"/>
        <w:spacing w:before="72"/>
        <w:ind w:left="0" w:right="1134"/>
        <w:rPr>
          <w:rStyle w:val="default"/>
          <w:rFonts w:cs="FrankRuehl"/>
          <w:rtl/>
        </w:rPr>
      </w:pPr>
    </w:p>
    <w:p w14:paraId="61BF496F" w14:textId="77777777" w:rsidR="002B4CA8" w:rsidRDefault="002B4CA8">
      <w:pPr>
        <w:pStyle w:val="P00"/>
        <w:spacing w:before="72"/>
        <w:ind w:left="0" w:right="1134"/>
        <w:rPr>
          <w:rStyle w:val="default"/>
          <w:rFonts w:cs="FrankRuehl"/>
          <w:rtl/>
        </w:rPr>
      </w:pPr>
    </w:p>
    <w:p w14:paraId="0271127A" w14:textId="77777777" w:rsidR="002B4CA8" w:rsidRDefault="002B4CA8" w:rsidP="002B4CA8">
      <w:pPr>
        <w:pStyle w:val="P00"/>
        <w:spacing w:before="72"/>
        <w:ind w:left="0" w:right="1134"/>
        <w:jc w:val="center"/>
        <w:rPr>
          <w:rStyle w:val="default"/>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14:paraId="46DE7C0E" w14:textId="77777777" w:rsidR="00BC54D9" w:rsidRPr="002B4CA8" w:rsidRDefault="00BC54D9" w:rsidP="002B4CA8">
      <w:pPr>
        <w:pStyle w:val="P00"/>
        <w:spacing w:before="72"/>
        <w:ind w:left="0" w:right="1134"/>
        <w:jc w:val="center"/>
        <w:rPr>
          <w:rStyle w:val="default"/>
          <w:rFonts w:cs="David"/>
          <w:color w:val="0000FF"/>
          <w:szCs w:val="24"/>
          <w:u w:val="single"/>
          <w:rtl/>
        </w:rPr>
      </w:pPr>
    </w:p>
    <w:sectPr w:rsidR="00BC54D9" w:rsidRPr="002B4CA8">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9D76" w14:textId="77777777" w:rsidR="00745B41" w:rsidRDefault="00745B41">
      <w:r>
        <w:separator/>
      </w:r>
    </w:p>
  </w:endnote>
  <w:endnote w:type="continuationSeparator" w:id="0">
    <w:p w14:paraId="2E6F4A91" w14:textId="77777777" w:rsidR="00745B41" w:rsidRDefault="0074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E299" w14:textId="77777777" w:rsidR="00BC54D9" w:rsidRDefault="00BC54D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91DC0D3" w14:textId="77777777" w:rsidR="00BC54D9" w:rsidRDefault="00BC54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7B5629" w14:textId="77777777" w:rsidR="00BC54D9" w:rsidRDefault="00BC54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Z:\00000000-law\yael\07-07-17\044_110.doc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BA82" w14:textId="77777777" w:rsidR="00BC54D9" w:rsidRDefault="00BC54D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B4CA8">
      <w:rPr>
        <w:rFonts w:hAnsi="FrankRuehl"/>
        <w:noProof/>
        <w:sz w:val="24"/>
        <w:szCs w:val="24"/>
        <w:rtl/>
      </w:rPr>
      <w:t>6</w:t>
    </w:r>
    <w:r>
      <w:rPr>
        <w:rFonts w:hAnsi="FrankRuehl"/>
        <w:sz w:val="24"/>
        <w:szCs w:val="24"/>
        <w:rtl/>
      </w:rPr>
      <w:fldChar w:fldCharType="end"/>
    </w:r>
  </w:p>
  <w:p w14:paraId="279DD65C" w14:textId="77777777" w:rsidR="00BC54D9" w:rsidRDefault="00BC54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3545AF" w14:textId="77777777" w:rsidR="00BC54D9" w:rsidRDefault="00BC54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Z:\00000000-law\yael\07-07-17\044_110.doc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9241" w14:textId="77777777" w:rsidR="00745B41" w:rsidRDefault="00745B41">
      <w:r>
        <w:separator/>
      </w:r>
    </w:p>
  </w:footnote>
  <w:footnote w:type="continuationSeparator" w:id="0">
    <w:p w14:paraId="64BC5BB1" w14:textId="77777777" w:rsidR="00745B41" w:rsidRDefault="00745B41">
      <w:r>
        <w:continuationSeparator/>
      </w:r>
    </w:p>
  </w:footnote>
  <w:footnote w:id="1">
    <w:p w14:paraId="3CBFEF08" w14:textId="77777777" w:rsidR="00BC54D9" w:rsidRDefault="00BC54D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t>*</w:t>
      </w:r>
      <w:r>
        <w:rPr>
          <w:rFonts w:hint="cs"/>
          <w:rtl/>
        </w:rPr>
        <w:t xml:space="preserve"> פורסמו </w:t>
      </w:r>
      <w:hyperlink r:id="rId1" w:history="1">
        <w:r>
          <w:rPr>
            <w:rStyle w:val="Hyperlink"/>
            <w:rFonts w:hint="cs"/>
            <w:rtl/>
          </w:rPr>
          <w:t>ק"ת תשמ"ט מס' 5194</w:t>
        </w:r>
      </w:hyperlink>
      <w:r>
        <w:rPr>
          <w:rFonts w:hint="cs"/>
          <w:rtl/>
        </w:rPr>
        <w:t xml:space="preserve"> מיום 22.6.1989 עמ' 1001.</w:t>
      </w:r>
    </w:p>
    <w:p w14:paraId="2A41E764" w14:textId="77777777" w:rsidR="00BC54D9" w:rsidRDefault="00BC54D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תוקנו </w:t>
      </w:r>
      <w:hyperlink r:id="rId2" w:history="1">
        <w:r>
          <w:rPr>
            <w:rStyle w:val="Hyperlink"/>
            <w:rFonts w:hint="cs"/>
            <w:rtl/>
          </w:rPr>
          <w:t>ק"ת תשנ"ו מס' 5730</w:t>
        </w:r>
      </w:hyperlink>
      <w:r>
        <w:rPr>
          <w:rFonts w:hint="cs"/>
          <w:rtl/>
        </w:rPr>
        <w:t xml:space="preserve"> מיום 11.1.1996 עמ' 428 </w:t>
      </w:r>
      <w:r>
        <w:rPr>
          <w:rtl/>
        </w:rPr>
        <w:t>–</w:t>
      </w:r>
      <w:r>
        <w:rPr>
          <w:rFonts w:hint="cs"/>
          <w:rtl/>
        </w:rPr>
        <w:t xml:space="preserve"> תק' תשנ"ו-1996; תחילתן ביום 1.1.1996 ור' תקנה 8 לענין הוראת מעבר.</w:t>
      </w:r>
    </w:p>
    <w:p w14:paraId="3D56A6DE" w14:textId="77777777" w:rsidR="00BC54D9" w:rsidRDefault="00BC54D9" w:rsidP="00134F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Pr>
            <w:rStyle w:val="Hyperlink"/>
            <w:rFonts w:hint="cs"/>
            <w:rtl/>
          </w:rPr>
          <w:t>ק"ת תשס"ו מס' 6499</w:t>
        </w:r>
      </w:hyperlink>
      <w:r>
        <w:rPr>
          <w:rFonts w:hint="cs"/>
          <w:rtl/>
        </w:rPr>
        <w:t xml:space="preserve"> מיום 16.7.2006 עמ' 992 </w:t>
      </w:r>
      <w:r>
        <w:rPr>
          <w:rtl/>
        </w:rPr>
        <w:t>–</w:t>
      </w:r>
      <w:r>
        <w:rPr>
          <w:rFonts w:hint="cs"/>
          <w:rtl/>
        </w:rPr>
        <w:t xml:space="preserve"> תק' תשס"ו-2006; תחילתן 30 ימים מיום פרסומן והן יחולו על התנגדויות שהוגשו ביום זה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1D71" w14:textId="77777777" w:rsidR="00BC54D9" w:rsidRDefault="00BC54D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(סדרי נוהל בהתנגדויות לתכנית, סמכויות חוקר וסדרי עבודתו), תשמ"ט–1989</w:t>
    </w:r>
  </w:p>
  <w:p w14:paraId="03B87183" w14:textId="77777777" w:rsidR="00BC54D9" w:rsidRDefault="00BC54D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5E77300" w14:textId="77777777" w:rsidR="00BC54D9" w:rsidRDefault="00BC54D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9482" w14:textId="77777777" w:rsidR="00BC54D9" w:rsidRDefault="00BC54D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(סדרי נוהל בהתנגדויות לתכנית, סמכויות חוקר וסדרי עבודתו), תשמ"ט</w:t>
    </w:r>
    <w:r>
      <w:rPr>
        <w:rFonts w:hAnsi="FrankRuehl" w:hint="cs"/>
        <w:color w:val="000000"/>
        <w:sz w:val="28"/>
        <w:szCs w:val="28"/>
        <w:rtl/>
      </w:rPr>
      <w:t>-</w:t>
    </w:r>
    <w:r>
      <w:rPr>
        <w:rFonts w:hAnsi="FrankRuehl"/>
        <w:color w:val="000000"/>
        <w:sz w:val="28"/>
        <w:szCs w:val="28"/>
        <w:rtl/>
      </w:rPr>
      <w:t>1989</w:t>
    </w:r>
  </w:p>
  <w:p w14:paraId="51B13BC2" w14:textId="77777777" w:rsidR="00BC54D9" w:rsidRDefault="00BC54D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74E571F" w14:textId="77777777" w:rsidR="00BC54D9" w:rsidRDefault="00BC54D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15F2"/>
    <w:rsid w:val="00134F1D"/>
    <w:rsid w:val="002B4CA8"/>
    <w:rsid w:val="00745B41"/>
    <w:rsid w:val="00904036"/>
    <w:rsid w:val="00BC54D9"/>
    <w:rsid w:val="00F715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F63567E"/>
  <w15:chartTrackingRefBased/>
  <w15:docId w15:val="{13A74256-D15C-444A-8162-FCCAC154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99.pdf" TargetMode="External"/><Relationship Id="rId13" Type="http://schemas.openxmlformats.org/officeDocument/2006/relationships/hyperlink" Target="http://www.nevo.co.il/Law_word/law06/TAK-5730.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730.pdf" TargetMode="External"/><Relationship Id="rId12" Type="http://schemas.openxmlformats.org/officeDocument/2006/relationships/hyperlink" Target="http://www.nevo.co.il/Law_word/law06/TAK-5730.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730.pdf" TargetMode="External"/><Relationship Id="rId11" Type="http://schemas.openxmlformats.org/officeDocument/2006/relationships/hyperlink" Target="http://www.nevo.co.il/Law_word/law06/TAK-6499.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5730.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730.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99.pdf" TargetMode="External"/><Relationship Id="rId2" Type="http://schemas.openxmlformats.org/officeDocument/2006/relationships/hyperlink" Target="http://www.nevo.co.il/Law_word/law06/TAK-5730.pdf" TargetMode="External"/><Relationship Id="rId1" Type="http://schemas.openxmlformats.org/officeDocument/2006/relationships/hyperlink" Target="http://www.nevo.co.il/Law_word/law06/TAK-51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17578</CharactersWithSpaces>
  <SharedDoc>false</SharedDoc>
  <HLinks>
    <vt:vector size="234" baseType="variant">
      <vt:variant>
        <vt:i4>393283</vt:i4>
      </vt:variant>
      <vt:variant>
        <vt:i4>186</vt:i4>
      </vt:variant>
      <vt:variant>
        <vt:i4>0</vt:i4>
      </vt:variant>
      <vt:variant>
        <vt:i4>5</vt:i4>
      </vt:variant>
      <vt:variant>
        <vt:lpwstr>http://www.nevo.co.il/advertisements/nevo-100.doc</vt:lpwstr>
      </vt:variant>
      <vt:variant>
        <vt:lpwstr/>
      </vt:variant>
      <vt:variant>
        <vt:i4>8323087</vt:i4>
      </vt:variant>
      <vt:variant>
        <vt:i4>183</vt:i4>
      </vt:variant>
      <vt:variant>
        <vt:i4>0</vt:i4>
      </vt:variant>
      <vt:variant>
        <vt:i4>5</vt:i4>
      </vt:variant>
      <vt:variant>
        <vt:lpwstr>http://www.nevo.co.il/Law_word/law06/TAK-5730.pdf</vt:lpwstr>
      </vt:variant>
      <vt:variant>
        <vt:lpwstr/>
      </vt:variant>
      <vt:variant>
        <vt:i4>8323087</vt:i4>
      </vt:variant>
      <vt:variant>
        <vt:i4>180</vt:i4>
      </vt:variant>
      <vt:variant>
        <vt:i4>0</vt:i4>
      </vt:variant>
      <vt:variant>
        <vt:i4>5</vt:i4>
      </vt:variant>
      <vt:variant>
        <vt:lpwstr>http://www.nevo.co.il/Law_word/law06/TAK-5730.pdf</vt:lpwstr>
      </vt:variant>
      <vt:variant>
        <vt:lpwstr/>
      </vt:variant>
      <vt:variant>
        <vt:i4>7733253</vt:i4>
      </vt:variant>
      <vt:variant>
        <vt:i4>177</vt:i4>
      </vt:variant>
      <vt:variant>
        <vt:i4>0</vt:i4>
      </vt:variant>
      <vt:variant>
        <vt:i4>5</vt:i4>
      </vt:variant>
      <vt:variant>
        <vt:lpwstr>http://www.nevo.co.il/Law_word/law06/TAK-6499.pdf</vt:lpwstr>
      </vt:variant>
      <vt:variant>
        <vt:lpwstr/>
      </vt:variant>
      <vt:variant>
        <vt:i4>8323087</vt:i4>
      </vt:variant>
      <vt:variant>
        <vt:i4>174</vt:i4>
      </vt:variant>
      <vt:variant>
        <vt:i4>0</vt:i4>
      </vt:variant>
      <vt:variant>
        <vt:i4>5</vt:i4>
      </vt:variant>
      <vt:variant>
        <vt:lpwstr>http://www.nevo.co.il/Law_word/law06/TAK-5730.pdf</vt:lpwstr>
      </vt:variant>
      <vt:variant>
        <vt:lpwstr/>
      </vt:variant>
      <vt:variant>
        <vt:i4>8323087</vt:i4>
      </vt:variant>
      <vt:variant>
        <vt:i4>171</vt:i4>
      </vt:variant>
      <vt:variant>
        <vt:i4>0</vt:i4>
      </vt:variant>
      <vt:variant>
        <vt:i4>5</vt:i4>
      </vt:variant>
      <vt:variant>
        <vt:lpwstr>http://www.nevo.co.il/Law_word/law06/TAK-5730.pdf</vt:lpwstr>
      </vt:variant>
      <vt:variant>
        <vt:lpwstr/>
      </vt:variant>
      <vt:variant>
        <vt:i4>7733253</vt:i4>
      </vt:variant>
      <vt:variant>
        <vt:i4>168</vt:i4>
      </vt:variant>
      <vt:variant>
        <vt:i4>0</vt:i4>
      </vt:variant>
      <vt:variant>
        <vt:i4>5</vt:i4>
      </vt:variant>
      <vt:variant>
        <vt:lpwstr>http://www.nevo.co.il/Law_word/law06/TAK-6499.pdf</vt:lpwstr>
      </vt:variant>
      <vt:variant>
        <vt:lpwstr/>
      </vt:variant>
      <vt:variant>
        <vt:i4>8323087</vt:i4>
      </vt:variant>
      <vt:variant>
        <vt:i4>165</vt:i4>
      </vt:variant>
      <vt:variant>
        <vt:i4>0</vt:i4>
      </vt:variant>
      <vt:variant>
        <vt:i4>5</vt:i4>
      </vt:variant>
      <vt:variant>
        <vt:lpwstr>http://www.nevo.co.il/Law_word/law06/TAK-5730.pdf</vt:lpwstr>
      </vt:variant>
      <vt:variant>
        <vt:lpwstr/>
      </vt:variant>
      <vt:variant>
        <vt:i4>8323087</vt:i4>
      </vt:variant>
      <vt:variant>
        <vt:i4>162</vt:i4>
      </vt:variant>
      <vt:variant>
        <vt:i4>0</vt:i4>
      </vt:variant>
      <vt:variant>
        <vt:i4>5</vt:i4>
      </vt:variant>
      <vt:variant>
        <vt:lpwstr>http://www.nevo.co.il/Law_word/law06/TAK-5730.pdf</vt:lpwstr>
      </vt:variant>
      <vt:variant>
        <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7733253</vt:i4>
      </vt:variant>
      <vt:variant>
        <vt:i4>6</vt:i4>
      </vt:variant>
      <vt:variant>
        <vt:i4>0</vt:i4>
      </vt:variant>
      <vt:variant>
        <vt:i4>5</vt:i4>
      </vt:variant>
      <vt:variant>
        <vt:lpwstr>http://www.nevo.co.il/Law_word/law06/tak-6499.pdf</vt:lpwstr>
      </vt:variant>
      <vt:variant>
        <vt:lpwstr/>
      </vt:variant>
      <vt:variant>
        <vt:i4>8323087</vt:i4>
      </vt:variant>
      <vt:variant>
        <vt:i4>3</vt:i4>
      </vt:variant>
      <vt:variant>
        <vt:i4>0</vt:i4>
      </vt:variant>
      <vt:variant>
        <vt:i4>5</vt:i4>
      </vt:variant>
      <vt:variant>
        <vt:lpwstr>http://www.nevo.co.il/Law_word/law06/TAK-5730.pdf</vt:lpwstr>
      </vt:variant>
      <vt:variant>
        <vt:lpwstr/>
      </vt:variant>
      <vt:variant>
        <vt:i4>7667725</vt:i4>
      </vt:variant>
      <vt:variant>
        <vt:i4>0</vt:i4>
      </vt:variant>
      <vt:variant>
        <vt:i4>0</vt:i4>
      </vt:variant>
      <vt:variant>
        <vt:i4>5</vt:i4>
      </vt:variant>
      <vt:variant>
        <vt:lpwstr>http://www.nevo.co.il/Law_word/law06/TAK-5194.pdf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(סדרי נוהל בהתנגדויות לתכנית, סמכויות חוקר וסדרי עבודתו), תשמ"ט-1989</vt:lpwstr>
  </property>
  <property fmtid="{D5CDD505-2E9C-101B-9397-08002B2CF9AE}" pid="5" name="LAWNUMBER">
    <vt:lpwstr>0110</vt:lpwstr>
  </property>
  <property fmtid="{D5CDD505-2E9C-101B-9397-08002B2CF9AE}" pid="6" name="TYPE">
    <vt:lpwstr>01</vt:lpwstr>
  </property>
  <property fmtid="{D5CDD505-2E9C-101B-9397-08002B2CF9AE}" pid="7" name="LINKK1">
    <vt:lpwstr>http://www.nevo.co.il/Law_word/law06/tak-6499.pdf;רשומות - תקנות כלליות#ק"ת תשס"ו מס' 6499 #מיום 16.7.2006 #עמ' 992 #תק' תשס"ו-2006#תחילתן 30 ימים מיום פרסומן והן יחולו על התנגודויות שהוגשו ביום זה או לאחריו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התנגדויות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