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F064C" w:rsidP="00B3535B">
      <w:pPr>
        <w:pStyle w:val="big-header"/>
        <w:ind w:left="0" w:right="1134"/>
        <w:rPr>
          <w:rFonts w:cs="FrankRuehl"/>
          <w:sz w:val="32"/>
        </w:rPr>
      </w:pPr>
      <w:r>
        <w:rPr>
          <w:rFonts w:cs="FrankRuehl" w:hint="cs"/>
          <w:sz w:val="32"/>
          <w:rtl/>
        </w:rPr>
        <w:t xml:space="preserve">תקנות </w:t>
      </w:r>
      <w:r w:rsidR="00B3535B">
        <w:rPr>
          <w:rFonts w:cs="FrankRuehl" w:hint="cs"/>
          <w:sz w:val="32"/>
          <w:rtl/>
        </w:rPr>
        <w:t>התכנון והבניה (פטור מהיטל השבחה לעידוד חיזוק מבנים מפני רעידות אדמה)</w:t>
      </w:r>
      <w:r w:rsidR="0013756F">
        <w:rPr>
          <w:rFonts w:cs="FrankRuehl" w:hint="cs"/>
          <w:sz w:val="32"/>
          <w:rtl/>
        </w:rPr>
        <w:t xml:space="preserve"> (הוראת שעה</w:t>
      </w:r>
      <w:r>
        <w:rPr>
          <w:rFonts w:cs="FrankRuehl" w:hint="cs"/>
          <w:sz w:val="32"/>
          <w:rtl/>
        </w:rPr>
        <w:t>)</w:t>
      </w:r>
      <w:r w:rsidR="009C3538">
        <w:rPr>
          <w:rFonts w:cs="FrankRuehl" w:hint="cs"/>
          <w:sz w:val="32"/>
          <w:rtl/>
        </w:rPr>
        <w:t>, תשס"ט-2008</w:t>
      </w:r>
    </w:p>
    <w:p w:rsidR="00521D86" w:rsidRPr="00521D86" w:rsidRDefault="00521D86" w:rsidP="00521D86">
      <w:pPr>
        <w:spacing w:line="320" w:lineRule="auto"/>
        <w:rPr>
          <w:rFonts w:cs="FrankRuehl"/>
          <w:szCs w:val="26"/>
          <w:rtl/>
        </w:rPr>
      </w:pPr>
    </w:p>
    <w:p w:rsidR="00521D86" w:rsidRDefault="00521D86" w:rsidP="00521D86">
      <w:pPr>
        <w:spacing w:line="320" w:lineRule="auto"/>
        <w:rPr>
          <w:rtl/>
        </w:rPr>
      </w:pPr>
    </w:p>
    <w:p w:rsidR="00521D86" w:rsidRDefault="00521D86" w:rsidP="00521D86">
      <w:pPr>
        <w:spacing w:line="320" w:lineRule="auto"/>
        <w:rPr>
          <w:rFonts w:cs="FrankRuehl"/>
          <w:szCs w:val="26"/>
          <w:rtl/>
        </w:rPr>
      </w:pPr>
      <w:r w:rsidRPr="00521D86">
        <w:rPr>
          <w:rFonts w:cs="Miriam"/>
          <w:szCs w:val="22"/>
          <w:rtl/>
        </w:rPr>
        <w:t>רשויות ומשפט מנהלי</w:t>
      </w:r>
      <w:r w:rsidRPr="00521D86">
        <w:rPr>
          <w:rFonts w:cs="FrankRuehl"/>
          <w:szCs w:val="26"/>
          <w:rtl/>
        </w:rPr>
        <w:t xml:space="preserve"> – תכנון ובניה – היטלים אגרות ופטורים</w:t>
      </w:r>
    </w:p>
    <w:p w:rsidR="00643540" w:rsidRPr="00521D86" w:rsidRDefault="00521D86" w:rsidP="00521D86">
      <w:pPr>
        <w:spacing w:line="320" w:lineRule="auto"/>
        <w:rPr>
          <w:rFonts w:cs="Miriam"/>
          <w:szCs w:val="22"/>
          <w:rtl/>
        </w:rPr>
      </w:pPr>
      <w:r w:rsidRPr="00521D86">
        <w:rPr>
          <w:rFonts w:cs="Miriam"/>
          <w:szCs w:val="22"/>
          <w:rtl/>
        </w:rPr>
        <w:t>מסים</w:t>
      </w:r>
      <w:r w:rsidRPr="00521D86">
        <w:rPr>
          <w:rFonts w:cs="FrankRuehl"/>
          <w:szCs w:val="26"/>
          <w:rtl/>
        </w:rPr>
        <w:t xml:space="preserve"> – היטלים – היטל השבחה</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729C" w:rsidRPr="00A3729C">
        <w:tblPrEx>
          <w:tblCellMar>
            <w:top w:w="0" w:type="dxa"/>
            <w:bottom w:w="0" w:type="dxa"/>
          </w:tblCellMar>
        </w:tblPrEx>
        <w:tc>
          <w:tcPr>
            <w:tcW w:w="1247" w:type="dxa"/>
          </w:tcPr>
          <w:p w:rsidR="00A3729C" w:rsidRPr="00A3729C" w:rsidRDefault="00A3729C" w:rsidP="00A3729C">
            <w:pPr>
              <w:rPr>
                <w:rFonts w:cs="Frankruhel" w:hint="cs"/>
                <w:rtl/>
              </w:rPr>
            </w:pPr>
            <w:r>
              <w:rPr>
                <w:rtl/>
              </w:rPr>
              <w:t xml:space="preserve">סעיף 1 </w:t>
            </w:r>
          </w:p>
        </w:tc>
        <w:tc>
          <w:tcPr>
            <w:tcW w:w="5669" w:type="dxa"/>
          </w:tcPr>
          <w:p w:rsidR="00A3729C" w:rsidRPr="00A3729C" w:rsidRDefault="00A3729C" w:rsidP="00A3729C">
            <w:pPr>
              <w:rPr>
                <w:rFonts w:cs="Frankruhel" w:hint="cs"/>
                <w:rtl/>
              </w:rPr>
            </w:pPr>
            <w:r>
              <w:rPr>
                <w:rtl/>
              </w:rPr>
              <w:t>הגדרות</w:t>
            </w:r>
          </w:p>
        </w:tc>
        <w:tc>
          <w:tcPr>
            <w:tcW w:w="567" w:type="dxa"/>
          </w:tcPr>
          <w:p w:rsidR="00A3729C" w:rsidRPr="00A3729C" w:rsidRDefault="00A3729C" w:rsidP="00A3729C">
            <w:pPr>
              <w:rPr>
                <w:rStyle w:val="Hyperlink"/>
                <w:rFonts w:hint="cs"/>
                <w:rtl/>
              </w:rPr>
            </w:pPr>
            <w:hyperlink w:anchor="Seif1" w:tooltip="הגדרות" w:history="1">
              <w:r w:rsidRPr="00A3729C">
                <w:rPr>
                  <w:rStyle w:val="Hyperlink"/>
                </w:rPr>
                <w:t>Go</w:t>
              </w:r>
            </w:hyperlink>
          </w:p>
        </w:tc>
        <w:tc>
          <w:tcPr>
            <w:tcW w:w="850" w:type="dxa"/>
          </w:tcPr>
          <w:p w:rsidR="00A3729C" w:rsidRPr="00A3729C" w:rsidRDefault="00A3729C" w:rsidP="00A372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3729C" w:rsidRPr="00A3729C">
        <w:tblPrEx>
          <w:tblCellMar>
            <w:top w:w="0" w:type="dxa"/>
            <w:bottom w:w="0" w:type="dxa"/>
          </w:tblCellMar>
        </w:tblPrEx>
        <w:tc>
          <w:tcPr>
            <w:tcW w:w="1247" w:type="dxa"/>
          </w:tcPr>
          <w:p w:rsidR="00A3729C" w:rsidRPr="00A3729C" w:rsidRDefault="00A3729C" w:rsidP="00A3729C">
            <w:pPr>
              <w:rPr>
                <w:rFonts w:cs="Frankruhel" w:hint="cs"/>
                <w:rtl/>
              </w:rPr>
            </w:pPr>
            <w:r>
              <w:rPr>
                <w:rtl/>
              </w:rPr>
              <w:t xml:space="preserve">סעיף 2 </w:t>
            </w:r>
          </w:p>
        </w:tc>
        <w:tc>
          <w:tcPr>
            <w:tcW w:w="5669" w:type="dxa"/>
          </w:tcPr>
          <w:p w:rsidR="00A3729C" w:rsidRPr="00A3729C" w:rsidRDefault="00A3729C" w:rsidP="00A3729C">
            <w:pPr>
              <w:rPr>
                <w:rFonts w:cs="Frankruhel" w:hint="cs"/>
                <w:rtl/>
              </w:rPr>
            </w:pPr>
            <w:r>
              <w:rPr>
                <w:rtl/>
              </w:rPr>
              <w:t>פטור מתשלום היטל השבחה בעת חיזוק מבנים</w:t>
            </w:r>
          </w:p>
        </w:tc>
        <w:tc>
          <w:tcPr>
            <w:tcW w:w="567" w:type="dxa"/>
          </w:tcPr>
          <w:p w:rsidR="00A3729C" w:rsidRPr="00A3729C" w:rsidRDefault="00A3729C" w:rsidP="00A3729C">
            <w:pPr>
              <w:rPr>
                <w:rStyle w:val="Hyperlink"/>
                <w:rFonts w:hint="cs"/>
                <w:rtl/>
              </w:rPr>
            </w:pPr>
            <w:hyperlink w:anchor="Seif2" w:tooltip="פטור מתשלום היטל השבחה בעת חיזוק מבנים" w:history="1">
              <w:r w:rsidRPr="00A3729C">
                <w:rPr>
                  <w:rStyle w:val="Hyperlink"/>
                </w:rPr>
                <w:t>Go</w:t>
              </w:r>
            </w:hyperlink>
          </w:p>
        </w:tc>
        <w:tc>
          <w:tcPr>
            <w:tcW w:w="850" w:type="dxa"/>
          </w:tcPr>
          <w:p w:rsidR="00A3729C" w:rsidRPr="00A3729C" w:rsidRDefault="00A3729C" w:rsidP="00A372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3729C" w:rsidRPr="00A3729C">
        <w:tblPrEx>
          <w:tblCellMar>
            <w:top w:w="0" w:type="dxa"/>
            <w:bottom w:w="0" w:type="dxa"/>
          </w:tblCellMar>
        </w:tblPrEx>
        <w:tc>
          <w:tcPr>
            <w:tcW w:w="1247" w:type="dxa"/>
          </w:tcPr>
          <w:p w:rsidR="00A3729C" w:rsidRPr="00A3729C" w:rsidRDefault="00A3729C" w:rsidP="00A3729C">
            <w:pPr>
              <w:rPr>
                <w:rFonts w:cs="Frankruhel" w:hint="cs"/>
                <w:rtl/>
              </w:rPr>
            </w:pPr>
            <w:r>
              <w:rPr>
                <w:rtl/>
              </w:rPr>
              <w:t xml:space="preserve">סעיף 3 </w:t>
            </w:r>
          </w:p>
        </w:tc>
        <w:tc>
          <w:tcPr>
            <w:tcW w:w="5669" w:type="dxa"/>
          </w:tcPr>
          <w:p w:rsidR="00A3729C" w:rsidRPr="00A3729C" w:rsidRDefault="00A3729C" w:rsidP="00A3729C">
            <w:pPr>
              <w:rPr>
                <w:rFonts w:cs="Frankruhel" w:hint="cs"/>
                <w:rtl/>
              </w:rPr>
            </w:pPr>
            <w:r>
              <w:rPr>
                <w:rtl/>
              </w:rPr>
              <w:t>רשויות מקומיות הזכאיות לפטור זמני</w:t>
            </w:r>
          </w:p>
        </w:tc>
        <w:tc>
          <w:tcPr>
            <w:tcW w:w="567" w:type="dxa"/>
          </w:tcPr>
          <w:p w:rsidR="00A3729C" w:rsidRPr="00A3729C" w:rsidRDefault="00A3729C" w:rsidP="00A3729C">
            <w:pPr>
              <w:rPr>
                <w:rStyle w:val="Hyperlink"/>
                <w:rFonts w:hint="cs"/>
                <w:rtl/>
              </w:rPr>
            </w:pPr>
            <w:hyperlink w:anchor="Seif3" w:tooltip="רשויות מקומיות הזכאיות לפטור זמני" w:history="1">
              <w:r w:rsidRPr="00A3729C">
                <w:rPr>
                  <w:rStyle w:val="Hyperlink"/>
                </w:rPr>
                <w:t>Go</w:t>
              </w:r>
            </w:hyperlink>
          </w:p>
        </w:tc>
        <w:tc>
          <w:tcPr>
            <w:tcW w:w="850" w:type="dxa"/>
          </w:tcPr>
          <w:p w:rsidR="00A3729C" w:rsidRPr="00A3729C" w:rsidRDefault="00A3729C" w:rsidP="00A372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643540">
      <w:pPr>
        <w:pStyle w:val="big-header"/>
        <w:ind w:left="0" w:right="1134"/>
        <w:rPr>
          <w:rStyle w:val="default"/>
          <w:rFonts w:hint="cs"/>
          <w:sz w:val="22"/>
          <w:szCs w:val="22"/>
          <w:rtl/>
        </w:rPr>
      </w:pPr>
      <w:r>
        <w:rPr>
          <w:rFonts w:cs="FrankRuehl"/>
          <w:sz w:val="32"/>
          <w:rtl/>
        </w:rPr>
        <w:br w:type="page"/>
      </w:r>
      <w:r w:rsidR="00B3535B">
        <w:rPr>
          <w:rFonts w:cs="FrankRuehl" w:hint="cs"/>
          <w:sz w:val="32"/>
          <w:rtl/>
        </w:rPr>
        <w:lastRenderedPageBreak/>
        <w:t>תקנות התכנון והבניה (פטור מהיטל השבחה לעידוד חיזוק מבנים מפני רעידות אדמה) (הוראת שעה), תשס"ט-2008</w:t>
      </w:r>
      <w:r>
        <w:rPr>
          <w:rStyle w:val="default"/>
          <w:sz w:val="22"/>
          <w:szCs w:val="22"/>
          <w:rtl/>
        </w:rPr>
        <w:footnoteReference w:customMarkFollows="1" w:id="1"/>
        <w:t>*</w:t>
      </w:r>
    </w:p>
    <w:p w:rsidR="00852F43" w:rsidRDefault="009C3538" w:rsidP="00B3535B">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w:t>
      </w:r>
      <w:r w:rsidR="00B3535B">
        <w:rPr>
          <w:rStyle w:val="default"/>
          <w:rFonts w:cs="FrankRuehl" w:hint="cs"/>
          <w:rtl/>
        </w:rPr>
        <w:t xml:space="preserve">265 לחוק התכנון והבניה, התשכ"ה-1965 (להלן </w:t>
      </w:r>
      <w:r w:rsidR="00B3535B">
        <w:rPr>
          <w:rStyle w:val="default"/>
          <w:rFonts w:cs="FrankRuehl"/>
          <w:rtl/>
        </w:rPr>
        <w:t>–</w:t>
      </w:r>
      <w:r w:rsidR="00B3535B">
        <w:rPr>
          <w:rStyle w:val="default"/>
          <w:rFonts w:cs="FrankRuehl" w:hint="cs"/>
          <w:rtl/>
        </w:rPr>
        <w:t xml:space="preserve"> החוק), וסעיף 19(ב1)(2) לתוספת השלישית לחוק, באישור ועדת הפנים והגנת הסביבה של הכנסת ולאחר התייעצות עם המועצה הארצית לתכנון ולבניה ועם הוועדות המחוזיות לתכנון ולבניה</w:t>
      </w:r>
      <w:r w:rsidR="001F064C">
        <w:rPr>
          <w:rStyle w:val="default"/>
          <w:rFonts w:cs="FrankRuehl" w:hint="cs"/>
          <w:rtl/>
        </w:rPr>
        <w:t xml:space="preserve"> אני מתקין תקנות אלה</w:t>
      </w:r>
      <w:r>
        <w:rPr>
          <w:rStyle w:val="default"/>
          <w:rFonts w:cs="FrankRuehl" w:hint="cs"/>
          <w:rtl/>
        </w:rPr>
        <w:t>:</w:t>
      </w:r>
    </w:p>
    <w:p w:rsidR="00852F43" w:rsidRDefault="00852F43" w:rsidP="00B3535B">
      <w:pPr>
        <w:pStyle w:val="P00"/>
        <w:spacing w:before="72"/>
        <w:ind w:left="0" w:right="1134"/>
        <w:rPr>
          <w:rStyle w:val="default"/>
          <w:rFonts w:cs="FrankRuehl" w:hint="cs"/>
          <w:rtl/>
        </w:rPr>
      </w:pPr>
      <w:bookmarkStart w:id="0" w:name="Seif1"/>
      <w:bookmarkEnd w:id="0"/>
      <w:r>
        <w:rPr>
          <w:rFonts w:cs="Miriam"/>
          <w:lang w:val="he-IL"/>
        </w:rPr>
        <w:pict>
          <v:rect id="_x0000_s1708" style="position:absolute;left:0;text-align:left;margin-left:463.5pt;margin-top:8.05pt;width:75.05pt;height:18pt;z-index:251656704" filled="f" stroked="f" strokecolor="lime" strokeweight=".25pt">
            <v:textbox style="mso-next-textbox:#_x0000_s1708" inset="1mm,0,1mm,0">
              <w:txbxContent>
                <w:p w:rsidR="00EC4D95" w:rsidRDefault="00B3535B" w:rsidP="00852F4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3535B">
        <w:rPr>
          <w:rStyle w:val="default"/>
          <w:rFonts w:cs="FrankRuehl" w:hint="cs"/>
          <w:rtl/>
        </w:rPr>
        <w:t xml:space="preserve">בתקנות אלה </w:t>
      </w:r>
      <w:r w:rsidR="00B3535B">
        <w:rPr>
          <w:rStyle w:val="default"/>
          <w:rFonts w:cs="FrankRuehl"/>
          <w:rtl/>
        </w:rPr>
        <w:t>–</w:t>
      </w:r>
    </w:p>
    <w:p w:rsidR="00B3535B" w:rsidRDefault="00B3535B" w:rsidP="00B3535B">
      <w:pPr>
        <w:pStyle w:val="P00"/>
        <w:spacing w:before="72"/>
        <w:ind w:left="0" w:right="1134"/>
        <w:rPr>
          <w:rStyle w:val="default"/>
          <w:rFonts w:cs="FrankRuehl" w:hint="cs"/>
          <w:rtl/>
        </w:rPr>
      </w:pPr>
      <w:r>
        <w:rPr>
          <w:rStyle w:val="default"/>
          <w:rFonts w:cs="FrankRuehl" w:hint="cs"/>
          <w:rtl/>
        </w:rPr>
        <w:tab/>
        <w:t xml:space="preserve">"אזורים בעלי סיכון סיסמי גבוה" </w:t>
      </w:r>
      <w:r>
        <w:rPr>
          <w:rStyle w:val="default"/>
          <w:rFonts w:cs="FrankRuehl"/>
          <w:rtl/>
        </w:rPr>
        <w:t>–</w:t>
      </w:r>
      <w:r>
        <w:rPr>
          <w:rStyle w:val="default"/>
          <w:rFonts w:cs="FrankRuehl" w:hint="cs"/>
          <w:rtl/>
        </w:rPr>
        <w:t xml:space="preserve"> אזורים שבהם מקדם תאוצת קרקע אופקית חזויה גדול מ-0.125, בהתאם לתקן ישראלי 413 ת"י (תכן עמידות מבנים ברעידות אדמה);</w:t>
      </w:r>
    </w:p>
    <w:p w:rsidR="00B3535B" w:rsidRDefault="00B3535B" w:rsidP="00B3535B">
      <w:pPr>
        <w:pStyle w:val="P00"/>
        <w:spacing w:before="72"/>
        <w:ind w:left="0" w:right="1134"/>
        <w:rPr>
          <w:rStyle w:val="default"/>
          <w:rFonts w:cs="FrankRuehl" w:hint="cs"/>
          <w:rtl/>
        </w:rPr>
      </w:pPr>
      <w:r>
        <w:rPr>
          <w:rStyle w:val="default"/>
          <w:rFonts w:cs="FrankRuehl" w:hint="cs"/>
          <w:rtl/>
        </w:rPr>
        <w:tab/>
        <w:t xml:space="preserve">"פרסום הלשכה המרכזית לסטטיסטיקה" </w:t>
      </w:r>
      <w:r>
        <w:rPr>
          <w:rStyle w:val="default"/>
          <w:rFonts w:cs="FrankRuehl"/>
          <w:rtl/>
        </w:rPr>
        <w:t>–</w:t>
      </w:r>
      <w:r>
        <w:rPr>
          <w:rStyle w:val="default"/>
          <w:rFonts w:cs="FrankRuehl" w:hint="cs"/>
          <w:rtl/>
        </w:rPr>
        <w:t xml:space="preserve"> פרסום הלשכה המרכזית לסטטיסטיקה "אפיון רשויות מקומיות וסיווגן לפי הרמה החברתית כלכלית של האוכלוסיה </w:t>
      </w:r>
      <w:r>
        <w:rPr>
          <w:rStyle w:val="default"/>
          <w:rFonts w:cs="FrankRuehl"/>
          <w:rtl/>
        </w:rPr>
        <w:t>–</w:t>
      </w:r>
      <w:r>
        <w:rPr>
          <w:rStyle w:val="default"/>
          <w:rFonts w:cs="FrankRuehl" w:hint="cs"/>
          <w:rtl/>
        </w:rPr>
        <w:t xml:space="preserve"> 2003", וכפי שיעודכן מזמן לזמן.</w:t>
      </w:r>
    </w:p>
    <w:p w:rsidR="001F064C" w:rsidRDefault="001F064C" w:rsidP="00D71AC9">
      <w:pPr>
        <w:pStyle w:val="P00"/>
        <w:spacing w:before="72"/>
        <w:ind w:left="0" w:right="1134"/>
        <w:rPr>
          <w:rStyle w:val="default"/>
          <w:rFonts w:cs="FrankRuehl" w:hint="cs"/>
          <w:rtl/>
        </w:rPr>
      </w:pPr>
      <w:bookmarkStart w:id="1" w:name="Seif2"/>
      <w:bookmarkEnd w:id="1"/>
      <w:r>
        <w:rPr>
          <w:rFonts w:cs="Miriam"/>
          <w:lang w:val="he-IL"/>
        </w:rPr>
        <w:pict>
          <v:rect id="_x0000_s1740" style="position:absolute;left:0;text-align:left;margin-left:463.5pt;margin-top:8.05pt;width:75.05pt;height:23.9pt;z-index:251657728" filled="f" stroked="f" strokecolor="lime" strokeweight=".25pt">
            <v:textbox style="mso-next-textbox:#_x0000_s1740" inset="1mm,0,1mm,0">
              <w:txbxContent>
                <w:p w:rsidR="001F064C" w:rsidRDefault="00D71AC9" w:rsidP="001F064C">
                  <w:pPr>
                    <w:spacing w:line="160" w:lineRule="exact"/>
                    <w:rPr>
                      <w:rFonts w:cs="Miriam" w:hint="cs"/>
                      <w:noProof/>
                      <w:sz w:val="18"/>
                      <w:szCs w:val="18"/>
                      <w:rtl/>
                    </w:rPr>
                  </w:pPr>
                  <w:r>
                    <w:rPr>
                      <w:rFonts w:cs="Miriam" w:hint="cs"/>
                      <w:sz w:val="18"/>
                      <w:szCs w:val="18"/>
                      <w:rtl/>
                    </w:rPr>
                    <w:t>פטור מתשלום היטל השבחה בעת חיזוק מבנים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71AC9">
        <w:rPr>
          <w:rStyle w:val="default"/>
          <w:rFonts w:cs="FrankRuehl" w:hint="cs"/>
          <w:rtl/>
        </w:rPr>
        <w:t>(א)</w:t>
      </w:r>
      <w:r w:rsidR="00D71AC9">
        <w:rPr>
          <w:rStyle w:val="default"/>
          <w:rFonts w:cs="FrankRuehl" w:hint="cs"/>
          <w:rtl/>
        </w:rPr>
        <w:tab/>
        <w:t>לא תחול חובת תשלום היטל השבחה כאמור בסעיף 19(ב1) לתוספת השלישית לחוק באזורים וברשות מקומית אשר מתקיים בהם אחד מאלה:</w:t>
      </w:r>
    </w:p>
    <w:p w:rsidR="00D71AC9" w:rsidRDefault="00D71AC9" w:rsidP="007F08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אזורים בעלי סיכון סיסמי גבוה;</w:t>
      </w:r>
    </w:p>
    <w:p w:rsidR="00D71AC9" w:rsidRDefault="00D71AC9" w:rsidP="007F08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ברשויות מקומיות המסווגות ברמה חברתית כלכלית 1 עד 6 לפי פרסום הלשכה המרכזית לסטטיסטיקה;</w:t>
      </w:r>
    </w:p>
    <w:p w:rsidR="00D71AC9" w:rsidRDefault="00D71AC9" w:rsidP="007F08A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בתחום הוועדות המחוזיות דרום וצפון כמשמעותן בסעיף 7 לחוק.</w:t>
      </w:r>
    </w:p>
    <w:p w:rsidR="00D71AC9" w:rsidRDefault="00D71AC9" w:rsidP="00D71A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רשימת הרשויות המקומיות הכלולות בפסקאות (1) ו-(2) מפורטות בתוספת לתקנות אלה.</w:t>
      </w:r>
    </w:p>
    <w:p w:rsidR="0013756F" w:rsidRDefault="0013756F" w:rsidP="007F08A1">
      <w:pPr>
        <w:pStyle w:val="P00"/>
        <w:spacing w:before="72"/>
        <w:ind w:left="0" w:right="1134"/>
        <w:rPr>
          <w:rStyle w:val="default"/>
          <w:rFonts w:cs="FrankRuehl" w:hint="cs"/>
          <w:rtl/>
        </w:rPr>
      </w:pPr>
      <w:bookmarkStart w:id="2" w:name="Seif3"/>
      <w:bookmarkEnd w:id="2"/>
      <w:r>
        <w:rPr>
          <w:rFonts w:cs="Miriam"/>
          <w:lang w:val="he-IL"/>
        </w:rPr>
        <w:pict>
          <v:rect id="_x0000_s1741" style="position:absolute;left:0;text-align:left;margin-left:463.5pt;margin-top:8.05pt;width:75.05pt;height:24.55pt;z-index:251658752" filled="f" stroked="f" strokecolor="lime" strokeweight=".25pt">
            <v:textbox style="mso-next-textbox:#_x0000_s1741" inset="1mm,0,1mm,0">
              <w:txbxContent>
                <w:p w:rsidR="0013756F" w:rsidRDefault="007F08A1" w:rsidP="0013756F">
                  <w:pPr>
                    <w:spacing w:line="160" w:lineRule="exact"/>
                    <w:rPr>
                      <w:rFonts w:cs="Miriam" w:hint="cs"/>
                      <w:noProof/>
                      <w:sz w:val="18"/>
                      <w:szCs w:val="18"/>
                      <w:rtl/>
                    </w:rPr>
                  </w:pPr>
                  <w:r>
                    <w:rPr>
                      <w:rFonts w:cs="Miriam" w:hint="cs"/>
                      <w:sz w:val="18"/>
                      <w:szCs w:val="18"/>
                      <w:rtl/>
                    </w:rPr>
                    <w:t>רשויות מקומיות הזכאיות לפטור זמני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7F08A1">
        <w:rPr>
          <w:rStyle w:val="default"/>
          <w:rFonts w:cs="FrankRuehl" w:hint="cs"/>
          <w:rtl/>
        </w:rPr>
        <w:t>לא תחול חובת תשלום היטל השבחה כאמור בסעיף 19(ב1) לתוספת השלישית לחוק בתחום הוועדות המחוזיות ירושלים, חיפה והמרכז, שלא חלה לגביהן תקנה 2, ובלבד שבקשה להיתר לחיזוק מבנה מפני רעידות אדמה הוגשה בתוך שנה מתחילתן של תקנות אלה.</w:t>
      </w:r>
    </w:p>
    <w:p w:rsidR="00B3535B" w:rsidRDefault="00B3535B" w:rsidP="00386C3E">
      <w:pPr>
        <w:pStyle w:val="P00"/>
        <w:spacing w:before="72"/>
        <w:ind w:left="0" w:right="1134"/>
        <w:rPr>
          <w:rStyle w:val="default"/>
          <w:rFonts w:cs="FrankRuehl" w:hint="cs"/>
          <w:rtl/>
        </w:rPr>
      </w:pPr>
    </w:p>
    <w:p w:rsidR="00B3535B" w:rsidRPr="00AC2C97" w:rsidRDefault="00B3535B" w:rsidP="00AC2C97">
      <w:pPr>
        <w:pStyle w:val="P00"/>
        <w:spacing w:before="72"/>
        <w:ind w:left="0" w:right="1134"/>
        <w:jc w:val="center"/>
        <w:rPr>
          <w:rStyle w:val="default"/>
          <w:rFonts w:cs="FrankRuehl" w:hint="cs"/>
          <w:b/>
          <w:bCs/>
          <w:rtl/>
        </w:rPr>
      </w:pPr>
      <w:r w:rsidRPr="00AC2C97">
        <w:rPr>
          <w:rStyle w:val="default"/>
          <w:rFonts w:cs="FrankRuehl" w:hint="cs"/>
          <w:b/>
          <w:bCs/>
          <w:rtl/>
        </w:rPr>
        <w:t>תוספת</w:t>
      </w:r>
    </w:p>
    <w:p w:rsidR="007F08A1" w:rsidRPr="00AC2C97" w:rsidRDefault="007F08A1" w:rsidP="00AC2C97">
      <w:pPr>
        <w:pStyle w:val="P00"/>
        <w:spacing w:before="72"/>
        <w:ind w:left="0" w:right="1134"/>
        <w:jc w:val="center"/>
        <w:rPr>
          <w:rStyle w:val="default"/>
          <w:rFonts w:cs="FrankRuehl" w:hint="cs"/>
          <w:sz w:val="24"/>
          <w:szCs w:val="24"/>
          <w:rtl/>
        </w:rPr>
      </w:pPr>
      <w:r w:rsidRPr="00AC2C97">
        <w:rPr>
          <w:rStyle w:val="default"/>
          <w:rFonts w:cs="FrankRuehl" w:hint="cs"/>
          <w:sz w:val="24"/>
          <w:szCs w:val="24"/>
          <w:rtl/>
        </w:rPr>
        <w:t>(תקנה 2)</w:t>
      </w:r>
    </w:p>
    <w:p w:rsidR="007F08A1" w:rsidRDefault="007F08A1" w:rsidP="00386C3E">
      <w:pPr>
        <w:pStyle w:val="P00"/>
        <w:spacing w:before="72"/>
        <w:ind w:left="0" w:right="1134"/>
        <w:rPr>
          <w:rStyle w:val="default"/>
          <w:rFonts w:cs="FrankRuehl" w:hint="cs"/>
          <w:rtl/>
        </w:rPr>
      </w:pPr>
    </w:p>
    <w:p w:rsidR="007F08A1" w:rsidRDefault="007F08A1" w:rsidP="00386C3E">
      <w:pPr>
        <w:pStyle w:val="P00"/>
        <w:spacing w:before="72"/>
        <w:ind w:left="0" w:right="1134"/>
        <w:rPr>
          <w:rStyle w:val="default"/>
          <w:rFonts w:cs="FrankRuehl"/>
          <w:rtl/>
        </w:rPr>
        <w:sectPr w:rsidR="007F08A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pP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lastRenderedPageBreak/>
        <w:t>1.</w:t>
      </w:r>
      <w:r>
        <w:rPr>
          <w:rStyle w:val="default"/>
          <w:rFonts w:cs="FrankRuehl" w:hint="cs"/>
          <w:rtl/>
        </w:rPr>
        <w:tab/>
        <w:t>אבו גוש</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w:t>
      </w:r>
      <w:r>
        <w:rPr>
          <w:rStyle w:val="default"/>
          <w:rFonts w:cs="FrankRuehl" w:hint="cs"/>
          <w:rtl/>
        </w:rPr>
        <w:tab/>
        <w:t>אום אל-פחם</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w:t>
      </w:r>
      <w:r>
        <w:rPr>
          <w:rStyle w:val="default"/>
          <w:rFonts w:cs="FrankRuehl" w:hint="cs"/>
          <w:rtl/>
        </w:rPr>
        <w:tab/>
        <w:t>אור יהודה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w:t>
      </w:r>
      <w:r>
        <w:rPr>
          <w:rStyle w:val="default"/>
          <w:rFonts w:cs="FrankRuehl" w:hint="cs"/>
          <w:rtl/>
        </w:rPr>
        <w:tab/>
        <w:t>אור עקיבא</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w:t>
      </w:r>
      <w:r>
        <w:rPr>
          <w:rStyle w:val="default"/>
          <w:rFonts w:cs="FrankRuehl" w:hint="cs"/>
          <w:rtl/>
        </w:rPr>
        <w:tab/>
        <w:t>אלונה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6.</w:t>
      </w:r>
      <w:r>
        <w:rPr>
          <w:rStyle w:val="default"/>
          <w:rFonts w:cs="FrankRuehl" w:hint="cs"/>
          <w:rtl/>
        </w:rPr>
        <w:tab/>
        <w:t>אליכין</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7.</w:t>
      </w:r>
      <w:r>
        <w:rPr>
          <w:rStyle w:val="default"/>
          <w:rFonts w:cs="FrankRuehl" w:hint="cs"/>
          <w:rtl/>
        </w:rPr>
        <w:tab/>
        <w:t>אלעד</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8.</w:t>
      </w:r>
      <w:r>
        <w:rPr>
          <w:rStyle w:val="default"/>
          <w:rFonts w:cs="FrankRuehl" w:hint="cs"/>
          <w:rtl/>
        </w:rPr>
        <w:tab/>
        <w:t>באקה-ג'ת</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9.</w:t>
      </w:r>
      <w:r>
        <w:rPr>
          <w:rStyle w:val="default"/>
          <w:rFonts w:cs="FrankRuehl" w:hint="cs"/>
          <w:rtl/>
        </w:rPr>
        <w:tab/>
        <w:t>באר יעקב</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10.</w:t>
      </w:r>
      <w:r>
        <w:rPr>
          <w:rStyle w:val="default"/>
          <w:rFonts w:cs="FrankRuehl" w:hint="cs"/>
          <w:rtl/>
        </w:rPr>
        <w:tab/>
        <w:t>בית דגן</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11.</w:t>
      </w:r>
      <w:r>
        <w:rPr>
          <w:rStyle w:val="default"/>
          <w:rFonts w:cs="FrankRuehl" w:hint="cs"/>
          <w:rtl/>
        </w:rPr>
        <w:tab/>
        <w:t>בית שמש</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12.</w:t>
      </w:r>
      <w:r>
        <w:rPr>
          <w:rStyle w:val="default"/>
          <w:rFonts w:cs="FrankRuehl" w:hint="cs"/>
          <w:rtl/>
        </w:rPr>
        <w:tab/>
        <w:t>בני ברק</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13.</w:t>
      </w:r>
      <w:r>
        <w:rPr>
          <w:rStyle w:val="default"/>
          <w:rFonts w:cs="FrankRuehl" w:hint="cs"/>
          <w:rtl/>
        </w:rPr>
        <w:tab/>
        <w:t>בני עי"ש</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14.</w:t>
      </w:r>
      <w:r>
        <w:rPr>
          <w:rStyle w:val="default"/>
          <w:rFonts w:cs="FrankRuehl" w:hint="cs"/>
          <w:rtl/>
        </w:rPr>
        <w:tab/>
        <w:t>בסמ"ה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15.</w:t>
      </w:r>
      <w:r>
        <w:rPr>
          <w:rStyle w:val="default"/>
          <w:rFonts w:cs="FrankRuehl" w:hint="cs"/>
          <w:rtl/>
        </w:rPr>
        <w:tab/>
        <w:t>בת ים</w:t>
      </w:r>
    </w:p>
    <w:p w:rsidR="007F08A1"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16.</w:t>
      </w:r>
      <w:r>
        <w:rPr>
          <w:rStyle w:val="default"/>
          <w:rFonts w:cs="FrankRuehl" w:hint="cs"/>
          <w:rtl/>
        </w:rPr>
        <w:tab/>
        <w:t>גדרה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17.</w:t>
      </w:r>
      <w:r>
        <w:rPr>
          <w:rStyle w:val="default"/>
          <w:rFonts w:cs="FrankRuehl" w:hint="cs"/>
          <w:rtl/>
        </w:rPr>
        <w:tab/>
        <w:t>ג'לג'וליה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18.</w:t>
      </w:r>
      <w:r>
        <w:rPr>
          <w:rStyle w:val="default"/>
          <w:rFonts w:cs="FrankRuehl" w:hint="cs"/>
          <w:rtl/>
        </w:rPr>
        <w:tab/>
        <w:t>גן יבנה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19.</w:t>
      </w:r>
      <w:r>
        <w:rPr>
          <w:rStyle w:val="default"/>
          <w:rFonts w:cs="FrankRuehl" w:hint="cs"/>
          <w:rtl/>
        </w:rPr>
        <w:tab/>
        <w:t>ג'סר א-זרקא</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20.</w:t>
      </w:r>
      <w:r>
        <w:rPr>
          <w:rStyle w:val="default"/>
          <w:rFonts w:cs="FrankRuehl" w:hint="cs"/>
          <w:rtl/>
        </w:rPr>
        <w:tab/>
        <w:t>זבולון</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21.</w:t>
      </w:r>
      <w:r>
        <w:rPr>
          <w:rStyle w:val="default"/>
          <w:rFonts w:cs="FrankRuehl" w:hint="cs"/>
          <w:rtl/>
        </w:rPr>
        <w:tab/>
        <w:t>זמר</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22.</w:t>
      </w:r>
      <w:r>
        <w:rPr>
          <w:rStyle w:val="default"/>
          <w:rFonts w:cs="FrankRuehl" w:hint="cs"/>
          <w:rtl/>
        </w:rPr>
        <w:tab/>
        <w:t>חבל יבנה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23.</w:t>
      </w:r>
      <w:r>
        <w:rPr>
          <w:rStyle w:val="default"/>
          <w:rFonts w:cs="FrankRuehl" w:hint="cs"/>
          <w:rtl/>
        </w:rPr>
        <w:tab/>
        <w:t>חבל מודיעין</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24.</w:t>
      </w:r>
      <w:r>
        <w:rPr>
          <w:rStyle w:val="default"/>
          <w:rFonts w:cs="FrankRuehl" w:hint="cs"/>
          <w:rtl/>
        </w:rPr>
        <w:tab/>
        <w:t>חדרה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25.</w:t>
      </w:r>
      <w:r>
        <w:rPr>
          <w:rStyle w:val="default"/>
          <w:rFonts w:cs="FrankRuehl" w:hint="cs"/>
          <w:rtl/>
        </w:rPr>
        <w:tab/>
        <w:t>חוף הכרמל</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26.</w:t>
      </w:r>
      <w:r>
        <w:rPr>
          <w:rStyle w:val="default"/>
          <w:rFonts w:cs="FrankRuehl" w:hint="cs"/>
          <w:rtl/>
        </w:rPr>
        <w:tab/>
        <w:t>חיפה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27.</w:t>
      </w:r>
      <w:r>
        <w:rPr>
          <w:rStyle w:val="default"/>
          <w:rFonts w:cs="FrankRuehl" w:hint="cs"/>
          <w:rtl/>
        </w:rPr>
        <w:tab/>
        <w:t>טייבה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28.</w:t>
      </w:r>
      <w:r>
        <w:rPr>
          <w:rStyle w:val="default"/>
          <w:rFonts w:cs="FrankRuehl" w:hint="cs"/>
          <w:rtl/>
        </w:rPr>
        <w:tab/>
        <w:t>טירה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29.</w:t>
      </w:r>
      <w:r>
        <w:rPr>
          <w:rStyle w:val="default"/>
          <w:rFonts w:cs="FrankRuehl" w:hint="cs"/>
          <w:rtl/>
        </w:rPr>
        <w:tab/>
        <w:t>טירת הכרמל</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30.</w:t>
      </w:r>
      <w:r>
        <w:rPr>
          <w:rStyle w:val="default"/>
          <w:rFonts w:cs="FrankRuehl" w:hint="cs"/>
          <w:rtl/>
        </w:rPr>
        <w:tab/>
        <w:t>יבנה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31.</w:t>
      </w:r>
      <w:r>
        <w:rPr>
          <w:rStyle w:val="default"/>
          <w:rFonts w:cs="FrankRuehl" w:hint="cs"/>
          <w:rtl/>
        </w:rPr>
        <w:tab/>
        <w:t>ירושלים</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32.</w:t>
      </w:r>
      <w:r>
        <w:rPr>
          <w:rStyle w:val="default"/>
          <w:rFonts w:cs="FrankRuehl" w:hint="cs"/>
          <w:rtl/>
        </w:rPr>
        <w:tab/>
        <w:t>כפר ברא</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33.</w:t>
      </w:r>
      <w:r>
        <w:rPr>
          <w:rStyle w:val="default"/>
          <w:rFonts w:cs="FrankRuehl" w:hint="cs"/>
          <w:rtl/>
        </w:rPr>
        <w:tab/>
        <w:t>כפר יונה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34.</w:t>
      </w:r>
      <w:r>
        <w:rPr>
          <w:rStyle w:val="default"/>
          <w:rFonts w:cs="FrankRuehl" w:hint="cs"/>
          <w:rtl/>
        </w:rPr>
        <w:tab/>
        <w:t>כפר קאסם</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35.</w:t>
      </w:r>
      <w:r>
        <w:rPr>
          <w:rStyle w:val="default"/>
          <w:rFonts w:cs="FrankRuehl" w:hint="cs"/>
          <w:rtl/>
        </w:rPr>
        <w:tab/>
        <w:t>כפר קרע</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36.</w:t>
      </w:r>
      <w:r>
        <w:rPr>
          <w:rStyle w:val="default"/>
          <w:rFonts w:cs="FrankRuehl" w:hint="cs"/>
          <w:rtl/>
        </w:rPr>
        <w:tab/>
        <w:t>לוד</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37.</w:t>
      </w:r>
      <w:r>
        <w:rPr>
          <w:rStyle w:val="default"/>
          <w:rFonts w:cs="FrankRuehl" w:hint="cs"/>
          <w:rtl/>
        </w:rPr>
        <w:tab/>
        <w:t>מטה יהודה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38.</w:t>
      </w:r>
      <w:r>
        <w:rPr>
          <w:rStyle w:val="default"/>
          <w:rFonts w:cs="FrankRuehl" w:hint="cs"/>
          <w:rtl/>
        </w:rPr>
        <w:tab/>
        <w:t>מנשה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39.</w:t>
      </w:r>
      <w:r>
        <w:rPr>
          <w:rStyle w:val="default"/>
          <w:rFonts w:cs="FrankRuehl" w:hint="cs"/>
          <w:rtl/>
        </w:rPr>
        <w:tab/>
        <w:t>מעלה עירון</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40.</w:t>
      </w:r>
      <w:r>
        <w:rPr>
          <w:rStyle w:val="default"/>
          <w:rFonts w:cs="FrankRuehl" w:hint="cs"/>
          <w:rtl/>
        </w:rPr>
        <w:tab/>
        <w:t>נחל שורק</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41.</w:t>
      </w:r>
      <w:r>
        <w:rPr>
          <w:rStyle w:val="default"/>
          <w:rFonts w:cs="FrankRuehl" w:hint="cs"/>
          <w:rtl/>
        </w:rPr>
        <w:tab/>
        <w:t>נשר</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42.</w:t>
      </w:r>
      <w:r>
        <w:rPr>
          <w:rStyle w:val="default"/>
          <w:rFonts w:cs="FrankRuehl" w:hint="cs"/>
          <w:rtl/>
        </w:rPr>
        <w:tab/>
        <w:t>נתניה</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43.</w:t>
      </w:r>
      <w:r>
        <w:rPr>
          <w:rStyle w:val="default"/>
          <w:rFonts w:cs="FrankRuehl" w:hint="cs"/>
          <w:rtl/>
        </w:rPr>
        <w:tab/>
        <w:t>עמק לוד</w:t>
      </w:r>
    </w:p>
    <w:p w:rsidR="007F08A1" w:rsidRDefault="007F08A1"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44.</w:t>
      </w:r>
      <w:r>
        <w:rPr>
          <w:rStyle w:val="default"/>
          <w:rFonts w:cs="FrankRuehl" w:hint="cs"/>
          <w:rtl/>
        </w:rPr>
        <w:tab/>
        <w:t>ערערה</w:t>
      </w:r>
    </w:p>
    <w:p w:rsidR="007F08A1"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45.</w:t>
      </w:r>
      <w:r>
        <w:rPr>
          <w:rStyle w:val="default"/>
          <w:rFonts w:cs="FrankRuehl" w:hint="cs"/>
          <w:rtl/>
        </w:rPr>
        <w:tab/>
        <w:t>פורידיס</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46.</w:t>
      </w:r>
      <w:r>
        <w:rPr>
          <w:rStyle w:val="default"/>
          <w:rFonts w:cs="FrankRuehl" w:hint="cs"/>
          <w:rtl/>
        </w:rPr>
        <w:tab/>
        <w:t>פרדס חנה-כרכור</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47.</w:t>
      </w:r>
      <w:r>
        <w:rPr>
          <w:rStyle w:val="default"/>
          <w:rFonts w:cs="FrankRuehl" w:hint="cs"/>
          <w:rtl/>
        </w:rPr>
        <w:tab/>
        <w:t>קלנסווה</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48.</w:t>
      </w:r>
      <w:r>
        <w:rPr>
          <w:rStyle w:val="default"/>
          <w:rFonts w:cs="FrankRuehl" w:hint="cs"/>
          <w:rtl/>
        </w:rPr>
        <w:tab/>
        <w:t>קציר-חריש</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49.</w:t>
      </w:r>
      <w:r>
        <w:rPr>
          <w:rStyle w:val="default"/>
          <w:rFonts w:cs="FrankRuehl" w:hint="cs"/>
          <w:rtl/>
        </w:rPr>
        <w:tab/>
        <w:t>קרית אתא</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50.</w:t>
      </w:r>
      <w:r>
        <w:rPr>
          <w:rStyle w:val="default"/>
          <w:rFonts w:cs="FrankRuehl" w:hint="cs"/>
          <w:rtl/>
        </w:rPr>
        <w:tab/>
        <w:t>קרית ביאליק</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51.</w:t>
      </w:r>
      <w:r>
        <w:rPr>
          <w:rStyle w:val="default"/>
          <w:rFonts w:cs="FrankRuehl" w:hint="cs"/>
          <w:rtl/>
        </w:rPr>
        <w:tab/>
        <w:t>קרית טבעון</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52.</w:t>
      </w:r>
      <w:r>
        <w:rPr>
          <w:rStyle w:val="default"/>
          <w:rFonts w:cs="FrankRuehl" w:hint="cs"/>
          <w:rtl/>
        </w:rPr>
        <w:tab/>
        <w:t>קרית ים</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53.</w:t>
      </w:r>
      <w:r>
        <w:rPr>
          <w:rStyle w:val="default"/>
          <w:rFonts w:cs="FrankRuehl" w:hint="cs"/>
          <w:rtl/>
        </w:rPr>
        <w:tab/>
        <w:t>קרית יערים</w:t>
      </w:r>
    </w:p>
    <w:p w:rsidR="0053393D" w:rsidRDefault="0053393D" w:rsidP="007F08A1">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54.</w:t>
      </w:r>
      <w:r>
        <w:rPr>
          <w:rStyle w:val="default"/>
          <w:rFonts w:cs="FrankRuehl" w:hint="cs"/>
          <w:rtl/>
        </w:rPr>
        <w:tab/>
        <w:t>קרית מוצקין</w:t>
      </w: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55.</w:t>
      </w:r>
      <w:r>
        <w:rPr>
          <w:rStyle w:val="default"/>
          <w:rFonts w:cs="FrankRuehl" w:hint="cs"/>
          <w:rtl/>
        </w:rPr>
        <w:tab/>
        <w:t>קרית עקרון</w:t>
      </w: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56.</w:t>
      </w:r>
      <w:r>
        <w:rPr>
          <w:rStyle w:val="default"/>
          <w:rFonts w:cs="FrankRuehl" w:hint="cs"/>
          <w:rtl/>
        </w:rPr>
        <w:tab/>
        <w:t>ראש העין</w:t>
      </w: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57.</w:t>
      </w:r>
      <w:r>
        <w:rPr>
          <w:rStyle w:val="default"/>
          <w:rFonts w:cs="FrankRuehl" w:hint="cs"/>
          <w:rtl/>
        </w:rPr>
        <w:tab/>
        <w:t>רכסים</w:t>
      </w: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58.</w:t>
      </w:r>
      <w:r>
        <w:rPr>
          <w:rStyle w:val="default"/>
          <w:rFonts w:cs="FrankRuehl" w:hint="cs"/>
          <w:rtl/>
        </w:rPr>
        <w:tab/>
        <w:t>רמלה</w:t>
      </w: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rtl/>
        </w:rPr>
        <w:sectPr w:rsidR="0053393D" w:rsidSect="0053393D">
          <w:type w:val="continuous"/>
          <w:pgSz w:w="11906" w:h="16838"/>
          <w:pgMar w:top="1200" w:right="2267" w:bottom="400" w:left="567" w:header="709" w:footer="709" w:gutter="0"/>
          <w:pgNumType w:start="1"/>
          <w:cols w:num="2" w:space="709"/>
          <w:bidi/>
          <w:rtlGutter/>
          <w:docGrid w:linePitch="360"/>
        </w:sectPr>
      </w:pPr>
    </w:p>
    <w:p w:rsidR="0053393D" w:rsidRDefault="0053393D" w:rsidP="0053393D">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p>
    <w:p w:rsidR="0053393D" w:rsidRDefault="0053393D">
      <w:pPr>
        <w:pStyle w:val="P00"/>
        <w:spacing w:before="72"/>
        <w:ind w:left="0" w:right="1134"/>
        <w:rPr>
          <w:rStyle w:val="default"/>
          <w:rFonts w:cs="FrankRuehl"/>
          <w:rtl/>
        </w:rPr>
        <w:sectPr w:rsidR="0053393D" w:rsidSect="007F08A1">
          <w:type w:val="continuous"/>
          <w:pgSz w:w="11906" w:h="16838"/>
          <w:pgMar w:top="1200" w:right="2267" w:bottom="400" w:left="567" w:header="709" w:footer="709" w:gutter="0"/>
          <w:pgNumType w:start="1"/>
          <w:cols w:space="708"/>
          <w:bidi/>
          <w:rtlGutter/>
          <w:docGrid w:linePitch="360"/>
        </w:sectPr>
      </w:pPr>
    </w:p>
    <w:p w:rsidR="0053393D" w:rsidRDefault="0053393D">
      <w:pPr>
        <w:pStyle w:val="P00"/>
        <w:spacing w:before="72"/>
        <w:ind w:left="0" w:right="1134"/>
        <w:rPr>
          <w:rStyle w:val="default"/>
          <w:rFonts w:cs="FrankRuehl" w:hint="cs"/>
          <w:rtl/>
        </w:rPr>
      </w:pPr>
    </w:p>
    <w:p w:rsidR="0053393D" w:rsidRDefault="0053393D">
      <w:pPr>
        <w:pStyle w:val="P00"/>
        <w:spacing w:before="72"/>
        <w:ind w:left="0" w:right="1134"/>
        <w:rPr>
          <w:rStyle w:val="default"/>
          <w:rFonts w:cs="FrankRuehl" w:hint="cs"/>
          <w:rtl/>
        </w:rPr>
      </w:pPr>
    </w:p>
    <w:p w:rsidR="00577A69" w:rsidRDefault="0053393D" w:rsidP="0053393D">
      <w:pPr>
        <w:pStyle w:val="sig-0"/>
        <w:tabs>
          <w:tab w:val="clear" w:pos="4820"/>
          <w:tab w:val="center" w:pos="5103"/>
        </w:tabs>
        <w:ind w:left="0" w:right="1134"/>
        <w:rPr>
          <w:rFonts w:cs="FrankRuehl" w:hint="cs"/>
          <w:sz w:val="26"/>
          <w:rtl/>
        </w:rPr>
      </w:pPr>
      <w:r>
        <w:rPr>
          <w:rFonts w:cs="FrankRuehl" w:hint="cs"/>
          <w:sz w:val="26"/>
          <w:rtl/>
        </w:rPr>
        <w:t>כ"ד באלול</w:t>
      </w:r>
      <w:r w:rsidR="00F5093F">
        <w:rPr>
          <w:rFonts w:cs="FrankRuehl" w:hint="cs"/>
          <w:sz w:val="26"/>
          <w:rtl/>
        </w:rPr>
        <w:t xml:space="preserve"> התשס"</w:t>
      </w:r>
      <w:r>
        <w:rPr>
          <w:rFonts w:cs="FrankRuehl" w:hint="cs"/>
          <w:sz w:val="26"/>
          <w:rtl/>
        </w:rPr>
        <w:t>ח</w:t>
      </w:r>
      <w:r w:rsidR="00F5093F">
        <w:rPr>
          <w:rFonts w:cs="FrankRuehl" w:hint="cs"/>
          <w:sz w:val="26"/>
          <w:rtl/>
        </w:rPr>
        <w:t xml:space="preserve"> (</w:t>
      </w:r>
      <w:r>
        <w:rPr>
          <w:rFonts w:cs="FrankRuehl" w:hint="cs"/>
          <w:sz w:val="26"/>
          <w:rtl/>
        </w:rPr>
        <w:t>24 בספטמבר</w:t>
      </w:r>
      <w:r w:rsidR="001F064C">
        <w:rPr>
          <w:rFonts w:cs="FrankRuehl" w:hint="cs"/>
          <w:sz w:val="26"/>
          <w:rtl/>
        </w:rPr>
        <w:t xml:space="preserve"> </w:t>
      </w:r>
      <w:r w:rsidR="00F5093F">
        <w:rPr>
          <w:rFonts w:cs="FrankRuehl" w:hint="cs"/>
          <w:sz w:val="26"/>
          <w:rtl/>
        </w:rPr>
        <w:t>2008)</w:t>
      </w:r>
      <w:r w:rsidR="00AC69D7">
        <w:rPr>
          <w:rFonts w:cs="FrankRuehl" w:hint="cs"/>
          <w:sz w:val="26"/>
          <w:rtl/>
        </w:rPr>
        <w:tab/>
      </w:r>
      <w:r>
        <w:rPr>
          <w:rFonts w:cs="FrankRuehl" w:hint="cs"/>
          <w:sz w:val="26"/>
          <w:rtl/>
        </w:rPr>
        <w:t>מארי שטרית</w:t>
      </w:r>
    </w:p>
    <w:p w:rsidR="00577A69" w:rsidRDefault="00AC69D7" w:rsidP="0053393D">
      <w:pPr>
        <w:pStyle w:val="sig-0"/>
        <w:tabs>
          <w:tab w:val="clear" w:pos="4820"/>
          <w:tab w:val="center" w:pos="5103"/>
        </w:tabs>
        <w:ind w:left="0" w:right="1134"/>
        <w:rPr>
          <w:rFonts w:cs="FrankRuehl" w:hint="cs"/>
          <w:sz w:val="22"/>
          <w:szCs w:val="22"/>
          <w:rtl/>
        </w:rPr>
      </w:pPr>
      <w:r>
        <w:rPr>
          <w:rFonts w:cs="FrankRuehl" w:hint="cs"/>
          <w:sz w:val="22"/>
          <w:szCs w:val="22"/>
          <w:rtl/>
        </w:rPr>
        <w:tab/>
        <w:t xml:space="preserve">שר </w:t>
      </w:r>
      <w:r w:rsidR="0053393D">
        <w:rPr>
          <w:rFonts w:cs="FrankRuehl" w:hint="cs"/>
          <w:sz w:val="22"/>
          <w:szCs w:val="22"/>
          <w:rtl/>
        </w:rPr>
        <w:t>הפנים</w:t>
      </w:r>
    </w:p>
    <w:p w:rsidR="00B3535B" w:rsidRDefault="00B3535B">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112DE" w:rsidRDefault="005112DE">
      <w:pPr>
        <w:pStyle w:val="P00"/>
        <w:spacing w:before="72"/>
        <w:ind w:left="0" w:right="1134"/>
        <w:rPr>
          <w:rStyle w:val="default"/>
          <w:rFonts w:cs="FrankRuehl" w:hint="cs"/>
          <w:rtl/>
        </w:rPr>
      </w:pPr>
    </w:p>
    <w:sectPr w:rsidR="005112DE" w:rsidSect="007F08A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3CBC" w:rsidRDefault="00F53CBC">
      <w:r>
        <w:separator/>
      </w:r>
    </w:p>
  </w:endnote>
  <w:endnote w:type="continuationSeparator" w:id="0">
    <w:p w:rsidR="00F53CBC" w:rsidRDefault="00F53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21D86">
      <w:rPr>
        <w:rFonts w:hAnsi="FrankRuehl" w:cs="FrankRuehl"/>
        <w:noProof/>
        <w:sz w:val="24"/>
        <w:szCs w:val="24"/>
        <w:rtl/>
      </w:rPr>
      <w:t>2</w:t>
    </w:r>
    <w:r>
      <w:rPr>
        <w:rFonts w:hAnsi="FrankRuehl" w:cs="FrankRuehl"/>
        <w:sz w:val="24"/>
        <w:szCs w:val="24"/>
        <w:rtl/>
      </w:rPr>
      <w:fldChar w:fldCharType="end"/>
    </w:r>
  </w:p>
  <w:p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29C">
      <w:rPr>
        <w:rFonts w:cs="TopType Jerushalmi"/>
        <w:noProof/>
        <w:color w:val="000000"/>
        <w:sz w:val="14"/>
        <w:szCs w:val="14"/>
      </w:rPr>
      <w:t>Z:\000000000000-law\yael\08-11-10\500_029.doc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3CBC" w:rsidRDefault="00F53CBC">
      <w:pPr>
        <w:spacing w:before="60"/>
        <w:ind w:right="1134"/>
      </w:pPr>
      <w:r>
        <w:separator/>
      </w:r>
    </w:p>
  </w:footnote>
  <w:footnote w:type="continuationSeparator" w:id="0">
    <w:p w:rsidR="00F53CBC" w:rsidRDefault="00F53CBC">
      <w:r>
        <w:continuationSeparator/>
      </w:r>
    </w:p>
  </w:footnote>
  <w:footnote w:id="1">
    <w:p w:rsidR="00B02C9D" w:rsidRDefault="00EC4D95" w:rsidP="00B02C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פורסמו</w:t>
      </w:r>
      <w:r>
        <w:rPr>
          <w:rFonts w:cs="FrankRuehl" w:hint="cs"/>
          <w:rtl/>
        </w:rPr>
        <w:t xml:space="preserve"> </w:t>
      </w:r>
      <w:hyperlink r:id="rId1" w:history="1">
        <w:r w:rsidRPr="00B02C9D">
          <w:rPr>
            <w:rStyle w:val="Hyperlink"/>
            <w:rFonts w:cs="FrankRuehl" w:hint="cs"/>
            <w:rtl/>
          </w:rPr>
          <w:t>ק"ת תשס"ט מס' 67</w:t>
        </w:r>
        <w:r w:rsidR="0013756F" w:rsidRPr="00B02C9D">
          <w:rPr>
            <w:rStyle w:val="Hyperlink"/>
            <w:rFonts w:cs="FrankRuehl" w:hint="cs"/>
            <w:rtl/>
          </w:rPr>
          <w:t>2</w:t>
        </w:r>
        <w:r w:rsidR="00B3535B" w:rsidRPr="00B02C9D">
          <w:rPr>
            <w:rStyle w:val="Hyperlink"/>
            <w:rFonts w:cs="FrankRuehl" w:hint="cs"/>
            <w:rtl/>
          </w:rPr>
          <w:t>1</w:t>
        </w:r>
      </w:hyperlink>
      <w:r>
        <w:rPr>
          <w:rFonts w:cs="FrankRuehl" w:hint="cs"/>
          <w:rtl/>
        </w:rPr>
        <w:t xml:space="preserve"> מיום </w:t>
      </w:r>
      <w:r w:rsidR="00B3535B">
        <w:rPr>
          <w:rFonts w:cs="FrankRuehl" w:hint="cs"/>
          <w:rtl/>
        </w:rPr>
        <w:t>5</w:t>
      </w:r>
      <w:r w:rsidR="0013756F">
        <w:rPr>
          <w:rFonts w:cs="FrankRuehl" w:hint="cs"/>
          <w:rtl/>
        </w:rPr>
        <w:t>.11</w:t>
      </w:r>
      <w:r>
        <w:rPr>
          <w:rFonts w:cs="FrankRuehl" w:hint="cs"/>
          <w:rtl/>
        </w:rPr>
        <w:t xml:space="preserve">.2008 עמ' </w:t>
      </w:r>
      <w:r w:rsidR="00B3535B">
        <w:rPr>
          <w:rFonts w:cs="FrankRuehl" w:hint="cs"/>
          <w:rtl/>
        </w:rPr>
        <w:t>82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D95" w:rsidRDefault="001F064C" w:rsidP="00B353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B3535B">
      <w:rPr>
        <w:rFonts w:hAnsi="FrankRuehl" w:cs="FrankRuehl" w:hint="cs"/>
        <w:color w:val="000000"/>
        <w:sz w:val="28"/>
        <w:szCs w:val="28"/>
        <w:rtl/>
      </w:rPr>
      <w:t xml:space="preserve">התכנון והבניה (פטור מהיטל השבחה לעידוד חיזוק מבנים מפני רעידות אדמה) </w:t>
    </w:r>
    <w:r w:rsidR="0013756F">
      <w:rPr>
        <w:rFonts w:hAnsi="FrankRuehl" w:cs="FrankRuehl" w:hint="cs"/>
        <w:color w:val="000000"/>
        <w:sz w:val="28"/>
        <w:szCs w:val="28"/>
        <w:rtl/>
      </w:rPr>
      <w:t>(הוראת שעה)</w:t>
    </w:r>
    <w:r w:rsidR="00EC4D95">
      <w:rPr>
        <w:rFonts w:hAnsi="FrankRuehl" w:cs="FrankRuehl" w:hint="cs"/>
        <w:color w:val="000000"/>
        <w:sz w:val="28"/>
        <w:szCs w:val="28"/>
        <w:rtl/>
      </w:rPr>
      <w:t>, תשס"ט-2008</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06472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3CD3"/>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6B35"/>
    <w:rsid w:val="00846224"/>
    <w:rsid w:val="00846430"/>
    <w:rsid w:val="00847E6F"/>
    <w:rsid w:val="008506C9"/>
    <w:rsid w:val="00852A6A"/>
    <w:rsid w:val="00852F43"/>
    <w:rsid w:val="00853B6E"/>
    <w:rsid w:val="00855AA6"/>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5260"/>
    <w:rsid w:val="00A87B96"/>
    <w:rsid w:val="00A957C8"/>
    <w:rsid w:val="00A95E77"/>
    <w:rsid w:val="00A95E79"/>
    <w:rsid w:val="00AA0235"/>
    <w:rsid w:val="00AA1CFE"/>
    <w:rsid w:val="00AA3300"/>
    <w:rsid w:val="00AA6485"/>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35B"/>
    <w:rsid w:val="00B40FB9"/>
    <w:rsid w:val="00B4243F"/>
    <w:rsid w:val="00B4351C"/>
    <w:rsid w:val="00B447BE"/>
    <w:rsid w:val="00B44AD0"/>
    <w:rsid w:val="00B45044"/>
    <w:rsid w:val="00B4671C"/>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BF7F74"/>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4CAE"/>
    <w:rsid w:val="00D06804"/>
    <w:rsid w:val="00D10530"/>
    <w:rsid w:val="00D10EA8"/>
    <w:rsid w:val="00D11EC6"/>
    <w:rsid w:val="00D14CD5"/>
    <w:rsid w:val="00D228E0"/>
    <w:rsid w:val="00D308E1"/>
    <w:rsid w:val="00D324E2"/>
    <w:rsid w:val="00D3393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805EBAA-2348-43B5-BEF2-C30FECD6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2625</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0</vt:i4>
      </vt:variant>
      <vt:variant>
        <vt:i4>0</vt:i4>
      </vt:variant>
      <vt:variant>
        <vt:i4>5</vt:i4>
      </vt:variant>
      <vt:variant>
        <vt:lpwstr>http://www.nevo.co.il/Law_word/law06/tak-6721.pdf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התכנון והבניה (פטור מהיטל השבחה לעידוד חיזוק מבנים מפני רעידות אדמה) (הוראת שעה), תשס"ט-2008</vt:lpwstr>
  </property>
  <property fmtid="{D5CDD505-2E9C-101B-9397-08002B2CF9AE}" pid="4" name="LAWNUMBER">
    <vt:lpwstr>0029</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http://www.nevo.co.il/Law_word/law06/tak-6721.pdf;‎רשומות - תקנות כלליות#פורסמו ק"ת ‏תשס"ט מס' 6721 #מיום 5.11.2008 עמ' 82‏</vt:lpwstr>
  </property>
  <property fmtid="{D5CDD505-2E9C-101B-9397-08002B2CF9AE}" pid="23" name="MEKOR_NAME1">
    <vt:lpwstr>חוק התכנון והבניה</vt:lpwstr>
  </property>
  <property fmtid="{D5CDD505-2E9C-101B-9397-08002B2CF9AE}" pid="24" name="MEKOR_SAIF1">
    <vt:lpwstr>265X;19Xב1X2X</vt:lpwstr>
  </property>
  <property fmtid="{D5CDD505-2E9C-101B-9397-08002B2CF9AE}" pid="25" name="NOSE11">
    <vt:lpwstr>רשויות ומשפט מנהלי</vt:lpwstr>
  </property>
  <property fmtid="{D5CDD505-2E9C-101B-9397-08002B2CF9AE}" pid="26" name="NOSE21">
    <vt:lpwstr>תכנון ובניה</vt:lpwstr>
  </property>
  <property fmtid="{D5CDD505-2E9C-101B-9397-08002B2CF9AE}" pid="27" name="NOSE31">
    <vt:lpwstr>היטלים אגרות ופטורים</vt:lpwstr>
  </property>
  <property fmtid="{D5CDD505-2E9C-101B-9397-08002B2CF9AE}" pid="28" name="NOSE41">
    <vt:lpwstr/>
  </property>
  <property fmtid="{D5CDD505-2E9C-101B-9397-08002B2CF9AE}" pid="29" name="NOSE12">
    <vt:lpwstr>מסים</vt:lpwstr>
  </property>
  <property fmtid="{D5CDD505-2E9C-101B-9397-08002B2CF9AE}" pid="30" name="NOSE22">
    <vt:lpwstr>היטלים</vt:lpwstr>
  </property>
  <property fmtid="{D5CDD505-2E9C-101B-9397-08002B2CF9AE}" pid="31" name="NOSE32">
    <vt:lpwstr>היטל השבחה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