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D598" w14:textId="77777777" w:rsidR="008E2099" w:rsidRDefault="008E2099">
      <w:pPr>
        <w:pStyle w:val="big-header"/>
        <w:ind w:left="0" w:right="1134"/>
      </w:pPr>
      <w:r>
        <w:rPr>
          <w:rFonts w:hint="cs"/>
          <w:rtl/>
        </w:rPr>
        <w:t>תקנות התכנון והבניה (פטור מחובת התקנת מנגנון פיקוד שבת במעלית), תשס"ד-2004</w:t>
      </w:r>
    </w:p>
    <w:p w14:paraId="0631F52D" w14:textId="77777777" w:rsidR="0081357F" w:rsidRPr="0081357F" w:rsidRDefault="0081357F" w:rsidP="0081357F">
      <w:pPr>
        <w:spacing w:line="320" w:lineRule="auto"/>
        <w:jc w:val="left"/>
        <w:rPr>
          <w:rFonts w:cs="FrankRuehl"/>
          <w:szCs w:val="26"/>
          <w:rtl/>
        </w:rPr>
      </w:pPr>
    </w:p>
    <w:p w14:paraId="4597615D" w14:textId="77777777" w:rsidR="0081357F" w:rsidRDefault="0081357F" w:rsidP="0081357F">
      <w:pPr>
        <w:spacing w:line="320" w:lineRule="auto"/>
        <w:jc w:val="left"/>
        <w:rPr>
          <w:rtl/>
        </w:rPr>
      </w:pPr>
    </w:p>
    <w:p w14:paraId="5B7F1875" w14:textId="77777777" w:rsidR="0081357F" w:rsidRPr="0081357F" w:rsidRDefault="0081357F" w:rsidP="0081357F">
      <w:pPr>
        <w:spacing w:line="320" w:lineRule="auto"/>
        <w:jc w:val="left"/>
        <w:rPr>
          <w:rFonts w:cs="Miriam"/>
          <w:szCs w:val="22"/>
          <w:rtl/>
        </w:rPr>
      </w:pPr>
      <w:r w:rsidRPr="0081357F">
        <w:rPr>
          <w:rFonts w:cs="Miriam"/>
          <w:szCs w:val="22"/>
          <w:rtl/>
        </w:rPr>
        <w:t>רשויות ומשפט מנהלי</w:t>
      </w:r>
      <w:r w:rsidRPr="0081357F">
        <w:rPr>
          <w:rFonts w:cs="FrankRuehl"/>
          <w:szCs w:val="26"/>
          <w:rtl/>
        </w:rPr>
        <w:t xml:space="preserve"> – תכנון ובניה</w:t>
      </w:r>
    </w:p>
    <w:p w14:paraId="35DA1B05" w14:textId="77777777" w:rsidR="008E2099" w:rsidRDefault="008E209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78A3" w:rsidRPr="007C78A3" w14:paraId="2F0752A2" w14:textId="77777777" w:rsidTr="007C78A3">
        <w:tblPrEx>
          <w:tblCellMar>
            <w:top w:w="0" w:type="dxa"/>
            <w:bottom w:w="0" w:type="dxa"/>
          </w:tblCellMar>
        </w:tblPrEx>
        <w:tc>
          <w:tcPr>
            <w:tcW w:w="1247" w:type="dxa"/>
          </w:tcPr>
          <w:p w14:paraId="0B4B527B" w14:textId="77777777" w:rsidR="007C78A3" w:rsidRPr="007C78A3" w:rsidRDefault="007C78A3" w:rsidP="007C78A3">
            <w:pPr>
              <w:spacing w:line="240" w:lineRule="auto"/>
              <w:jc w:val="left"/>
              <w:rPr>
                <w:rFonts w:cs="Frankruhel"/>
                <w:sz w:val="24"/>
                <w:rtl/>
              </w:rPr>
            </w:pPr>
            <w:r>
              <w:rPr>
                <w:rFonts w:cs="Times New Roman"/>
                <w:sz w:val="24"/>
                <w:rtl/>
              </w:rPr>
              <w:t xml:space="preserve">סעיף 1 </w:t>
            </w:r>
          </w:p>
        </w:tc>
        <w:tc>
          <w:tcPr>
            <w:tcW w:w="5669" w:type="dxa"/>
          </w:tcPr>
          <w:p w14:paraId="63A7ECFB" w14:textId="77777777" w:rsidR="007C78A3" w:rsidRPr="007C78A3" w:rsidRDefault="007C78A3" w:rsidP="007C78A3">
            <w:pPr>
              <w:spacing w:line="240" w:lineRule="auto"/>
              <w:jc w:val="left"/>
              <w:rPr>
                <w:rFonts w:cs="Frankruhel"/>
                <w:sz w:val="24"/>
                <w:rtl/>
              </w:rPr>
            </w:pPr>
            <w:r>
              <w:rPr>
                <w:rFonts w:cs="Times New Roman"/>
                <w:sz w:val="24"/>
                <w:rtl/>
              </w:rPr>
              <w:t>הגדרות</w:t>
            </w:r>
          </w:p>
        </w:tc>
        <w:tc>
          <w:tcPr>
            <w:tcW w:w="567" w:type="dxa"/>
          </w:tcPr>
          <w:p w14:paraId="3C3B5125" w14:textId="77777777" w:rsidR="007C78A3" w:rsidRPr="007C78A3" w:rsidRDefault="007C78A3" w:rsidP="007C78A3">
            <w:pPr>
              <w:spacing w:line="240" w:lineRule="auto"/>
              <w:jc w:val="left"/>
              <w:rPr>
                <w:rStyle w:val="Hyperlink"/>
                <w:rtl/>
              </w:rPr>
            </w:pPr>
            <w:hyperlink w:anchor="Seif1" w:tooltip="הגדרות" w:history="1">
              <w:r w:rsidRPr="007C78A3">
                <w:rPr>
                  <w:rStyle w:val="Hyperlink"/>
                </w:rPr>
                <w:t>Go</w:t>
              </w:r>
            </w:hyperlink>
          </w:p>
        </w:tc>
        <w:tc>
          <w:tcPr>
            <w:tcW w:w="850" w:type="dxa"/>
          </w:tcPr>
          <w:p w14:paraId="4AA4CADD" w14:textId="77777777" w:rsidR="007C78A3" w:rsidRPr="007C78A3" w:rsidRDefault="007C78A3" w:rsidP="007C78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78A3" w:rsidRPr="007C78A3" w14:paraId="6727C20F" w14:textId="77777777" w:rsidTr="007C78A3">
        <w:tblPrEx>
          <w:tblCellMar>
            <w:top w:w="0" w:type="dxa"/>
            <w:bottom w:w="0" w:type="dxa"/>
          </w:tblCellMar>
        </w:tblPrEx>
        <w:tc>
          <w:tcPr>
            <w:tcW w:w="1247" w:type="dxa"/>
          </w:tcPr>
          <w:p w14:paraId="46F9DC3B" w14:textId="77777777" w:rsidR="007C78A3" w:rsidRPr="007C78A3" w:rsidRDefault="007C78A3" w:rsidP="007C78A3">
            <w:pPr>
              <w:spacing w:line="240" w:lineRule="auto"/>
              <w:jc w:val="left"/>
              <w:rPr>
                <w:rFonts w:cs="Frankruhel"/>
                <w:sz w:val="24"/>
                <w:rtl/>
              </w:rPr>
            </w:pPr>
            <w:r>
              <w:rPr>
                <w:rFonts w:cs="Times New Roman"/>
                <w:sz w:val="24"/>
                <w:rtl/>
              </w:rPr>
              <w:t xml:space="preserve">סעיף 2 </w:t>
            </w:r>
          </w:p>
        </w:tc>
        <w:tc>
          <w:tcPr>
            <w:tcW w:w="5669" w:type="dxa"/>
          </w:tcPr>
          <w:p w14:paraId="7A8292EE" w14:textId="77777777" w:rsidR="007C78A3" w:rsidRPr="007C78A3" w:rsidRDefault="007C78A3" w:rsidP="007C78A3">
            <w:pPr>
              <w:spacing w:line="240" w:lineRule="auto"/>
              <w:jc w:val="left"/>
              <w:rPr>
                <w:rFonts w:cs="Frankruhel"/>
                <w:sz w:val="24"/>
                <w:rtl/>
              </w:rPr>
            </w:pPr>
            <w:r>
              <w:rPr>
                <w:rFonts w:cs="Times New Roman"/>
                <w:sz w:val="24"/>
                <w:rtl/>
              </w:rPr>
              <w:t>פטור מחובת התקנת מנגנון פיקוד שבת</w:t>
            </w:r>
          </w:p>
        </w:tc>
        <w:tc>
          <w:tcPr>
            <w:tcW w:w="567" w:type="dxa"/>
          </w:tcPr>
          <w:p w14:paraId="7E4BA9F2" w14:textId="77777777" w:rsidR="007C78A3" w:rsidRPr="007C78A3" w:rsidRDefault="007C78A3" w:rsidP="007C78A3">
            <w:pPr>
              <w:spacing w:line="240" w:lineRule="auto"/>
              <w:jc w:val="left"/>
              <w:rPr>
                <w:rStyle w:val="Hyperlink"/>
                <w:rtl/>
              </w:rPr>
            </w:pPr>
            <w:hyperlink w:anchor="Seif2" w:tooltip="פטור מחובת התקנת מנגנון פיקוד שבת" w:history="1">
              <w:r w:rsidRPr="007C78A3">
                <w:rPr>
                  <w:rStyle w:val="Hyperlink"/>
                </w:rPr>
                <w:t>Go</w:t>
              </w:r>
            </w:hyperlink>
          </w:p>
        </w:tc>
        <w:tc>
          <w:tcPr>
            <w:tcW w:w="850" w:type="dxa"/>
          </w:tcPr>
          <w:p w14:paraId="37C3A1ED" w14:textId="77777777" w:rsidR="007C78A3" w:rsidRPr="007C78A3" w:rsidRDefault="007C78A3" w:rsidP="007C78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78A3" w:rsidRPr="007C78A3" w14:paraId="6AD18A24" w14:textId="77777777" w:rsidTr="007C78A3">
        <w:tblPrEx>
          <w:tblCellMar>
            <w:top w:w="0" w:type="dxa"/>
            <w:bottom w:w="0" w:type="dxa"/>
          </w:tblCellMar>
        </w:tblPrEx>
        <w:tc>
          <w:tcPr>
            <w:tcW w:w="1247" w:type="dxa"/>
          </w:tcPr>
          <w:p w14:paraId="7B4CA5CB" w14:textId="77777777" w:rsidR="007C78A3" w:rsidRPr="007C78A3" w:rsidRDefault="007C78A3" w:rsidP="007C78A3">
            <w:pPr>
              <w:spacing w:line="240" w:lineRule="auto"/>
              <w:jc w:val="left"/>
              <w:rPr>
                <w:rFonts w:cs="Frankruhel"/>
                <w:sz w:val="24"/>
                <w:rtl/>
              </w:rPr>
            </w:pPr>
            <w:r>
              <w:rPr>
                <w:rFonts w:cs="Times New Roman"/>
                <w:sz w:val="24"/>
                <w:rtl/>
              </w:rPr>
              <w:t xml:space="preserve">סעיף 3 </w:t>
            </w:r>
          </w:p>
        </w:tc>
        <w:tc>
          <w:tcPr>
            <w:tcW w:w="5669" w:type="dxa"/>
          </w:tcPr>
          <w:p w14:paraId="46814F9C" w14:textId="77777777" w:rsidR="007C78A3" w:rsidRPr="007C78A3" w:rsidRDefault="007C78A3" w:rsidP="007C78A3">
            <w:pPr>
              <w:spacing w:line="240" w:lineRule="auto"/>
              <w:jc w:val="left"/>
              <w:rPr>
                <w:rFonts w:cs="Frankruhel"/>
                <w:sz w:val="24"/>
                <w:rtl/>
              </w:rPr>
            </w:pPr>
            <w:r>
              <w:rPr>
                <w:rFonts w:cs="Times New Roman"/>
                <w:sz w:val="24"/>
                <w:rtl/>
              </w:rPr>
              <w:t>תחילה ותחולה</w:t>
            </w:r>
          </w:p>
        </w:tc>
        <w:tc>
          <w:tcPr>
            <w:tcW w:w="567" w:type="dxa"/>
          </w:tcPr>
          <w:p w14:paraId="69D7FF0B" w14:textId="77777777" w:rsidR="007C78A3" w:rsidRPr="007C78A3" w:rsidRDefault="007C78A3" w:rsidP="007C78A3">
            <w:pPr>
              <w:spacing w:line="240" w:lineRule="auto"/>
              <w:jc w:val="left"/>
              <w:rPr>
                <w:rStyle w:val="Hyperlink"/>
                <w:rtl/>
              </w:rPr>
            </w:pPr>
            <w:hyperlink w:anchor="Seif3" w:tooltip="תחילה ותחולה" w:history="1">
              <w:r w:rsidRPr="007C78A3">
                <w:rPr>
                  <w:rStyle w:val="Hyperlink"/>
                </w:rPr>
                <w:t>Go</w:t>
              </w:r>
            </w:hyperlink>
          </w:p>
        </w:tc>
        <w:tc>
          <w:tcPr>
            <w:tcW w:w="850" w:type="dxa"/>
          </w:tcPr>
          <w:p w14:paraId="1E602E00" w14:textId="77777777" w:rsidR="007C78A3" w:rsidRPr="007C78A3" w:rsidRDefault="007C78A3" w:rsidP="007C78A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3AD869C" w14:textId="77777777" w:rsidR="008E2099" w:rsidRDefault="008E2099">
      <w:pPr>
        <w:pStyle w:val="big-header"/>
        <w:ind w:left="0" w:right="1134"/>
        <w:rPr>
          <w:rtl/>
        </w:rPr>
      </w:pPr>
    </w:p>
    <w:p w14:paraId="3311C825" w14:textId="77777777" w:rsidR="008E2099" w:rsidRDefault="008E2099" w:rsidP="0081357F">
      <w:pPr>
        <w:pStyle w:val="big-header"/>
        <w:ind w:left="0" w:right="1134"/>
        <w:rPr>
          <w:rStyle w:val="default"/>
          <w:rFonts w:cs="FrankRuehl" w:hint="cs"/>
          <w:rtl/>
        </w:rPr>
      </w:pPr>
      <w:r>
        <w:rPr>
          <w:rtl/>
        </w:rPr>
        <w:br w:type="page"/>
      </w:r>
      <w:r>
        <w:rPr>
          <w:rFonts w:hint="cs"/>
          <w:rtl/>
        </w:rPr>
        <w:lastRenderedPageBreak/>
        <w:t>תקנות התכנון והבניה (פטור מחובת התקנת מנגנון פיקוד שבת במעלית), תשס"ד-2004</w:t>
      </w:r>
      <w:r>
        <w:rPr>
          <w:rStyle w:val="default"/>
          <w:sz w:val="22"/>
          <w:szCs w:val="22"/>
          <w:rtl/>
        </w:rPr>
        <w:footnoteReference w:customMarkFollows="1" w:id="1"/>
        <w:t>*</w:t>
      </w:r>
    </w:p>
    <w:p w14:paraId="4C37F321" w14:textId="77777777" w:rsidR="008E2099" w:rsidRDefault="008E20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158א(א1)(1) ו-265 לחוק התכנון והבניה, התשכ"ה-1965 (להלן </w:t>
      </w:r>
      <w:r>
        <w:rPr>
          <w:rStyle w:val="default"/>
          <w:rFonts w:cs="FrankRuehl"/>
          <w:rtl/>
        </w:rPr>
        <w:t>–</w:t>
      </w:r>
      <w:r>
        <w:rPr>
          <w:rStyle w:val="default"/>
          <w:rFonts w:cs="FrankRuehl" w:hint="cs"/>
          <w:rtl/>
        </w:rPr>
        <w:t xml:space="preserve"> החוק), ובאישור ועדת הפנים ואיכות הסביבה של הכנסת, ולאחר התייעצות עם המועצה הארצית לתכנון ולבניה, אני מתקין תקנות אלה:</w:t>
      </w:r>
    </w:p>
    <w:p w14:paraId="197721F7" w14:textId="77777777" w:rsidR="008E2099" w:rsidRDefault="008E2099">
      <w:pPr>
        <w:pStyle w:val="P00"/>
        <w:spacing w:before="72"/>
        <w:ind w:left="0" w:right="1134"/>
        <w:rPr>
          <w:rStyle w:val="default"/>
          <w:rFonts w:cs="FrankRuehl" w:hint="cs"/>
          <w:rtl/>
        </w:rPr>
      </w:pPr>
      <w:bookmarkStart w:id="0" w:name="Seif1"/>
      <w:bookmarkEnd w:id="0"/>
      <w:r>
        <w:rPr>
          <w:lang w:val="he-IL"/>
        </w:rPr>
        <w:pict w14:anchorId="7C4B03C9">
          <v:rect id="_x0000_s1026" style="position:absolute;left:0;text-align:left;margin-left:464.5pt;margin-top:8.05pt;width:75.05pt;height:10pt;z-index:251656704" o:allowincell="f" filled="f" stroked="f" strokecolor="lime" strokeweight=".25pt">
            <v:textbox inset="0,0,0,0">
              <w:txbxContent>
                <w:p w14:paraId="47CFB9D2" w14:textId="77777777" w:rsidR="008E2099" w:rsidRDefault="008E209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 בתקנות אלה </w:t>
      </w:r>
      <w:r>
        <w:rPr>
          <w:rStyle w:val="default"/>
          <w:rFonts w:cs="FrankRuehl"/>
          <w:rtl/>
        </w:rPr>
        <w:t>–</w:t>
      </w:r>
    </w:p>
    <w:p w14:paraId="0A5EC691" w14:textId="77777777" w:rsidR="008E2099" w:rsidRDefault="008E2099">
      <w:pPr>
        <w:pStyle w:val="P00"/>
        <w:spacing w:before="72"/>
        <w:ind w:left="0" w:right="1134"/>
        <w:rPr>
          <w:rStyle w:val="default"/>
          <w:rFonts w:cs="FrankRuehl" w:hint="cs"/>
          <w:rtl/>
        </w:rPr>
      </w:pPr>
      <w:r>
        <w:rPr>
          <w:rStyle w:val="default"/>
          <w:rFonts w:cs="FrankRuehl" w:hint="cs"/>
          <w:rtl/>
        </w:rPr>
        <w:tab/>
        <w:t xml:space="preserve">"בית חולים", "בית לאסיפות" ו"בית לעצרות עם" </w:t>
      </w:r>
      <w:r>
        <w:rPr>
          <w:rStyle w:val="default"/>
          <w:rFonts w:cs="FrankRuehl"/>
          <w:rtl/>
        </w:rPr>
        <w:t>–</w:t>
      </w:r>
      <w:r>
        <w:rPr>
          <w:rStyle w:val="default"/>
          <w:rFonts w:cs="FrankRuehl" w:hint="cs"/>
          <w:rtl/>
        </w:rPr>
        <w:t xml:space="preserve"> כמשמעותם בחלק ח' שבתוספת השניה לתקנות התכנון והבניה (בקשה להיתר, תנאיו ואגרות), התש"ל-1970 (להלן </w:t>
      </w:r>
      <w:r>
        <w:rPr>
          <w:rStyle w:val="default"/>
          <w:rFonts w:cs="FrankRuehl"/>
          <w:rtl/>
        </w:rPr>
        <w:t>–</w:t>
      </w:r>
      <w:r>
        <w:rPr>
          <w:rStyle w:val="default"/>
          <w:rFonts w:cs="FrankRuehl" w:hint="cs"/>
          <w:rtl/>
        </w:rPr>
        <w:t xml:space="preserve"> תקנות בקשה להיתר);</w:t>
      </w:r>
    </w:p>
    <w:p w14:paraId="70F4673D" w14:textId="77777777" w:rsidR="008E2099" w:rsidRDefault="008E2099">
      <w:pPr>
        <w:pStyle w:val="P00"/>
        <w:spacing w:before="72"/>
        <w:ind w:left="0" w:right="1134"/>
        <w:rPr>
          <w:rStyle w:val="default"/>
          <w:rFonts w:cs="FrankRuehl" w:hint="cs"/>
          <w:rtl/>
        </w:rPr>
      </w:pPr>
      <w:r>
        <w:rPr>
          <w:rStyle w:val="default"/>
          <w:rFonts w:cs="FrankRuehl" w:hint="cs"/>
          <w:rtl/>
        </w:rPr>
        <w:tab/>
        <w:t xml:space="preserve">"בנין ציבורי" </w:t>
      </w:r>
      <w:r>
        <w:rPr>
          <w:rStyle w:val="default"/>
          <w:rFonts w:cs="FrankRuehl"/>
          <w:rtl/>
        </w:rPr>
        <w:t>–</w:t>
      </w:r>
      <w:r>
        <w:rPr>
          <w:rStyle w:val="default"/>
          <w:rFonts w:cs="FrankRuehl" w:hint="cs"/>
          <w:rtl/>
        </w:rPr>
        <w:t xml:space="preserve"> כהגדרתו בסעיף 158ב לחוק;</w:t>
      </w:r>
    </w:p>
    <w:p w14:paraId="6B2982B3" w14:textId="77777777" w:rsidR="008E2099" w:rsidRDefault="008E2099">
      <w:pPr>
        <w:pStyle w:val="P00"/>
        <w:spacing w:before="72"/>
        <w:ind w:left="0" w:right="1134"/>
        <w:rPr>
          <w:rStyle w:val="default"/>
          <w:rFonts w:cs="FrankRuehl" w:hint="cs"/>
          <w:rtl/>
        </w:rPr>
      </w:pPr>
      <w:r>
        <w:rPr>
          <w:rStyle w:val="default"/>
          <w:rFonts w:cs="FrankRuehl" w:hint="cs"/>
          <w:rtl/>
        </w:rPr>
        <w:tab/>
        <w:t xml:space="preserve">"בקשה להיתר" </w:t>
      </w:r>
      <w:r>
        <w:rPr>
          <w:rStyle w:val="default"/>
          <w:rFonts w:cs="FrankRuehl"/>
          <w:rtl/>
        </w:rPr>
        <w:t>–</w:t>
      </w:r>
      <w:r>
        <w:rPr>
          <w:rStyle w:val="default"/>
          <w:rFonts w:cs="FrankRuehl" w:hint="cs"/>
          <w:rtl/>
        </w:rPr>
        <w:t xml:space="preserve"> בקשה לקבלת היתר לפי פרק ה' לחוק;</w:t>
      </w:r>
    </w:p>
    <w:p w14:paraId="3287EA77" w14:textId="77777777" w:rsidR="008E2099" w:rsidRDefault="008E2099">
      <w:pPr>
        <w:pStyle w:val="P00"/>
        <w:spacing w:before="72"/>
        <w:ind w:left="0" w:right="1134"/>
        <w:rPr>
          <w:rStyle w:val="default"/>
          <w:rFonts w:cs="FrankRuehl" w:hint="cs"/>
          <w:rtl/>
        </w:rPr>
      </w:pPr>
      <w:r>
        <w:rPr>
          <w:rStyle w:val="default"/>
          <w:rFonts w:cs="FrankRuehl" w:hint="cs"/>
          <w:rtl/>
        </w:rPr>
        <w:tab/>
        <w:t xml:space="preserve">"ועדה" </w:t>
      </w:r>
      <w:r>
        <w:rPr>
          <w:rStyle w:val="default"/>
          <w:rFonts w:cs="FrankRuehl"/>
          <w:rtl/>
        </w:rPr>
        <w:t>–</w:t>
      </w:r>
      <w:r>
        <w:rPr>
          <w:rStyle w:val="default"/>
          <w:rFonts w:cs="FrankRuehl" w:hint="cs"/>
          <w:rtl/>
        </w:rPr>
        <w:t xml:space="preserve"> "ועדה מקומית" כהגדרתה בתקנות בקשה להיתר;</w:t>
      </w:r>
    </w:p>
    <w:p w14:paraId="233A9E31" w14:textId="77777777" w:rsidR="008E2099" w:rsidRDefault="008E2099">
      <w:pPr>
        <w:pStyle w:val="P00"/>
        <w:spacing w:before="72"/>
        <w:ind w:left="0" w:right="1134"/>
        <w:rPr>
          <w:rStyle w:val="default"/>
          <w:rFonts w:cs="FrankRuehl"/>
          <w:rtl/>
        </w:rPr>
      </w:pPr>
      <w:r>
        <w:rPr>
          <w:rStyle w:val="default"/>
          <w:rFonts w:cs="FrankRuehl" w:hint="cs"/>
          <w:rtl/>
        </w:rPr>
        <w:tab/>
        <w:t xml:space="preserve">"מנגנון פיקוד שבת" </w:t>
      </w:r>
      <w:r>
        <w:rPr>
          <w:rStyle w:val="default"/>
          <w:rFonts w:cs="FrankRuehl"/>
          <w:rtl/>
        </w:rPr>
        <w:t>–</w:t>
      </w:r>
      <w:r>
        <w:rPr>
          <w:rStyle w:val="default"/>
          <w:rFonts w:cs="FrankRuehl" w:hint="cs"/>
          <w:rtl/>
        </w:rPr>
        <w:t xml:space="preserve"> כהגדרתו בסעיף 158א(א1)(3) לחוק.</w:t>
      </w:r>
    </w:p>
    <w:p w14:paraId="1AD371CE" w14:textId="77777777" w:rsidR="008E2099" w:rsidRDefault="008E2099">
      <w:pPr>
        <w:pStyle w:val="P00"/>
        <w:spacing w:before="72"/>
        <w:ind w:left="0" w:right="1134"/>
        <w:rPr>
          <w:rStyle w:val="default"/>
          <w:rFonts w:cs="FrankRuehl" w:hint="cs"/>
          <w:rtl/>
        </w:rPr>
      </w:pPr>
      <w:bookmarkStart w:id="1" w:name="Seif2"/>
      <w:bookmarkEnd w:id="1"/>
      <w:r>
        <w:rPr>
          <w:lang w:val="he-IL"/>
        </w:rPr>
        <w:pict w14:anchorId="64DD280F">
          <v:rect id="_x0000_s1036" style="position:absolute;left:0;text-align:left;margin-left:464.5pt;margin-top:8.05pt;width:75.05pt;height:15.5pt;z-index:251657728" o:allowincell="f" filled="f" stroked="f" strokecolor="lime" strokeweight=".25pt">
            <v:textbox inset="0,0,0,0">
              <w:txbxContent>
                <w:p w14:paraId="27116D54" w14:textId="77777777" w:rsidR="008E2099" w:rsidRDefault="008E2099">
                  <w:pPr>
                    <w:spacing w:line="160" w:lineRule="exact"/>
                    <w:jc w:val="left"/>
                    <w:rPr>
                      <w:rFonts w:cs="Miriam" w:hint="cs"/>
                      <w:noProof/>
                      <w:szCs w:val="18"/>
                      <w:rtl/>
                    </w:rPr>
                  </w:pPr>
                  <w:r>
                    <w:rPr>
                      <w:rFonts w:cs="Miriam" w:hint="cs"/>
                      <w:szCs w:val="18"/>
                      <w:rtl/>
                    </w:rPr>
                    <w:t>פטור מחובת התקנת מנגנון פיקוד שבת</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 אלה סוגי הבנינים והמקומות הפטורים מחובת התקנת מנגנון פיקוד שבת במעלית לפי הוראות סעיף 158א(א1)(1) לחוק:</w:t>
      </w:r>
    </w:p>
    <w:p w14:paraId="3CC1A18F" w14:textId="77777777" w:rsidR="008E2099" w:rsidRDefault="008E20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בנין מגורים, בית לאסיפות ובית לעצרות עם, שמצויים ברשות מקומית, ברובע או בשכונה ששיעור היהודים המתגוררים בהם דרך קבע, לפי נתוני הלשכה המרכזית לסטטיסטיקה, אינו עולה על עשרה אחוזים מכלל התושבים;</w:t>
      </w:r>
    </w:p>
    <w:p w14:paraId="6B5FCDDA" w14:textId="77777777" w:rsidR="008E2099" w:rsidRDefault="008E20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בנין ציבורי למעט הבנינים המפורטים להלן:</w:t>
      </w:r>
    </w:p>
    <w:p w14:paraId="55691B68" w14:textId="77777777" w:rsidR="008E2099" w:rsidRDefault="008E209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בית אבות, אלא אם כן בית האבות מיועד לאוכלוסיה שאינה יהודית;</w:t>
      </w:r>
    </w:p>
    <w:p w14:paraId="3C4D3E52" w14:textId="77777777" w:rsidR="008E2099" w:rsidRDefault="008E209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בית חולים;</w:t>
      </w:r>
    </w:p>
    <w:p w14:paraId="7A5CABF3" w14:textId="77777777" w:rsidR="008E2099" w:rsidRDefault="008E209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בית כנסת;</w:t>
      </w:r>
    </w:p>
    <w:p w14:paraId="503D7326" w14:textId="77777777" w:rsidR="008E2099" w:rsidRDefault="008E209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בית מלון, פנסיון, בית מרגוע, בית אירוח וכל מקום כיוצא באלה שבו מספקים לינה בתמורה והמכיל 20 מיטות לפחות;</w:t>
      </w:r>
    </w:p>
    <w:p w14:paraId="60776BF8" w14:textId="77777777" w:rsidR="008E2099" w:rsidRDefault="008E2099">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בית ספר;</w:t>
      </w:r>
    </w:p>
    <w:p w14:paraId="6075E9E6" w14:textId="77777777" w:rsidR="008E2099" w:rsidRDefault="008E2099">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בית לאסיפות ובית לעצרות עם המיועד לפעילות תרבות, נוער, ספורט או מדע;</w:t>
      </w:r>
    </w:p>
    <w:p w14:paraId="269B1078" w14:textId="77777777" w:rsidR="008E2099" w:rsidRDefault="008E2099">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בנין ציבורי אחר שלדעת הועדה יהיה פתוח בשבת או בחג;</w:t>
      </w:r>
    </w:p>
    <w:p w14:paraId="25D3A55C" w14:textId="77777777" w:rsidR="008E2099" w:rsidRDefault="008E209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בנין מגורים שרק מעלית אחת שבו מגיעה לכל קומה מקומות הבנין; "קומה", לענין זה </w:t>
      </w:r>
      <w:r>
        <w:rPr>
          <w:rStyle w:val="default"/>
          <w:rFonts w:cs="FrankRuehl"/>
          <w:rtl/>
        </w:rPr>
        <w:t>–</w:t>
      </w:r>
      <w:r>
        <w:rPr>
          <w:rStyle w:val="default"/>
          <w:rFonts w:cs="FrankRuehl" w:hint="cs"/>
          <w:rtl/>
        </w:rPr>
        <w:t xml:space="preserve"> למעט קומה המשמשת לחניה או למרתף.</w:t>
      </w:r>
    </w:p>
    <w:p w14:paraId="437B8520" w14:textId="77777777" w:rsidR="008E2099" w:rsidRDefault="008E2099">
      <w:pPr>
        <w:pStyle w:val="P00"/>
        <w:spacing w:before="72"/>
        <w:ind w:left="0" w:right="1134"/>
        <w:rPr>
          <w:rStyle w:val="default"/>
          <w:rFonts w:cs="FrankRuehl" w:hint="cs"/>
          <w:rtl/>
        </w:rPr>
      </w:pPr>
      <w:bookmarkStart w:id="2" w:name="Seif3"/>
      <w:bookmarkEnd w:id="2"/>
      <w:r>
        <w:rPr>
          <w:lang w:val="he-IL"/>
        </w:rPr>
        <w:pict w14:anchorId="1356B2F9">
          <v:rect id="_x0000_s1037" style="position:absolute;left:0;text-align:left;margin-left:464.5pt;margin-top:8.05pt;width:75.05pt;height:10pt;z-index:251658752" o:allowincell="f" filled="f" stroked="f" strokecolor="lime" strokeweight=".25pt">
            <v:textbox inset="0,0,0,0">
              <w:txbxContent>
                <w:p w14:paraId="7EA4223B" w14:textId="77777777" w:rsidR="008E2099" w:rsidRDefault="008E2099">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 xml:space="preserve"> (א)</w:t>
      </w:r>
      <w:r>
        <w:rPr>
          <w:rStyle w:val="default"/>
          <w:rFonts w:cs="FrankRuehl" w:hint="cs"/>
          <w:rtl/>
        </w:rPr>
        <w:tab/>
        <w:t xml:space="preserve">תחילתן של תקנות אלה ביום תחילת חוק התקנת מעליות שבת בבנינים ציבוריים ובבניני מגורים (הוראות ותיקוני חקיקה), התשס"א-2001 (להלן </w:t>
      </w:r>
      <w:r>
        <w:rPr>
          <w:rStyle w:val="default"/>
          <w:rFonts w:cs="FrankRuehl"/>
          <w:rtl/>
        </w:rPr>
        <w:t>–</w:t>
      </w:r>
      <w:r>
        <w:rPr>
          <w:rStyle w:val="default"/>
          <w:rFonts w:cs="FrankRuehl" w:hint="cs"/>
          <w:rtl/>
        </w:rPr>
        <w:t xml:space="preserve"> יום התחילה).</w:t>
      </w:r>
    </w:p>
    <w:p w14:paraId="74AEFA22" w14:textId="77777777" w:rsidR="008E2099" w:rsidRDefault="008E20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אלה יחולו לגבי סוגי הבנינים כאמור בתקנה 2 שבקשה להיתר לגביהם הוגשה לועדה לאחר יום התחילה.</w:t>
      </w:r>
    </w:p>
    <w:p w14:paraId="77BEDE90" w14:textId="77777777" w:rsidR="008E2099" w:rsidRDefault="008E2099">
      <w:pPr>
        <w:pStyle w:val="P00"/>
        <w:spacing w:before="72"/>
        <w:ind w:left="0" w:right="1134"/>
        <w:rPr>
          <w:rStyle w:val="default"/>
          <w:rFonts w:cs="FrankRuehl"/>
          <w:rtl/>
        </w:rPr>
      </w:pPr>
    </w:p>
    <w:p w14:paraId="706D3006" w14:textId="77777777" w:rsidR="008E2099" w:rsidRDefault="008E2099">
      <w:pPr>
        <w:pStyle w:val="sig-0"/>
        <w:ind w:left="0" w:right="1134"/>
        <w:rPr>
          <w:rtl/>
        </w:rPr>
      </w:pPr>
      <w:r>
        <w:rPr>
          <w:rFonts w:hint="cs"/>
          <w:rtl/>
        </w:rPr>
        <w:t>ד' בסיון התשס"ד (24 במאי 2004)</w:t>
      </w:r>
      <w:r>
        <w:rPr>
          <w:rtl/>
        </w:rPr>
        <w:tab/>
      </w:r>
      <w:r>
        <w:rPr>
          <w:rFonts w:hint="cs"/>
          <w:rtl/>
        </w:rPr>
        <w:t>אברהם פורז</w:t>
      </w:r>
    </w:p>
    <w:p w14:paraId="27D83DCF" w14:textId="77777777" w:rsidR="008E2099" w:rsidRDefault="008E2099">
      <w:pPr>
        <w:pStyle w:val="sig-1"/>
        <w:widowControl/>
        <w:ind w:left="0" w:right="1134"/>
        <w:rPr>
          <w:rtl/>
        </w:rPr>
      </w:pPr>
      <w:r>
        <w:rPr>
          <w:rtl/>
        </w:rPr>
        <w:tab/>
      </w:r>
      <w:r>
        <w:rPr>
          <w:rtl/>
        </w:rPr>
        <w:tab/>
      </w:r>
      <w:r>
        <w:rPr>
          <w:rtl/>
        </w:rPr>
        <w:tab/>
      </w:r>
      <w:r>
        <w:rPr>
          <w:rFonts w:hint="cs"/>
          <w:rtl/>
        </w:rPr>
        <w:t>שר הפנים</w:t>
      </w:r>
    </w:p>
    <w:p w14:paraId="2DC7E9C5" w14:textId="77777777" w:rsidR="007C78A3" w:rsidRDefault="007C78A3">
      <w:pPr>
        <w:pStyle w:val="sig-1"/>
        <w:widowControl/>
        <w:ind w:left="0" w:right="1134"/>
        <w:rPr>
          <w:rtl/>
        </w:rPr>
      </w:pPr>
    </w:p>
    <w:p w14:paraId="695FED8D" w14:textId="77777777" w:rsidR="007C78A3" w:rsidRDefault="007C78A3">
      <w:pPr>
        <w:pStyle w:val="sig-1"/>
        <w:widowControl/>
        <w:ind w:left="0" w:right="1134"/>
        <w:rPr>
          <w:rtl/>
        </w:rPr>
      </w:pPr>
    </w:p>
    <w:p w14:paraId="202922E6" w14:textId="77777777" w:rsidR="007C78A3" w:rsidRDefault="007C78A3" w:rsidP="007C78A3">
      <w:pPr>
        <w:pStyle w:val="sig-1"/>
        <w:widowControl/>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52CA1E0" w14:textId="77777777" w:rsidR="008E2099" w:rsidRPr="007C78A3" w:rsidRDefault="008E2099" w:rsidP="007C78A3">
      <w:pPr>
        <w:pStyle w:val="sig-1"/>
        <w:widowControl/>
        <w:ind w:left="0" w:right="1134"/>
        <w:jc w:val="center"/>
        <w:rPr>
          <w:rFonts w:cs="David"/>
          <w:color w:val="0000FF"/>
          <w:szCs w:val="24"/>
          <w:u w:val="single"/>
          <w:rtl/>
        </w:rPr>
      </w:pPr>
    </w:p>
    <w:sectPr w:rsidR="008E2099" w:rsidRPr="007C78A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339B" w14:textId="77777777" w:rsidR="008E2099" w:rsidRDefault="008E2099">
      <w:r>
        <w:separator/>
      </w:r>
    </w:p>
  </w:endnote>
  <w:endnote w:type="continuationSeparator" w:id="0">
    <w:p w14:paraId="5680CF42" w14:textId="77777777" w:rsidR="008E2099" w:rsidRDefault="008E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E6BA" w14:textId="77777777" w:rsidR="008E2099" w:rsidRDefault="008E20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38490E" w14:textId="77777777" w:rsidR="008E2099" w:rsidRDefault="008E20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5795F9" w14:textId="77777777" w:rsidR="008E2099" w:rsidRDefault="008E20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8D1D" w14:textId="77777777" w:rsidR="008E2099" w:rsidRDefault="008E20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78A3">
      <w:rPr>
        <w:rFonts w:hAnsi="FrankRuehl" w:cs="FrankRuehl"/>
        <w:noProof/>
        <w:sz w:val="24"/>
        <w:szCs w:val="24"/>
        <w:rtl/>
      </w:rPr>
      <w:t>2</w:t>
    </w:r>
    <w:r>
      <w:rPr>
        <w:rFonts w:hAnsi="FrankRuehl" w:cs="FrankRuehl"/>
        <w:sz w:val="24"/>
        <w:szCs w:val="24"/>
        <w:rtl/>
      </w:rPr>
      <w:fldChar w:fldCharType="end"/>
    </w:r>
  </w:p>
  <w:p w14:paraId="76745C89" w14:textId="77777777" w:rsidR="008E2099" w:rsidRDefault="008E20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0EED27" w14:textId="77777777" w:rsidR="008E2099" w:rsidRDefault="008E20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C70A" w14:textId="77777777" w:rsidR="008E2099" w:rsidRDefault="008E2099">
      <w:pPr>
        <w:spacing w:before="60" w:line="240" w:lineRule="auto"/>
        <w:ind w:right="1134"/>
      </w:pPr>
      <w:r>
        <w:separator/>
      </w:r>
    </w:p>
  </w:footnote>
  <w:footnote w:type="continuationSeparator" w:id="0">
    <w:p w14:paraId="573821E6" w14:textId="77777777" w:rsidR="008E2099" w:rsidRDefault="008E2099">
      <w:r>
        <w:continuationSeparator/>
      </w:r>
    </w:p>
  </w:footnote>
  <w:footnote w:id="1">
    <w:p w14:paraId="282D052A" w14:textId="77777777" w:rsidR="008E2099" w:rsidRDefault="008E20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תשס"ד מס' 6321</w:t>
        </w:r>
      </w:hyperlink>
      <w:r>
        <w:rPr>
          <w:rFonts w:hint="cs"/>
          <w:sz w:val="20"/>
          <w:rtl/>
        </w:rPr>
        <w:t xml:space="preserve"> מיום 10.6.2004 עמ' 658.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B40B" w14:textId="77777777" w:rsidR="008E2099" w:rsidRDefault="008E20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(תשלומים בעד שירותי בזק שאינם מפורטים בתוספת לחוק), תשס"ב- 2002</w:t>
    </w:r>
  </w:p>
  <w:p w14:paraId="231ADB4C" w14:textId="77777777" w:rsidR="008E2099" w:rsidRDefault="008E20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5BA928" w14:textId="77777777" w:rsidR="008E2099" w:rsidRDefault="008E20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27AA" w14:textId="77777777" w:rsidR="008E2099" w:rsidRDefault="008E209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(פטור מחובת התקנת מנגנון פיקוד שבת במעלית)</w:t>
    </w:r>
    <w:r>
      <w:rPr>
        <w:rFonts w:hAnsi="FrankRuehl" w:cs="FrankRuehl"/>
        <w:color w:val="000000"/>
        <w:sz w:val="28"/>
        <w:szCs w:val="28"/>
        <w:rtl/>
      </w:rPr>
      <w:t>, תשס"</w:t>
    </w:r>
    <w:r>
      <w:rPr>
        <w:rFonts w:hAnsi="FrankRuehl" w:cs="FrankRuehl" w:hint="cs"/>
        <w:color w:val="000000"/>
        <w:sz w:val="28"/>
        <w:szCs w:val="28"/>
        <w:rtl/>
      </w:rPr>
      <w:t>ד</w:t>
    </w:r>
    <w:r>
      <w:rPr>
        <w:rFonts w:hAnsi="FrankRuehl" w:cs="FrankRuehl"/>
        <w:color w:val="000000"/>
        <w:sz w:val="28"/>
        <w:szCs w:val="28"/>
        <w:rtl/>
      </w:rPr>
      <w:t>-200</w:t>
    </w:r>
    <w:r>
      <w:rPr>
        <w:rFonts w:hAnsi="FrankRuehl" w:cs="FrankRuehl" w:hint="cs"/>
        <w:color w:val="000000"/>
        <w:sz w:val="28"/>
        <w:szCs w:val="28"/>
        <w:rtl/>
      </w:rPr>
      <w:t>4</w:t>
    </w:r>
  </w:p>
  <w:p w14:paraId="1D138259" w14:textId="77777777" w:rsidR="008E2099" w:rsidRDefault="008E20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7C3ECA" w14:textId="77777777" w:rsidR="008E2099" w:rsidRDefault="008E20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357F"/>
    <w:rsid w:val="004A6F5A"/>
    <w:rsid w:val="007C78A3"/>
    <w:rsid w:val="0081357F"/>
    <w:rsid w:val="008E20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5692D954"/>
  <w15:chartTrackingRefBased/>
  <w15:docId w15:val="{269ECCD9-3CA7-4577-95C9-D8888F07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2335</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8192010</vt:i4>
      </vt:variant>
      <vt:variant>
        <vt:i4>0</vt:i4>
      </vt:variant>
      <vt:variant>
        <vt:i4>0</vt:i4>
      </vt:variant>
      <vt:variant>
        <vt:i4>5</vt:i4>
      </vt:variant>
      <vt:variant>
        <vt:lpwstr>http://www.nevo.co.il/Law_word/law06/TAK-6321.pdf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תכנון ובניה</vt:lpwstr>
  </property>
  <property fmtid="{D5CDD505-2E9C-101B-9397-08002B2CF9AE}" pid="4" name="LAWNAME">
    <vt:lpwstr>תקנות התכנון והבניה (פטור מחובת התקנת מנגנון פיקוד שבת במעלית), תשס"ד-2004</vt:lpwstr>
  </property>
  <property fmtid="{D5CDD505-2E9C-101B-9397-08002B2CF9AE}" pid="5" name="LAWNUMBER">
    <vt:lpwstr>0305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