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5B00" w14:textId="77777777" w:rsidR="001153D7" w:rsidRDefault="00C37DAB" w:rsidP="00C34B9D">
      <w:pPr>
        <w:pStyle w:val="big-header"/>
        <w:ind w:left="0" w:right="1134"/>
        <w:rPr>
          <w:rFonts w:hint="cs"/>
          <w:rtl/>
        </w:rPr>
      </w:pPr>
      <w:r>
        <w:rPr>
          <w:rFonts w:hint="cs"/>
          <w:rtl/>
        </w:rPr>
        <w:t>תקנות התכנון והבניה (שכרו של שמאי מכריע ושמאי מייעץ</w:t>
      </w:r>
      <w:r w:rsidR="003A4684">
        <w:rPr>
          <w:rFonts w:hint="cs"/>
          <w:rtl/>
        </w:rPr>
        <w:t>)</w:t>
      </w:r>
      <w:r w:rsidR="001153D7">
        <w:rPr>
          <w:rFonts w:hint="cs"/>
          <w:rtl/>
        </w:rPr>
        <w:t>, תשס"</w:t>
      </w:r>
      <w:r w:rsidR="006E0BEF">
        <w:rPr>
          <w:rFonts w:hint="cs"/>
          <w:rtl/>
        </w:rPr>
        <w:t>ט-2009</w:t>
      </w:r>
    </w:p>
    <w:p w14:paraId="237FC95F" w14:textId="77777777" w:rsidR="004C06CD" w:rsidRDefault="004C06CD" w:rsidP="004C06CD">
      <w:pPr>
        <w:spacing w:line="320" w:lineRule="auto"/>
        <w:jc w:val="left"/>
        <w:rPr>
          <w:rFonts w:cs="FrankRuehl" w:hint="cs"/>
          <w:szCs w:val="26"/>
          <w:rtl/>
        </w:rPr>
      </w:pPr>
    </w:p>
    <w:p w14:paraId="785D0817" w14:textId="77777777" w:rsidR="00915458" w:rsidRPr="004C06CD" w:rsidRDefault="00915458" w:rsidP="004C06CD">
      <w:pPr>
        <w:spacing w:line="320" w:lineRule="auto"/>
        <w:jc w:val="left"/>
        <w:rPr>
          <w:rFonts w:cs="FrankRuehl" w:hint="cs"/>
          <w:szCs w:val="26"/>
          <w:rtl/>
        </w:rPr>
      </w:pPr>
    </w:p>
    <w:p w14:paraId="240C5E9B" w14:textId="77777777" w:rsidR="00E27F12" w:rsidRDefault="00E27F12" w:rsidP="00E27F12">
      <w:pPr>
        <w:spacing w:line="320" w:lineRule="auto"/>
        <w:jc w:val="left"/>
        <w:rPr>
          <w:rFonts w:cs="FrankRuehl"/>
          <w:szCs w:val="26"/>
          <w:rtl/>
        </w:rPr>
      </w:pPr>
      <w:r w:rsidRPr="00E27F12">
        <w:rPr>
          <w:rFonts w:cs="Miriam"/>
          <w:szCs w:val="22"/>
          <w:rtl/>
        </w:rPr>
        <w:t>משפט פרטי וכלכלה</w:t>
      </w:r>
      <w:r w:rsidRPr="00E27F12">
        <w:rPr>
          <w:rFonts w:cs="FrankRuehl"/>
          <w:szCs w:val="26"/>
          <w:rtl/>
        </w:rPr>
        <w:t xml:space="preserve"> – הסדרת עיסוק – שמאי מקרקעין</w:t>
      </w:r>
    </w:p>
    <w:p w14:paraId="09962AB7" w14:textId="77777777" w:rsidR="00E27F12" w:rsidRDefault="00E27F12" w:rsidP="00E27F12">
      <w:pPr>
        <w:spacing w:line="320" w:lineRule="auto"/>
        <w:jc w:val="left"/>
        <w:rPr>
          <w:rFonts w:cs="FrankRuehl"/>
          <w:szCs w:val="26"/>
          <w:rtl/>
        </w:rPr>
      </w:pPr>
      <w:r w:rsidRPr="00E27F12">
        <w:rPr>
          <w:rFonts w:cs="Miriam"/>
          <w:szCs w:val="22"/>
          <w:rtl/>
        </w:rPr>
        <w:t>רשויות ומשפט מנהלי</w:t>
      </w:r>
      <w:r w:rsidRPr="00E27F12">
        <w:rPr>
          <w:rFonts w:cs="FrankRuehl"/>
          <w:szCs w:val="26"/>
          <w:rtl/>
        </w:rPr>
        <w:t xml:space="preserve"> – הסדרת עיסוק – שמאי מקרקעין</w:t>
      </w:r>
    </w:p>
    <w:p w14:paraId="60F1701E" w14:textId="77777777" w:rsidR="00E27F12" w:rsidRDefault="00E27F12" w:rsidP="00E27F12">
      <w:pPr>
        <w:spacing w:line="320" w:lineRule="auto"/>
        <w:jc w:val="left"/>
        <w:rPr>
          <w:rFonts w:cs="FrankRuehl"/>
          <w:szCs w:val="26"/>
          <w:rtl/>
        </w:rPr>
      </w:pPr>
      <w:r w:rsidRPr="00E27F12">
        <w:rPr>
          <w:rFonts w:cs="Miriam"/>
          <w:szCs w:val="22"/>
          <w:rtl/>
        </w:rPr>
        <w:t>רשויות ומשפט מנהלי</w:t>
      </w:r>
      <w:r w:rsidRPr="00E27F12">
        <w:rPr>
          <w:rFonts w:cs="FrankRuehl"/>
          <w:szCs w:val="26"/>
          <w:rtl/>
        </w:rPr>
        <w:t xml:space="preserve"> – תכנון ובניה – שמאי</w:t>
      </w:r>
    </w:p>
    <w:p w14:paraId="29670D3C" w14:textId="77777777" w:rsidR="00ED41FC" w:rsidRPr="00E27F12" w:rsidRDefault="00E27F12" w:rsidP="00E27F12">
      <w:pPr>
        <w:spacing w:line="320" w:lineRule="auto"/>
        <w:jc w:val="left"/>
        <w:rPr>
          <w:rFonts w:cs="Miriam"/>
          <w:szCs w:val="22"/>
          <w:rtl/>
        </w:rPr>
      </w:pPr>
      <w:r w:rsidRPr="00E27F12">
        <w:rPr>
          <w:rFonts w:cs="Miriam"/>
          <w:szCs w:val="22"/>
          <w:rtl/>
        </w:rPr>
        <w:t>משפט פרטי וכלכלה</w:t>
      </w:r>
      <w:r w:rsidRPr="00E27F12">
        <w:rPr>
          <w:rFonts w:cs="FrankRuehl"/>
          <w:szCs w:val="26"/>
          <w:rtl/>
        </w:rPr>
        <w:t xml:space="preserve"> – קניין – מקרקעין – שמאי מקרקעין</w:t>
      </w:r>
    </w:p>
    <w:p w14:paraId="71738492"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6586" w:rsidRPr="00B66586" w14:paraId="5EA015EF" w14:textId="77777777">
        <w:tblPrEx>
          <w:tblCellMar>
            <w:top w:w="0" w:type="dxa"/>
            <w:bottom w:w="0" w:type="dxa"/>
          </w:tblCellMar>
        </w:tblPrEx>
        <w:tc>
          <w:tcPr>
            <w:tcW w:w="1247" w:type="dxa"/>
          </w:tcPr>
          <w:p w14:paraId="77B1C3B5"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1 </w:t>
            </w:r>
          </w:p>
        </w:tc>
        <w:tc>
          <w:tcPr>
            <w:tcW w:w="5669" w:type="dxa"/>
          </w:tcPr>
          <w:p w14:paraId="79ADDB87" w14:textId="77777777" w:rsidR="00B66586" w:rsidRPr="00B66586" w:rsidRDefault="00B66586" w:rsidP="00B66586">
            <w:pPr>
              <w:spacing w:line="240" w:lineRule="auto"/>
              <w:jc w:val="left"/>
              <w:rPr>
                <w:rFonts w:cs="Frankruhel" w:hint="cs"/>
                <w:sz w:val="24"/>
                <w:rtl/>
              </w:rPr>
            </w:pPr>
            <w:r>
              <w:rPr>
                <w:rFonts w:cs="Times New Roman"/>
                <w:sz w:val="24"/>
                <w:rtl/>
              </w:rPr>
              <w:t>הגדרות</w:t>
            </w:r>
          </w:p>
        </w:tc>
        <w:tc>
          <w:tcPr>
            <w:tcW w:w="567" w:type="dxa"/>
          </w:tcPr>
          <w:p w14:paraId="1DCBD616" w14:textId="77777777" w:rsidR="00B66586" w:rsidRPr="00B66586" w:rsidRDefault="00B66586" w:rsidP="00B66586">
            <w:pPr>
              <w:spacing w:line="240" w:lineRule="auto"/>
              <w:jc w:val="left"/>
              <w:rPr>
                <w:rStyle w:val="Hyperlink"/>
                <w:rFonts w:hint="cs"/>
                <w:rtl/>
              </w:rPr>
            </w:pPr>
            <w:hyperlink w:anchor="Seif1" w:tooltip="הגדרות" w:history="1">
              <w:r w:rsidRPr="00B66586">
                <w:rPr>
                  <w:rStyle w:val="Hyperlink"/>
                </w:rPr>
                <w:t>Go</w:t>
              </w:r>
            </w:hyperlink>
          </w:p>
        </w:tc>
        <w:tc>
          <w:tcPr>
            <w:tcW w:w="850" w:type="dxa"/>
          </w:tcPr>
          <w:p w14:paraId="2FE0D034"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6586" w:rsidRPr="00B66586" w14:paraId="3452AF94" w14:textId="77777777">
        <w:tblPrEx>
          <w:tblCellMar>
            <w:top w:w="0" w:type="dxa"/>
            <w:bottom w:w="0" w:type="dxa"/>
          </w:tblCellMar>
        </w:tblPrEx>
        <w:tc>
          <w:tcPr>
            <w:tcW w:w="1247" w:type="dxa"/>
          </w:tcPr>
          <w:p w14:paraId="3E7650C2"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2 </w:t>
            </w:r>
          </w:p>
        </w:tc>
        <w:tc>
          <w:tcPr>
            <w:tcW w:w="5669" w:type="dxa"/>
          </w:tcPr>
          <w:p w14:paraId="5C0501A2" w14:textId="77777777" w:rsidR="00B66586" w:rsidRPr="00B66586" w:rsidRDefault="00B66586" w:rsidP="00B66586">
            <w:pPr>
              <w:spacing w:line="240" w:lineRule="auto"/>
              <w:jc w:val="left"/>
              <w:rPr>
                <w:rFonts w:cs="Frankruhel" w:hint="cs"/>
                <w:sz w:val="24"/>
                <w:rtl/>
              </w:rPr>
            </w:pPr>
            <w:r>
              <w:rPr>
                <w:rFonts w:cs="Times New Roman"/>
                <w:sz w:val="24"/>
                <w:rtl/>
              </w:rPr>
              <w:t>שכרו של שמאי מכריע</w:t>
            </w:r>
          </w:p>
        </w:tc>
        <w:tc>
          <w:tcPr>
            <w:tcW w:w="567" w:type="dxa"/>
          </w:tcPr>
          <w:p w14:paraId="471C97EA" w14:textId="77777777" w:rsidR="00B66586" w:rsidRPr="00B66586" w:rsidRDefault="00B66586" w:rsidP="00B66586">
            <w:pPr>
              <w:spacing w:line="240" w:lineRule="auto"/>
              <w:jc w:val="left"/>
              <w:rPr>
                <w:rStyle w:val="Hyperlink"/>
                <w:rFonts w:hint="cs"/>
                <w:rtl/>
              </w:rPr>
            </w:pPr>
            <w:hyperlink w:anchor="Seif2" w:tooltip="שכרו של שמאי מכריע" w:history="1">
              <w:r w:rsidRPr="00B66586">
                <w:rPr>
                  <w:rStyle w:val="Hyperlink"/>
                </w:rPr>
                <w:t>Go</w:t>
              </w:r>
            </w:hyperlink>
          </w:p>
        </w:tc>
        <w:tc>
          <w:tcPr>
            <w:tcW w:w="850" w:type="dxa"/>
          </w:tcPr>
          <w:p w14:paraId="2EFCD3B6"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6586" w:rsidRPr="00B66586" w14:paraId="4AFE8716" w14:textId="77777777">
        <w:tblPrEx>
          <w:tblCellMar>
            <w:top w:w="0" w:type="dxa"/>
            <w:bottom w:w="0" w:type="dxa"/>
          </w:tblCellMar>
        </w:tblPrEx>
        <w:tc>
          <w:tcPr>
            <w:tcW w:w="1247" w:type="dxa"/>
          </w:tcPr>
          <w:p w14:paraId="63269F06"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3 </w:t>
            </w:r>
          </w:p>
        </w:tc>
        <w:tc>
          <w:tcPr>
            <w:tcW w:w="5669" w:type="dxa"/>
          </w:tcPr>
          <w:p w14:paraId="5BAF9659" w14:textId="77777777" w:rsidR="00B66586" w:rsidRPr="00B66586" w:rsidRDefault="00B66586" w:rsidP="00B66586">
            <w:pPr>
              <w:spacing w:line="240" w:lineRule="auto"/>
              <w:jc w:val="left"/>
              <w:rPr>
                <w:rFonts w:cs="Frankruhel" w:hint="cs"/>
                <w:sz w:val="24"/>
                <w:rtl/>
              </w:rPr>
            </w:pPr>
            <w:r>
              <w:rPr>
                <w:rFonts w:cs="Times New Roman"/>
                <w:sz w:val="24"/>
                <w:rtl/>
              </w:rPr>
              <w:t>שכר חריג</w:t>
            </w:r>
          </w:p>
        </w:tc>
        <w:tc>
          <w:tcPr>
            <w:tcW w:w="567" w:type="dxa"/>
          </w:tcPr>
          <w:p w14:paraId="7A27C71E" w14:textId="77777777" w:rsidR="00B66586" w:rsidRPr="00B66586" w:rsidRDefault="00B66586" w:rsidP="00B66586">
            <w:pPr>
              <w:spacing w:line="240" w:lineRule="auto"/>
              <w:jc w:val="left"/>
              <w:rPr>
                <w:rStyle w:val="Hyperlink"/>
                <w:rFonts w:hint="cs"/>
                <w:rtl/>
              </w:rPr>
            </w:pPr>
            <w:hyperlink w:anchor="Seif3" w:tooltip="שכר חריג" w:history="1">
              <w:r w:rsidRPr="00B66586">
                <w:rPr>
                  <w:rStyle w:val="Hyperlink"/>
                </w:rPr>
                <w:t>Go</w:t>
              </w:r>
            </w:hyperlink>
          </w:p>
        </w:tc>
        <w:tc>
          <w:tcPr>
            <w:tcW w:w="850" w:type="dxa"/>
          </w:tcPr>
          <w:p w14:paraId="630ED497"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6586" w:rsidRPr="00B66586" w14:paraId="2BBB3D51" w14:textId="77777777">
        <w:tblPrEx>
          <w:tblCellMar>
            <w:top w:w="0" w:type="dxa"/>
            <w:bottom w:w="0" w:type="dxa"/>
          </w:tblCellMar>
        </w:tblPrEx>
        <w:tc>
          <w:tcPr>
            <w:tcW w:w="1247" w:type="dxa"/>
          </w:tcPr>
          <w:p w14:paraId="219135DB"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4 </w:t>
            </w:r>
          </w:p>
        </w:tc>
        <w:tc>
          <w:tcPr>
            <w:tcW w:w="5669" w:type="dxa"/>
          </w:tcPr>
          <w:p w14:paraId="5ACBC462" w14:textId="77777777" w:rsidR="00B66586" w:rsidRPr="00B66586" w:rsidRDefault="00B66586" w:rsidP="00B66586">
            <w:pPr>
              <w:spacing w:line="240" w:lineRule="auto"/>
              <w:jc w:val="left"/>
              <w:rPr>
                <w:rFonts w:cs="Frankruhel" w:hint="cs"/>
                <w:sz w:val="24"/>
                <w:rtl/>
              </w:rPr>
            </w:pPr>
            <w:r>
              <w:rPr>
                <w:rFonts w:cs="Times New Roman"/>
                <w:sz w:val="24"/>
                <w:rtl/>
              </w:rPr>
              <w:t>מלוא השכר</w:t>
            </w:r>
          </w:p>
        </w:tc>
        <w:tc>
          <w:tcPr>
            <w:tcW w:w="567" w:type="dxa"/>
          </w:tcPr>
          <w:p w14:paraId="5639DBC9" w14:textId="77777777" w:rsidR="00B66586" w:rsidRPr="00B66586" w:rsidRDefault="00B66586" w:rsidP="00B66586">
            <w:pPr>
              <w:spacing w:line="240" w:lineRule="auto"/>
              <w:jc w:val="left"/>
              <w:rPr>
                <w:rStyle w:val="Hyperlink"/>
                <w:rFonts w:hint="cs"/>
                <w:rtl/>
              </w:rPr>
            </w:pPr>
            <w:hyperlink w:anchor="Seif4" w:tooltip="מלוא השכר" w:history="1">
              <w:r w:rsidRPr="00B66586">
                <w:rPr>
                  <w:rStyle w:val="Hyperlink"/>
                </w:rPr>
                <w:t>Go</w:t>
              </w:r>
            </w:hyperlink>
          </w:p>
        </w:tc>
        <w:tc>
          <w:tcPr>
            <w:tcW w:w="850" w:type="dxa"/>
          </w:tcPr>
          <w:p w14:paraId="04B19559"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6586" w:rsidRPr="00B66586" w14:paraId="4F6F2888" w14:textId="77777777">
        <w:tblPrEx>
          <w:tblCellMar>
            <w:top w:w="0" w:type="dxa"/>
            <w:bottom w:w="0" w:type="dxa"/>
          </w:tblCellMar>
        </w:tblPrEx>
        <w:tc>
          <w:tcPr>
            <w:tcW w:w="1247" w:type="dxa"/>
          </w:tcPr>
          <w:p w14:paraId="492C18ED"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5 </w:t>
            </w:r>
          </w:p>
        </w:tc>
        <w:tc>
          <w:tcPr>
            <w:tcW w:w="5669" w:type="dxa"/>
          </w:tcPr>
          <w:p w14:paraId="3BC52765" w14:textId="77777777" w:rsidR="00B66586" w:rsidRPr="00B66586" w:rsidRDefault="00B66586" w:rsidP="00B66586">
            <w:pPr>
              <w:spacing w:line="240" w:lineRule="auto"/>
              <w:jc w:val="left"/>
              <w:rPr>
                <w:rFonts w:cs="Frankruhel" w:hint="cs"/>
                <w:sz w:val="24"/>
                <w:rtl/>
              </w:rPr>
            </w:pPr>
            <w:r>
              <w:rPr>
                <w:rFonts w:cs="Times New Roman"/>
                <w:sz w:val="24"/>
                <w:rtl/>
              </w:rPr>
              <w:t>שיעור ההשתתפות בשכרו של השמאי המכריע</w:t>
            </w:r>
          </w:p>
        </w:tc>
        <w:tc>
          <w:tcPr>
            <w:tcW w:w="567" w:type="dxa"/>
          </w:tcPr>
          <w:p w14:paraId="15852BBB" w14:textId="77777777" w:rsidR="00B66586" w:rsidRPr="00B66586" w:rsidRDefault="00B66586" w:rsidP="00B66586">
            <w:pPr>
              <w:spacing w:line="240" w:lineRule="auto"/>
              <w:jc w:val="left"/>
              <w:rPr>
                <w:rStyle w:val="Hyperlink"/>
                <w:rFonts w:hint="cs"/>
                <w:rtl/>
              </w:rPr>
            </w:pPr>
            <w:hyperlink w:anchor="Seif5" w:tooltip="שיעור ההשתתפות בשכרו של השמאי המכריע" w:history="1">
              <w:r w:rsidRPr="00B66586">
                <w:rPr>
                  <w:rStyle w:val="Hyperlink"/>
                </w:rPr>
                <w:t>Go</w:t>
              </w:r>
            </w:hyperlink>
          </w:p>
        </w:tc>
        <w:tc>
          <w:tcPr>
            <w:tcW w:w="850" w:type="dxa"/>
          </w:tcPr>
          <w:p w14:paraId="30EB56D6"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6586" w:rsidRPr="00B66586" w14:paraId="1AC3A126" w14:textId="77777777">
        <w:tblPrEx>
          <w:tblCellMar>
            <w:top w:w="0" w:type="dxa"/>
            <w:bottom w:w="0" w:type="dxa"/>
          </w:tblCellMar>
        </w:tblPrEx>
        <w:tc>
          <w:tcPr>
            <w:tcW w:w="1247" w:type="dxa"/>
          </w:tcPr>
          <w:p w14:paraId="7672CC9C"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6 </w:t>
            </w:r>
          </w:p>
        </w:tc>
        <w:tc>
          <w:tcPr>
            <w:tcW w:w="5669" w:type="dxa"/>
          </w:tcPr>
          <w:p w14:paraId="2D206965" w14:textId="77777777" w:rsidR="00B66586" w:rsidRPr="00B66586" w:rsidRDefault="00B66586" w:rsidP="00B66586">
            <w:pPr>
              <w:spacing w:line="240" w:lineRule="auto"/>
              <w:jc w:val="left"/>
              <w:rPr>
                <w:rFonts w:cs="Frankruhel" w:hint="cs"/>
                <w:sz w:val="24"/>
                <w:rtl/>
              </w:rPr>
            </w:pPr>
            <w:r>
              <w:rPr>
                <w:rFonts w:cs="Times New Roman"/>
                <w:sz w:val="24"/>
                <w:rtl/>
              </w:rPr>
              <w:t>הודעה על גובה שכרו של השמאי המכריע</w:t>
            </w:r>
          </w:p>
        </w:tc>
        <w:tc>
          <w:tcPr>
            <w:tcW w:w="567" w:type="dxa"/>
          </w:tcPr>
          <w:p w14:paraId="4F7810BF" w14:textId="77777777" w:rsidR="00B66586" w:rsidRPr="00B66586" w:rsidRDefault="00B66586" w:rsidP="00B66586">
            <w:pPr>
              <w:spacing w:line="240" w:lineRule="auto"/>
              <w:jc w:val="left"/>
              <w:rPr>
                <w:rStyle w:val="Hyperlink"/>
                <w:rFonts w:hint="cs"/>
                <w:rtl/>
              </w:rPr>
            </w:pPr>
            <w:hyperlink w:anchor="Seif6" w:tooltip="הודעה על גובה שכרו של השמאי המכריע" w:history="1">
              <w:r w:rsidRPr="00B66586">
                <w:rPr>
                  <w:rStyle w:val="Hyperlink"/>
                </w:rPr>
                <w:t>Go</w:t>
              </w:r>
            </w:hyperlink>
          </w:p>
        </w:tc>
        <w:tc>
          <w:tcPr>
            <w:tcW w:w="850" w:type="dxa"/>
          </w:tcPr>
          <w:p w14:paraId="4C274D0C"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6586" w:rsidRPr="00B66586" w14:paraId="4F6C96C9" w14:textId="77777777">
        <w:tblPrEx>
          <w:tblCellMar>
            <w:top w:w="0" w:type="dxa"/>
            <w:bottom w:w="0" w:type="dxa"/>
          </w:tblCellMar>
        </w:tblPrEx>
        <w:tc>
          <w:tcPr>
            <w:tcW w:w="1247" w:type="dxa"/>
          </w:tcPr>
          <w:p w14:paraId="5E09F5D6"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7 </w:t>
            </w:r>
          </w:p>
        </w:tc>
        <w:tc>
          <w:tcPr>
            <w:tcW w:w="5669" w:type="dxa"/>
          </w:tcPr>
          <w:p w14:paraId="3F28F413" w14:textId="77777777" w:rsidR="00B66586" w:rsidRPr="00B66586" w:rsidRDefault="00B66586" w:rsidP="00B66586">
            <w:pPr>
              <w:spacing w:line="240" w:lineRule="auto"/>
              <w:jc w:val="left"/>
              <w:rPr>
                <w:rFonts w:cs="Frankruhel" w:hint="cs"/>
                <w:sz w:val="24"/>
                <w:rtl/>
              </w:rPr>
            </w:pPr>
            <w:r>
              <w:rPr>
                <w:rFonts w:cs="Times New Roman"/>
                <w:sz w:val="24"/>
                <w:rtl/>
              </w:rPr>
              <w:t>שכר שמאי מייעץ</w:t>
            </w:r>
          </w:p>
        </w:tc>
        <w:tc>
          <w:tcPr>
            <w:tcW w:w="567" w:type="dxa"/>
          </w:tcPr>
          <w:p w14:paraId="212854DF" w14:textId="77777777" w:rsidR="00B66586" w:rsidRPr="00B66586" w:rsidRDefault="00B66586" w:rsidP="00B66586">
            <w:pPr>
              <w:spacing w:line="240" w:lineRule="auto"/>
              <w:jc w:val="left"/>
              <w:rPr>
                <w:rStyle w:val="Hyperlink"/>
                <w:rFonts w:hint="cs"/>
                <w:rtl/>
              </w:rPr>
            </w:pPr>
            <w:hyperlink w:anchor="Seif7" w:tooltip="שכר שמאי מייעץ" w:history="1">
              <w:r w:rsidRPr="00B66586">
                <w:rPr>
                  <w:rStyle w:val="Hyperlink"/>
                </w:rPr>
                <w:t>Go</w:t>
              </w:r>
            </w:hyperlink>
          </w:p>
        </w:tc>
        <w:tc>
          <w:tcPr>
            <w:tcW w:w="850" w:type="dxa"/>
          </w:tcPr>
          <w:p w14:paraId="234CABEE"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6586" w:rsidRPr="00B66586" w14:paraId="7D7C09E9" w14:textId="77777777">
        <w:tblPrEx>
          <w:tblCellMar>
            <w:top w:w="0" w:type="dxa"/>
            <w:bottom w:w="0" w:type="dxa"/>
          </w:tblCellMar>
        </w:tblPrEx>
        <w:tc>
          <w:tcPr>
            <w:tcW w:w="1247" w:type="dxa"/>
          </w:tcPr>
          <w:p w14:paraId="13E1883F"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8 </w:t>
            </w:r>
          </w:p>
        </w:tc>
        <w:tc>
          <w:tcPr>
            <w:tcW w:w="5669" w:type="dxa"/>
          </w:tcPr>
          <w:p w14:paraId="4E348997" w14:textId="77777777" w:rsidR="00B66586" w:rsidRPr="00B66586" w:rsidRDefault="00B66586" w:rsidP="00B66586">
            <w:pPr>
              <w:spacing w:line="240" w:lineRule="auto"/>
              <w:jc w:val="left"/>
              <w:rPr>
                <w:rFonts w:cs="Frankruhel" w:hint="cs"/>
                <w:sz w:val="24"/>
                <w:rtl/>
              </w:rPr>
            </w:pPr>
            <w:r>
              <w:rPr>
                <w:rFonts w:cs="Times New Roman"/>
                <w:sz w:val="24"/>
                <w:rtl/>
              </w:rPr>
              <w:t>שכר שמאי מכריע שהפסיק את טיפולו</w:t>
            </w:r>
          </w:p>
        </w:tc>
        <w:tc>
          <w:tcPr>
            <w:tcW w:w="567" w:type="dxa"/>
          </w:tcPr>
          <w:p w14:paraId="508F423E" w14:textId="77777777" w:rsidR="00B66586" w:rsidRPr="00B66586" w:rsidRDefault="00B66586" w:rsidP="00B66586">
            <w:pPr>
              <w:spacing w:line="240" w:lineRule="auto"/>
              <w:jc w:val="left"/>
              <w:rPr>
                <w:rStyle w:val="Hyperlink"/>
                <w:rFonts w:hint="cs"/>
                <w:rtl/>
              </w:rPr>
            </w:pPr>
            <w:hyperlink w:anchor="Seif8" w:tooltip="שכר שמאי מכריע שהפסיק את טיפולו" w:history="1">
              <w:r w:rsidRPr="00B66586">
                <w:rPr>
                  <w:rStyle w:val="Hyperlink"/>
                </w:rPr>
                <w:t>Go</w:t>
              </w:r>
            </w:hyperlink>
          </w:p>
        </w:tc>
        <w:tc>
          <w:tcPr>
            <w:tcW w:w="850" w:type="dxa"/>
          </w:tcPr>
          <w:p w14:paraId="22ED1CF1"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66586" w:rsidRPr="00B66586" w14:paraId="0405ECCD" w14:textId="77777777">
        <w:tblPrEx>
          <w:tblCellMar>
            <w:top w:w="0" w:type="dxa"/>
            <w:bottom w:w="0" w:type="dxa"/>
          </w:tblCellMar>
        </w:tblPrEx>
        <w:tc>
          <w:tcPr>
            <w:tcW w:w="1247" w:type="dxa"/>
          </w:tcPr>
          <w:p w14:paraId="1A9530F9"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9 </w:t>
            </w:r>
          </w:p>
        </w:tc>
        <w:tc>
          <w:tcPr>
            <w:tcW w:w="5669" w:type="dxa"/>
          </w:tcPr>
          <w:p w14:paraId="688487B6" w14:textId="77777777" w:rsidR="00B66586" w:rsidRPr="00B66586" w:rsidRDefault="00B66586" w:rsidP="00B66586">
            <w:pPr>
              <w:spacing w:line="240" w:lineRule="auto"/>
              <w:jc w:val="left"/>
              <w:rPr>
                <w:rFonts w:cs="Frankruhel" w:hint="cs"/>
                <w:sz w:val="24"/>
                <w:rtl/>
              </w:rPr>
            </w:pPr>
            <w:r>
              <w:rPr>
                <w:rFonts w:cs="Times New Roman"/>
                <w:sz w:val="24"/>
                <w:rtl/>
              </w:rPr>
              <w:t>תוספת מס ערך מוסף</w:t>
            </w:r>
          </w:p>
        </w:tc>
        <w:tc>
          <w:tcPr>
            <w:tcW w:w="567" w:type="dxa"/>
          </w:tcPr>
          <w:p w14:paraId="3F57475B" w14:textId="77777777" w:rsidR="00B66586" w:rsidRPr="00B66586" w:rsidRDefault="00B66586" w:rsidP="00B66586">
            <w:pPr>
              <w:spacing w:line="240" w:lineRule="auto"/>
              <w:jc w:val="left"/>
              <w:rPr>
                <w:rStyle w:val="Hyperlink"/>
                <w:rFonts w:hint="cs"/>
                <w:rtl/>
              </w:rPr>
            </w:pPr>
            <w:hyperlink w:anchor="Seif9" w:tooltip="תוספת מס ערך מוסף" w:history="1">
              <w:r w:rsidRPr="00B66586">
                <w:rPr>
                  <w:rStyle w:val="Hyperlink"/>
                </w:rPr>
                <w:t>Go</w:t>
              </w:r>
            </w:hyperlink>
          </w:p>
        </w:tc>
        <w:tc>
          <w:tcPr>
            <w:tcW w:w="850" w:type="dxa"/>
          </w:tcPr>
          <w:p w14:paraId="125939AA"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66586" w:rsidRPr="00B66586" w14:paraId="269A2425" w14:textId="77777777">
        <w:tblPrEx>
          <w:tblCellMar>
            <w:top w:w="0" w:type="dxa"/>
            <w:bottom w:w="0" w:type="dxa"/>
          </w:tblCellMar>
        </w:tblPrEx>
        <w:tc>
          <w:tcPr>
            <w:tcW w:w="1247" w:type="dxa"/>
          </w:tcPr>
          <w:p w14:paraId="725A373B" w14:textId="77777777" w:rsidR="00B66586" w:rsidRPr="00B66586" w:rsidRDefault="00B66586" w:rsidP="00B66586">
            <w:pPr>
              <w:spacing w:line="240" w:lineRule="auto"/>
              <w:jc w:val="left"/>
              <w:rPr>
                <w:rFonts w:cs="Frankruhel" w:hint="cs"/>
                <w:sz w:val="24"/>
                <w:rtl/>
              </w:rPr>
            </w:pPr>
            <w:r>
              <w:rPr>
                <w:rFonts w:cs="Times New Roman"/>
                <w:sz w:val="24"/>
                <w:rtl/>
              </w:rPr>
              <w:t xml:space="preserve">סעיף 10 </w:t>
            </w:r>
          </w:p>
        </w:tc>
        <w:tc>
          <w:tcPr>
            <w:tcW w:w="5669" w:type="dxa"/>
          </w:tcPr>
          <w:p w14:paraId="0A05CC92" w14:textId="77777777" w:rsidR="00B66586" w:rsidRPr="00B66586" w:rsidRDefault="00B66586" w:rsidP="00B66586">
            <w:pPr>
              <w:spacing w:line="240" w:lineRule="auto"/>
              <w:jc w:val="left"/>
              <w:rPr>
                <w:rFonts w:cs="Frankruhel" w:hint="cs"/>
                <w:sz w:val="24"/>
                <w:rtl/>
              </w:rPr>
            </w:pPr>
            <w:r>
              <w:rPr>
                <w:rFonts w:cs="Times New Roman"/>
                <w:sz w:val="24"/>
                <w:rtl/>
              </w:rPr>
              <w:t>תחולה</w:t>
            </w:r>
          </w:p>
        </w:tc>
        <w:tc>
          <w:tcPr>
            <w:tcW w:w="567" w:type="dxa"/>
          </w:tcPr>
          <w:p w14:paraId="1B85B384" w14:textId="77777777" w:rsidR="00B66586" w:rsidRPr="00B66586" w:rsidRDefault="00B66586" w:rsidP="00B66586">
            <w:pPr>
              <w:spacing w:line="240" w:lineRule="auto"/>
              <w:jc w:val="left"/>
              <w:rPr>
                <w:rStyle w:val="Hyperlink"/>
                <w:rFonts w:hint="cs"/>
                <w:rtl/>
              </w:rPr>
            </w:pPr>
            <w:hyperlink w:anchor="Seif10" w:tooltip="תחולה" w:history="1">
              <w:r w:rsidRPr="00B66586">
                <w:rPr>
                  <w:rStyle w:val="Hyperlink"/>
                </w:rPr>
                <w:t>Go</w:t>
              </w:r>
            </w:hyperlink>
          </w:p>
        </w:tc>
        <w:tc>
          <w:tcPr>
            <w:tcW w:w="850" w:type="dxa"/>
          </w:tcPr>
          <w:p w14:paraId="73448473" w14:textId="77777777" w:rsidR="00B66586" w:rsidRPr="00B66586" w:rsidRDefault="00B66586" w:rsidP="00B6658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0269565E" w14:textId="77777777" w:rsidR="001153D7" w:rsidRDefault="001153D7">
      <w:pPr>
        <w:pStyle w:val="P00"/>
        <w:spacing w:before="72"/>
        <w:ind w:left="0" w:right="1134"/>
        <w:rPr>
          <w:rFonts w:hint="cs"/>
          <w:rtl/>
        </w:rPr>
      </w:pPr>
    </w:p>
    <w:p w14:paraId="1E230D19" w14:textId="77777777" w:rsidR="001153D7" w:rsidRDefault="001153D7" w:rsidP="0087635C">
      <w:pPr>
        <w:pStyle w:val="big-header"/>
        <w:ind w:left="0" w:right="1134"/>
        <w:rPr>
          <w:rStyle w:val="default"/>
          <w:rFonts w:hint="cs"/>
          <w:sz w:val="22"/>
          <w:szCs w:val="22"/>
          <w:rtl/>
        </w:rPr>
      </w:pPr>
      <w:r>
        <w:rPr>
          <w:rtl/>
        </w:rPr>
        <w:br w:type="page"/>
      </w:r>
      <w:r w:rsidR="0087635C">
        <w:rPr>
          <w:rFonts w:hint="cs"/>
          <w:rtl/>
          <w:lang w:eastAsia="en-US"/>
        </w:rPr>
        <w:lastRenderedPageBreak/>
        <w:pict w14:anchorId="78CFDFBB">
          <v:shapetype id="_x0000_t202" coordsize="21600,21600" o:spt="202" path="m,l,21600r21600,l21600,xe">
            <v:stroke joinstyle="miter"/>
            <v:path gradientshapeok="t" o:connecttype="rect"/>
          </v:shapetype>
          <v:shape id="_x0000_s1345" type="#_x0000_t202" style="position:absolute;left:0;text-align:left;margin-left:470.25pt;margin-top:25.5pt;width:1in;height:11.2pt;z-index:251664896" filled="f" stroked="f">
            <v:textbox inset="1mm,0,1mm,0">
              <w:txbxContent>
                <w:p w14:paraId="315837FB" w14:textId="77777777" w:rsidR="0087635C" w:rsidRDefault="0087635C" w:rsidP="0087635C">
                  <w:pPr>
                    <w:spacing w:line="160" w:lineRule="exact"/>
                    <w:jc w:val="left"/>
                    <w:rPr>
                      <w:rFonts w:cs="Miriam" w:hint="cs"/>
                      <w:szCs w:val="18"/>
                      <w:rtl/>
                    </w:rPr>
                  </w:pPr>
                  <w:r>
                    <w:rPr>
                      <w:rFonts w:cs="Miriam" w:hint="cs"/>
                      <w:szCs w:val="18"/>
                      <w:rtl/>
                    </w:rPr>
                    <w:t>תק' תשע"א-2011</w:t>
                  </w:r>
                </w:p>
              </w:txbxContent>
            </v:textbox>
            <w10:anchorlock/>
          </v:shape>
        </w:pict>
      </w:r>
      <w:r w:rsidR="00C37DAB">
        <w:rPr>
          <w:rFonts w:hint="cs"/>
          <w:rtl/>
        </w:rPr>
        <w:t>תקנות התכנון והבניה (שכרו של שמאי מכריע ושמאי מייעץ), תשס"ט-2009</w:t>
      </w:r>
      <w:r>
        <w:rPr>
          <w:rStyle w:val="default"/>
          <w:sz w:val="22"/>
          <w:szCs w:val="22"/>
          <w:rtl/>
        </w:rPr>
        <w:footnoteReference w:customMarkFollows="1" w:id="1"/>
        <w:t>*</w:t>
      </w:r>
    </w:p>
    <w:p w14:paraId="41BA2D5C" w14:textId="77777777" w:rsidR="00C34B9D" w:rsidRPr="0087635C" w:rsidRDefault="00C34B9D" w:rsidP="00C34B9D">
      <w:pPr>
        <w:pStyle w:val="P00"/>
        <w:spacing w:before="0"/>
        <w:ind w:left="0" w:right="1134"/>
        <w:rPr>
          <w:rStyle w:val="default"/>
          <w:rFonts w:cs="FrankRuehl" w:hint="cs"/>
          <w:vanish/>
          <w:color w:val="FF0000"/>
          <w:szCs w:val="20"/>
          <w:shd w:val="clear" w:color="auto" w:fill="FFFF99"/>
          <w:rtl/>
        </w:rPr>
      </w:pPr>
      <w:bookmarkStart w:id="0" w:name="Rov13"/>
      <w:r w:rsidRPr="0087635C">
        <w:rPr>
          <w:rStyle w:val="default"/>
          <w:rFonts w:cs="FrankRuehl" w:hint="cs"/>
          <w:vanish/>
          <w:color w:val="FF0000"/>
          <w:szCs w:val="20"/>
          <w:shd w:val="clear" w:color="auto" w:fill="FFFF99"/>
          <w:rtl/>
        </w:rPr>
        <w:t>מיום 17.3.2011</w:t>
      </w:r>
    </w:p>
    <w:p w14:paraId="1E6AF286" w14:textId="77777777" w:rsidR="00C34B9D" w:rsidRPr="0087635C" w:rsidRDefault="00C34B9D" w:rsidP="00C34B9D">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תק' תשע"א-2011</w:t>
      </w:r>
    </w:p>
    <w:p w14:paraId="07E6B8D4" w14:textId="77777777" w:rsidR="00C34B9D" w:rsidRPr="0087635C" w:rsidRDefault="0087635C" w:rsidP="00C34B9D">
      <w:pPr>
        <w:pStyle w:val="P00"/>
        <w:spacing w:before="0"/>
        <w:ind w:left="0" w:right="1134"/>
        <w:rPr>
          <w:rStyle w:val="default"/>
          <w:rFonts w:cs="FrankRuehl" w:hint="cs"/>
          <w:vanish/>
          <w:szCs w:val="20"/>
          <w:shd w:val="clear" w:color="auto" w:fill="FFFF99"/>
          <w:rtl/>
        </w:rPr>
      </w:pPr>
      <w:hyperlink r:id="rId6" w:history="1">
        <w:r w:rsidR="00C34B9D" w:rsidRPr="0087635C">
          <w:rPr>
            <w:rStyle w:val="Hyperlink"/>
            <w:rFonts w:hint="cs"/>
            <w:vanish/>
            <w:szCs w:val="20"/>
            <w:shd w:val="clear" w:color="auto" w:fill="FFFF99"/>
            <w:rtl/>
          </w:rPr>
          <w:t>ק"ת תשע"א מס' 6986</w:t>
        </w:r>
      </w:hyperlink>
      <w:r w:rsidR="00C34B9D" w:rsidRPr="0087635C">
        <w:rPr>
          <w:rStyle w:val="default"/>
          <w:rFonts w:cs="FrankRuehl" w:hint="cs"/>
          <w:vanish/>
          <w:szCs w:val="20"/>
          <w:shd w:val="clear" w:color="auto" w:fill="FFFF99"/>
          <w:rtl/>
        </w:rPr>
        <w:t xml:space="preserve"> מיום 17.3.2011 עמ' 804</w:t>
      </w:r>
    </w:p>
    <w:p w14:paraId="394D4EB2" w14:textId="77777777" w:rsidR="00C34B9D" w:rsidRPr="0087635C" w:rsidRDefault="0087635C" w:rsidP="0087635C">
      <w:pPr>
        <w:pStyle w:val="P00"/>
        <w:ind w:left="0" w:right="1134"/>
        <w:rPr>
          <w:rStyle w:val="default"/>
          <w:rFonts w:cs="FrankRuehl" w:hint="cs"/>
          <w:sz w:val="2"/>
          <w:szCs w:val="2"/>
          <w:rtl/>
        </w:rPr>
      </w:pPr>
      <w:r w:rsidRPr="0087635C">
        <w:rPr>
          <w:rStyle w:val="default"/>
          <w:rFonts w:cs="FrankRuehl" w:hint="cs"/>
          <w:vanish/>
          <w:sz w:val="22"/>
          <w:szCs w:val="22"/>
          <w:shd w:val="clear" w:color="auto" w:fill="FFFF99"/>
          <w:rtl/>
        </w:rPr>
        <w:t xml:space="preserve">תקנות התכנון והבניה (שכרו של שמאי מכריע ושמאי מייעץ) </w:t>
      </w:r>
      <w:r w:rsidRPr="0087635C">
        <w:rPr>
          <w:rStyle w:val="default"/>
          <w:rFonts w:cs="FrankRuehl" w:hint="cs"/>
          <w:strike/>
          <w:vanish/>
          <w:sz w:val="22"/>
          <w:szCs w:val="22"/>
          <w:shd w:val="clear" w:color="auto" w:fill="FFFF99"/>
          <w:rtl/>
        </w:rPr>
        <w:t>(הוראת שעה)</w:t>
      </w:r>
      <w:r w:rsidRPr="0087635C">
        <w:rPr>
          <w:rStyle w:val="default"/>
          <w:rFonts w:cs="FrankRuehl" w:hint="cs"/>
          <w:vanish/>
          <w:sz w:val="22"/>
          <w:szCs w:val="22"/>
          <w:shd w:val="clear" w:color="auto" w:fill="FFFF99"/>
          <w:rtl/>
        </w:rPr>
        <w:t>, תשס"ט-2009</w:t>
      </w:r>
      <w:bookmarkEnd w:id="0"/>
    </w:p>
    <w:p w14:paraId="65D0C68C" w14:textId="77777777" w:rsidR="001153D7" w:rsidRDefault="001153D7" w:rsidP="00C37DA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C37DAB">
        <w:rPr>
          <w:rStyle w:val="default"/>
          <w:rFonts w:cs="FrankRuehl" w:hint="cs"/>
          <w:rtl/>
        </w:rPr>
        <w:t xml:space="preserve">סמכותי לפי סעיף 202יג לחוק התכנון והבניה, התשכ"ה-1965 (להלן </w:t>
      </w:r>
      <w:r w:rsidR="00C37DAB">
        <w:rPr>
          <w:rStyle w:val="default"/>
          <w:rFonts w:cs="FrankRuehl"/>
          <w:rtl/>
        </w:rPr>
        <w:t>–</w:t>
      </w:r>
      <w:r w:rsidR="00C37DAB">
        <w:rPr>
          <w:rStyle w:val="default"/>
          <w:rFonts w:cs="FrankRuehl" w:hint="cs"/>
          <w:rtl/>
        </w:rPr>
        <w:t xml:space="preserve"> החוק), ובאישור ועדת הפנים והגנת הסביבה של הכנסת, אני מתקין תקנות אלה:</w:t>
      </w:r>
      <w:r>
        <w:rPr>
          <w:rStyle w:val="default"/>
          <w:rFonts w:cs="FrankRuehl"/>
          <w:rtl/>
        </w:rPr>
        <w:t>:</w:t>
      </w:r>
    </w:p>
    <w:p w14:paraId="155DD86E" w14:textId="77777777" w:rsidR="001153D7" w:rsidRDefault="001153D7" w:rsidP="00C37DAB">
      <w:pPr>
        <w:pStyle w:val="P00"/>
        <w:spacing w:before="72"/>
        <w:ind w:left="0" w:right="1134"/>
        <w:rPr>
          <w:rStyle w:val="default"/>
          <w:rFonts w:cs="FrankRuehl" w:hint="cs"/>
          <w:rtl/>
        </w:rPr>
      </w:pPr>
      <w:bookmarkStart w:id="1" w:name="Seif1"/>
      <w:bookmarkEnd w:id="1"/>
      <w:r>
        <w:rPr>
          <w:lang w:val="he-IL"/>
        </w:rPr>
        <w:pict w14:anchorId="59C6F940">
          <v:rect id="_x0000_s1026" style="position:absolute;left:0;text-align:left;margin-left:464.5pt;margin-top:8.05pt;width:75.05pt;height:14pt;z-index:251650560" o:allowincell="f" filled="f" stroked="f" strokecolor="lime" strokeweight=".25pt">
            <v:textbox style="mso-next-textbox:#_x0000_s1026" inset="0,0,0,0">
              <w:txbxContent>
                <w:p w14:paraId="6993DEDA" w14:textId="77777777" w:rsidR="002A0431" w:rsidRDefault="002A0431">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C37DAB">
        <w:rPr>
          <w:rStyle w:val="default"/>
          <w:rFonts w:cs="FrankRuehl" w:hint="cs"/>
          <w:rtl/>
        </w:rPr>
        <w:t xml:space="preserve">בתקנות אלה </w:t>
      </w:r>
      <w:r w:rsidR="00C37DAB">
        <w:rPr>
          <w:rStyle w:val="default"/>
          <w:rFonts w:cs="FrankRuehl"/>
          <w:rtl/>
        </w:rPr>
        <w:t>–</w:t>
      </w:r>
    </w:p>
    <w:p w14:paraId="4C44B932"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כהגדרתה בתקנות סדרי הדין;</w:t>
      </w:r>
    </w:p>
    <w:p w14:paraId="038186B7"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"הוועדה המייעצת" </w:t>
      </w:r>
      <w:r>
        <w:rPr>
          <w:rStyle w:val="default"/>
          <w:rFonts w:cs="FrankRuehl"/>
          <w:rtl/>
        </w:rPr>
        <w:t>–</w:t>
      </w:r>
      <w:r>
        <w:rPr>
          <w:rStyle w:val="default"/>
          <w:rFonts w:cs="FrankRuehl" w:hint="cs"/>
          <w:rtl/>
        </w:rPr>
        <w:t xml:space="preserve"> כאמור בסעיף 202ד לחוק;</w:t>
      </w:r>
    </w:p>
    <w:p w14:paraId="1B19BBE7"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"היושב ראש" </w:t>
      </w:r>
      <w:r>
        <w:rPr>
          <w:rStyle w:val="default"/>
          <w:rFonts w:cs="FrankRuehl"/>
          <w:rtl/>
        </w:rPr>
        <w:t>–</w:t>
      </w:r>
      <w:r>
        <w:rPr>
          <w:rStyle w:val="default"/>
          <w:rFonts w:cs="FrankRuehl" w:hint="cs"/>
          <w:rtl/>
        </w:rPr>
        <w:t xml:space="preserve"> יושב ראש מועצת שמאי המקרקעין;</w:t>
      </w:r>
    </w:p>
    <w:p w14:paraId="454A40D8"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המתחילה ב-1 בינואר, ב-1 באפריל, ב-1 ביולי וב-1 באוקטובר של כל שנה;</w:t>
      </w:r>
    </w:p>
    <w:p w14:paraId="4CA67396"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"שמאי מכריע" </w:t>
      </w:r>
      <w:r>
        <w:rPr>
          <w:rStyle w:val="default"/>
          <w:rFonts w:cs="FrankRuehl"/>
          <w:rtl/>
        </w:rPr>
        <w:t>–</w:t>
      </w:r>
      <w:r>
        <w:rPr>
          <w:rStyle w:val="default"/>
          <w:rFonts w:cs="FrankRuehl" w:hint="cs"/>
          <w:rtl/>
        </w:rPr>
        <w:t xml:space="preserve"> שמאי מקרקעין הנכלל ברשימת השמאים המכריעים לפי סעיף 202ג לחוק;</w:t>
      </w:r>
    </w:p>
    <w:p w14:paraId="28AD2885"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p>
    <w:p w14:paraId="15F846CB" w14:textId="77777777" w:rsidR="00C37DAB" w:rsidRDefault="00C37DAB" w:rsidP="00C37DAB">
      <w:pPr>
        <w:pStyle w:val="P00"/>
        <w:spacing w:before="72"/>
        <w:ind w:left="0" w:right="1134"/>
        <w:rPr>
          <w:rStyle w:val="default"/>
          <w:rFonts w:cs="FrankRuehl" w:hint="cs"/>
          <w:rtl/>
        </w:rPr>
      </w:pPr>
      <w:r>
        <w:rPr>
          <w:rStyle w:val="default"/>
          <w:rFonts w:cs="FrankRuehl" w:hint="cs"/>
          <w:rtl/>
        </w:rPr>
        <w:tab/>
        <w:t xml:space="preserve">"תקנות סדרי הדין" </w:t>
      </w:r>
      <w:r>
        <w:rPr>
          <w:rStyle w:val="default"/>
          <w:rFonts w:cs="FrankRuehl"/>
          <w:rtl/>
        </w:rPr>
        <w:t>–</w:t>
      </w:r>
      <w:r>
        <w:rPr>
          <w:rStyle w:val="default"/>
          <w:rFonts w:cs="FrankRuehl" w:hint="cs"/>
          <w:rtl/>
        </w:rPr>
        <w:t xml:space="preserve"> תקנות התכנון והבניה (סדרי דין בבקשה להכרעה לפני שמאי מכריע או שמאי מייעץ), התשס"ט-2008.</w:t>
      </w:r>
    </w:p>
    <w:p w14:paraId="70C0905E" w14:textId="77777777" w:rsidR="007A7DBB" w:rsidRDefault="007A7DBB" w:rsidP="00C37DAB">
      <w:pPr>
        <w:pStyle w:val="P00"/>
        <w:spacing w:before="72"/>
        <w:ind w:left="0" w:right="1134"/>
        <w:rPr>
          <w:rStyle w:val="default"/>
          <w:rFonts w:cs="FrankRuehl" w:hint="cs"/>
          <w:rtl/>
        </w:rPr>
      </w:pPr>
      <w:bookmarkStart w:id="2" w:name="Seif2"/>
      <w:bookmarkEnd w:id="2"/>
      <w:r>
        <w:rPr>
          <w:lang w:val="he-IL"/>
        </w:rPr>
        <w:pict w14:anchorId="4154F0E1">
          <v:rect id="_x0000_s1293" style="position:absolute;left:0;text-align:left;margin-left:464.5pt;margin-top:8.05pt;width:75.05pt;height:18.7pt;z-index:251651584" o:allowincell="f" filled="f" stroked="f" strokecolor="lime" strokeweight=".25pt">
            <v:textbox style="mso-next-textbox:#_x0000_s1293" inset="0,0,0,0">
              <w:txbxContent>
                <w:p w14:paraId="52903A65" w14:textId="77777777" w:rsidR="002A0431" w:rsidRDefault="002A0431" w:rsidP="007A7DBB">
                  <w:pPr>
                    <w:spacing w:line="160" w:lineRule="exact"/>
                    <w:jc w:val="left"/>
                    <w:rPr>
                      <w:rFonts w:cs="Miriam" w:hint="cs"/>
                      <w:szCs w:val="18"/>
                      <w:rtl/>
                    </w:rPr>
                  </w:pPr>
                  <w:r>
                    <w:rPr>
                      <w:rFonts w:cs="Miriam" w:hint="cs"/>
                      <w:szCs w:val="18"/>
                      <w:rtl/>
                    </w:rPr>
                    <w:t>שכרו של שמאי מכריע</w:t>
                  </w:r>
                </w:p>
              </w:txbxContent>
            </v:textbox>
            <w10:anchorlock/>
          </v:rect>
        </w:pict>
      </w:r>
      <w:r>
        <w:rPr>
          <w:rStyle w:val="big-number"/>
          <w:rFonts w:hint="cs"/>
          <w:rtl/>
        </w:rPr>
        <w:t>2</w:t>
      </w:r>
      <w:r>
        <w:rPr>
          <w:rStyle w:val="default"/>
          <w:rFonts w:cs="FrankRuehl"/>
          <w:rtl/>
        </w:rPr>
        <w:t>.</w:t>
      </w:r>
      <w:r>
        <w:rPr>
          <w:rStyle w:val="default"/>
          <w:rFonts w:cs="FrankRuehl"/>
          <w:rtl/>
        </w:rPr>
        <w:tab/>
      </w:r>
      <w:r w:rsidR="00C37DAB">
        <w:rPr>
          <w:rStyle w:val="default"/>
          <w:rFonts w:cs="FrankRuehl" w:hint="cs"/>
          <w:rtl/>
        </w:rPr>
        <w:t>(א)</w:t>
      </w:r>
      <w:r w:rsidR="00C37DAB">
        <w:rPr>
          <w:rStyle w:val="default"/>
          <w:rFonts w:cs="FrankRuehl" w:hint="cs"/>
          <w:rtl/>
        </w:rPr>
        <w:tab/>
        <w:t>שכרו של שמאי מכריע יהיה בשיעור מסכום התביעה או ההשבחה כפי שמצוין בבקשה שלגביה הוא מכריע, כמפורט בטבלה שבתוספת.</w:t>
      </w:r>
    </w:p>
    <w:p w14:paraId="266F4FF3" w14:textId="77777777" w:rsidR="00C37DAB" w:rsidRDefault="00C37DAB" w:rsidP="00C37D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שכרו של שמאי מכריע לא יעלה על 100,000 ש"ח ולא יפחת מ-2,000 ש"ח בעד הערכה המתייחסת למחלוקת אחת, ואם אוחדו דיונים כאמור בתקנה 10 לתקנות סדרי הדין, בעד הכרעה המתייחסת למחלוקות כאמור שם.</w:t>
      </w:r>
    </w:p>
    <w:p w14:paraId="175AE30A" w14:textId="77777777" w:rsidR="00C37DAB" w:rsidRDefault="005E1485" w:rsidP="00C37DAB">
      <w:pPr>
        <w:pStyle w:val="P00"/>
        <w:spacing w:before="72"/>
        <w:ind w:left="0" w:right="1134"/>
        <w:rPr>
          <w:rStyle w:val="default"/>
          <w:rFonts w:cs="FrankRuehl" w:hint="cs"/>
          <w:rtl/>
        </w:rPr>
      </w:pPr>
      <w:r>
        <w:rPr>
          <w:rFonts w:hint="cs"/>
          <w:rtl/>
          <w:lang w:eastAsia="en-US"/>
        </w:rPr>
        <w:pict w14:anchorId="72A9BF67">
          <v:shape id="_x0000_s1341" type="#_x0000_t202" style="position:absolute;left:0;text-align:left;margin-left:470.25pt;margin-top:7.1pt;width:1in;height:11.2pt;z-index:251660800" filled="f" stroked="f">
            <v:textbox inset="1mm,0,1mm,0">
              <w:txbxContent>
                <w:p w14:paraId="5EFD7127" w14:textId="77777777" w:rsidR="005E1485" w:rsidRDefault="005E1485" w:rsidP="005E1485">
                  <w:pPr>
                    <w:spacing w:line="160" w:lineRule="exact"/>
                    <w:jc w:val="left"/>
                    <w:rPr>
                      <w:rFonts w:cs="Miriam" w:hint="cs"/>
                      <w:szCs w:val="18"/>
                      <w:rtl/>
                    </w:rPr>
                  </w:pPr>
                  <w:r>
                    <w:rPr>
                      <w:rFonts w:cs="Miriam" w:hint="cs"/>
                      <w:szCs w:val="18"/>
                      <w:rtl/>
                    </w:rPr>
                    <w:t>תק' תש"ע-2010</w:t>
                  </w:r>
                </w:p>
              </w:txbxContent>
            </v:textbox>
            <w10:anchorlock/>
          </v:shape>
        </w:pict>
      </w:r>
      <w:r w:rsidR="00C37DAB">
        <w:rPr>
          <w:rStyle w:val="default"/>
          <w:rFonts w:cs="FrankRuehl" w:hint="cs"/>
          <w:rtl/>
        </w:rPr>
        <w:tab/>
        <w:t>(ג)</w:t>
      </w:r>
      <w:r w:rsidR="00C37DAB">
        <w:rPr>
          <w:rStyle w:val="default"/>
          <w:rFonts w:cs="FrankRuehl" w:hint="cs"/>
          <w:rtl/>
        </w:rPr>
        <w:tab/>
        <w:t>היושב ראש לא ימנה שמאי מכריע מתוך רשימת השמאים המכריעים לצורך הכרעה במחלוקת, אם השכר שצפוי להשתלם לשמאי המכריע בעד הכרעה בכל המחלוקות שהועברו להכרעתו באותו רבעון עולה על 300,000 שקלים חדשים</w:t>
      </w:r>
      <w:r>
        <w:rPr>
          <w:rStyle w:val="default"/>
          <w:rFonts w:cs="FrankRuehl" w:hint="cs"/>
          <w:rtl/>
        </w:rPr>
        <w:t xml:space="preserve"> </w:t>
      </w:r>
      <w:r w:rsidRPr="005E1485">
        <w:rPr>
          <w:rStyle w:val="default"/>
          <w:rFonts w:cs="FrankRuehl" w:hint="cs"/>
          <w:rtl/>
        </w:rPr>
        <w:t xml:space="preserve">(להלן </w:t>
      </w:r>
      <w:r w:rsidRPr="005E1485">
        <w:rPr>
          <w:rStyle w:val="default"/>
          <w:rFonts w:cs="FrankRuehl"/>
          <w:rtl/>
        </w:rPr>
        <w:t>–</w:t>
      </w:r>
      <w:r w:rsidRPr="005E1485">
        <w:rPr>
          <w:rStyle w:val="default"/>
          <w:rFonts w:cs="FrankRuehl" w:hint="cs"/>
          <w:rtl/>
        </w:rPr>
        <w:t xml:space="preserve"> תקרת השכר)</w:t>
      </w:r>
      <w:r w:rsidR="00C37DAB">
        <w:rPr>
          <w:rStyle w:val="default"/>
          <w:rFonts w:cs="FrankRuehl" w:hint="cs"/>
          <w:rtl/>
        </w:rPr>
        <w:t>.</w:t>
      </w:r>
    </w:p>
    <w:p w14:paraId="14C4AE3C" w14:textId="77777777" w:rsidR="005E1485" w:rsidRDefault="005E1485" w:rsidP="005E1485">
      <w:pPr>
        <w:pStyle w:val="P00"/>
        <w:spacing w:before="72"/>
        <w:ind w:left="0" w:right="1134"/>
        <w:rPr>
          <w:rStyle w:val="default"/>
          <w:rFonts w:cs="FrankRuehl" w:hint="cs"/>
          <w:rtl/>
        </w:rPr>
      </w:pPr>
      <w:r w:rsidRPr="005E1485">
        <w:rPr>
          <w:rStyle w:val="default"/>
          <w:rFonts w:cs="FrankRuehl" w:hint="cs"/>
          <w:rtl/>
        </w:rPr>
        <w:pict w14:anchorId="7520C02F">
          <v:shape id="_x0000_s1342" type="#_x0000_t202" style="position:absolute;left:0;text-align:left;margin-left:470.25pt;margin-top:7.1pt;width:1in;height:11.2pt;z-index:251661824" filled="f" stroked="f">
            <v:textbox inset="1mm,0,1mm,0">
              <w:txbxContent>
                <w:p w14:paraId="08416999" w14:textId="77777777" w:rsidR="005E1485" w:rsidRDefault="005E1485" w:rsidP="005E1485">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ab/>
        <w:t>(</w:t>
      </w:r>
      <w:r w:rsidRPr="005E1485">
        <w:rPr>
          <w:rStyle w:val="default"/>
          <w:rFonts w:cs="FrankRuehl" w:hint="cs"/>
          <w:rtl/>
        </w:rPr>
        <w:t>ד)</w:t>
      </w:r>
      <w:r w:rsidRPr="005E1485">
        <w:rPr>
          <w:rStyle w:val="default"/>
          <w:rFonts w:cs="FrankRuehl" w:hint="cs"/>
          <w:rtl/>
        </w:rPr>
        <w:tab/>
        <w:t>שמאי מכריע המעסיק, במהלך רבעון, במשרה מלאה, שני שמאי מקרקעין, או שמאי מקרקעין הכשיר לכהן כשמאי מכריע ועונה על תנאי הכשירות שבסעיף 202(ה)(2) לחוק, רשאי לדרוש כי תקרת השכר באותו רבעון תעמוד על 420,000 שקלים חדשים</w:t>
      </w:r>
      <w:r>
        <w:rPr>
          <w:rStyle w:val="default"/>
          <w:rFonts w:cs="FrankRuehl" w:hint="cs"/>
          <w:rtl/>
        </w:rPr>
        <w:t>.</w:t>
      </w:r>
    </w:p>
    <w:p w14:paraId="585CDEBB" w14:textId="77777777" w:rsidR="005E1485" w:rsidRDefault="005E1485" w:rsidP="005E1485">
      <w:pPr>
        <w:pStyle w:val="P00"/>
        <w:spacing w:before="72"/>
        <w:ind w:left="0" w:right="1134"/>
        <w:rPr>
          <w:rStyle w:val="default"/>
          <w:rFonts w:cs="FrankRuehl" w:hint="cs"/>
          <w:rtl/>
        </w:rPr>
      </w:pPr>
      <w:r w:rsidRPr="005E1485">
        <w:rPr>
          <w:rStyle w:val="default"/>
          <w:rFonts w:cs="FrankRuehl" w:hint="cs"/>
          <w:rtl/>
        </w:rPr>
        <w:pict w14:anchorId="0479CF54">
          <v:shape id="_x0000_s1343" type="#_x0000_t202" style="position:absolute;left:0;text-align:left;margin-left:470.25pt;margin-top:7.1pt;width:1in;height:11.2pt;z-index:251662848" filled="f" stroked="f">
            <v:textbox inset="1mm,0,1mm,0">
              <w:txbxContent>
                <w:p w14:paraId="1980B9FA" w14:textId="77777777" w:rsidR="005E1485" w:rsidRDefault="005E1485" w:rsidP="005E1485">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ab/>
        <w:t>(</w:t>
      </w:r>
      <w:r w:rsidRPr="005E1485">
        <w:rPr>
          <w:rStyle w:val="default"/>
          <w:rFonts w:cs="FrankRuehl" w:hint="cs"/>
          <w:rtl/>
        </w:rPr>
        <w:t>ה)</w:t>
      </w:r>
      <w:r w:rsidRPr="005E1485">
        <w:rPr>
          <w:rStyle w:val="default"/>
          <w:rFonts w:cs="FrankRuehl" w:hint="cs"/>
          <w:rtl/>
        </w:rPr>
        <w:tab/>
        <w:t>היה השכר שצפוי להשתלם לשמאי מכריע בעד כל המחלוקות שהועברו להכרעתו ברבעון גבוה או נמוך מתקרת השכר, תפחת או תגדל, בהתאמה, תקרת השכר באחד או יותר מהרבעונים העוקבים של אותה שנה, ובלבד שסך כל השכר הצפוי להשתלם לו באותה שנה לא יעלה על מכפלת תקרת השכר בארבע</w:t>
      </w:r>
      <w:r>
        <w:rPr>
          <w:rStyle w:val="default"/>
          <w:rFonts w:cs="FrankRuehl" w:hint="cs"/>
          <w:rtl/>
        </w:rPr>
        <w:t>.</w:t>
      </w:r>
    </w:p>
    <w:p w14:paraId="7DD988D7" w14:textId="77777777" w:rsidR="005E1485" w:rsidRPr="0087635C" w:rsidRDefault="005E1485" w:rsidP="005E1485">
      <w:pPr>
        <w:pStyle w:val="P00"/>
        <w:spacing w:before="0"/>
        <w:ind w:left="0" w:right="1134"/>
        <w:rPr>
          <w:rStyle w:val="default"/>
          <w:rFonts w:cs="FrankRuehl" w:hint="cs"/>
          <w:vanish/>
          <w:color w:val="FF0000"/>
          <w:szCs w:val="20"/>
          <w:shd w:val="clear" w:color="auto" w:fill="FFFF99"/>
          <w:rtl/>
        </w:rPr>
      </w:pPr>
      <w:bookmarkStart w:id="3" w:name="Rov11"/>
      <w:r w:rsidRPr="0087635C">
        <w:rPr>
          <w:rStyle w:val="default"/>
          <w:rFonts w:cs="FrankRuehl" w:hint="cs"/>
          <w:vanish/>
          <w:color w:val="FF0000"/>
          <w:szCs w:val="20"/>
          <w:shd w:val="clear" w:color="auto" w:fill="FFFF99"/>
          <w:rtl/>
        </w:rPr>
        <w:t>מיום 1.4.2010</w:t>
      </w:r>
    </w:p>
    <w:p w14:paraId="1D63A94D" w14:textId="77777777" w:rsidR="005E1485" w:rsidRPr="0087635C" w:rsidRDefault="005E1485" w:rsidP="005E1485">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תק' תש"ע-2010</w:t>
      </w:r>
    </w:p>
    <w:p w14:paraId="1362B8EE" w14:textId="77777777" w:rsidR="005E1485" w:rsidRPr="0087635C" w:rsidRDefault="005E1485" w:rsidP="005E1485">
      <w:pPr>
        <w:pStyle w:val="P00"/>
        <w:spacing w:before="0"/>
        <w:ind w:left="0" w:right="1134"/>
        <w:rPr>
          <w:rStyle w:val="default"/>
          <w:rFonts w:cs="FrankRuehl" w:hint="cs"/>
          <w:vanish/>
          <w:szCs w:val="20"/>
          <w:shd w:val="clear" w:color="auto" w:fill="FFFF99"/>
          <w:rtl/>
        </w:rPr>
      </w:pPr>
      <w:hyperlink r:id="rId7" w:history="1">
        <w:r w:rsidRPr="0087635C">
          <w:rPr>
            <w:rStyle w:val="Hyperlink"/>
            <w:rFonts w:hint="cs"/>
            <w:vanish/>
            <w:szCs w:val="20"/>
            <w:shd w:val="clear" w:color="auto" w:fill="FFFF99"/>
            <w:rtl/>
          </w:rPr>
          <w:t>ק"ת תש"ע מס' 6922</w:t>
        </w:r>
      </w:hyperlink>
      <w:r w:rsidRPr="0087635C">
        <w:rPr>
          <w:rStyle w:val="default"/>
          <w:rFonts w:cs="FrankRuehl" w:hint="cs"/>
          <w:vanish/>
          <w:szCs w:val="20"/>
          <w:shd w:val="clear" w:color="auto" w:fill="FFFF99"/>
          <w:rtl/>
        </w:rPr>
        <w:t xml:space="preserve"> מיום 22.8.2010 עמ' 1556</w:t>
      </w:r>
    </w:p>
    <w:p w14:paraId="4D5D40A7" w14:textId="77777777" w:rsidR="005E1485" w:rsidRPr="0087635C" w:rsidRDefault="005E1485" w:rsidP="005E1485">
      <w:pPr>
        <w:pStyle w:val="P00"/>
        <w:ind w:left="0" w:right="1134"/>
        <w:rPr>
          <w:rStyle w:val="default"/>
          <w:rFonts w:cs="FrankRuehl" w:hint="cs"/>
          <w:vanish/>
          <w:sz w:val="22"/>
          <w:szCs w:val="22"/>
          <w:shd w:val="clear" w:color="auto" w:fill="FFFF99"/>
          <w:rtl/>
        </w:rPr>
      </w:pPr>
      <w:r w:rsidRPr="0087635C">
        <w:rPr>
          <w:rStyle w:val="default"/>
          <w:rFonts w:cs="FrankRuehl" w:hint="cs"/>
          <w:vanish/>
          <w:sz w:val="22"/>
          <w:szCs w:val="22"/>
          <w:shd w:val="clear" w:color="auto" w:fill="FFFF99"/>
          <w:rtl/>
        </w:rPr>
        <w:tab/>
        <w:t>(ג)</w:t>
      </w:r>
      <w:r w:rsidRPr="0087635C">
        <w:rPr>
          <w:rStyle w:val="default"/>
          <w:rFonts w:cs="FrankRuehl" w:hint="cs"/>
          <w:vanish/>
          <w:sz w:val="22"/>
          <w:szCs w:val="22"/>
          <w:shd w:val="clear" w:color="auto" w:fill="FFFF99"/>
          <w:rtl/>
        </w:rPr>
        <w:tab/>
        <w:t xml:space="preserve">היושב ראש לא ימנה שמאי מכריע מתוך רשימת השמאים המכריעים לצורך הכרעה במחלוקת, אם השכר שצפוי להשתלם לשמאי המכריע בעד הכרעה בכל המחלוקות שהועברו להכרעתו באותו רבעון עולה על 300,000 שקלים חדשים </w:t>
      </w:r>
      <w:r w:rsidRPr="0087635C">
        <w:rPr>
          <w:rStyle w:val="default"/>
          <w:rFonts w:cs="FrankRuehl" w:hint="cs"/>
          <w:vanish/>
          <w:sz w:val="22"/>
          <w:szCs w:val="22"/>
          <w:u w:val="single"/>
          <w:shd w:val="clear" w:color="auto" w:fill="FFFF99"/>
          <w:rtl/>
        </w:rPr>
        <w:t xml:space="preserve">(להלן </w:t>
      </w:r>
      <w:r w:rsidRPr="0087635C">
        <w:rPr>
          <w:rStyle w:val="default"/>
          <w:rFonts w:cs="FrankRuehl"/>
          <w:vanish/>
          <w:sz w:val="22"/>
          <w:szCs w:val="22"/>
          <w:u w:val="single"/>
          <w:shd w:val="clear" w:color="auto" w:fill="FFFF99"/>
          <w:rtl/>
        </w:rPr>
        <w:t>–</w:t>
      </w:r>
      <w:r w:rsidRPr="0087635C">
        <w:rPr>
          <w:rStyle w:val="default"/>
          <w:rFonts w:cs="FrankRuehl" w:hint="cs"/>
          <w:vanish/>
          <w:sz w:val="22"/>
          <w:szCs w:val="22"/>
          <w:u w:val="single"/>
          <w:shd w:val="clear" w:color="auto" w:fill="FFFF99"/>
          <w:rtl/>
        </w:rPr>
        <w:t xml:space="preserve"> תקרת השכר)</w:t>
      </w:r>
      <w:r w:rsidRPr="0087635C">
        <w:rPr>
          <w:rStyle w:val="default"/>
          <w:rFonts w:cs="FrankRuehl" w:hint="cs"/>
          <w:vanish/>
          <w:sz w:val="22"/>
          <w:szCs w:val="22"/>
          <w:shd w:val="clear" w:color="auto" w:fill="FFFF99"/>
          <w:rtl/>
        </w:rPr>
        <w:t>.</w:t>
      </w:r>
    </w:p>
    <w:p w14:paraId="0D86175F" w14:textId="77777777" w:rsidR="005E1485" w:rsidRPr="0087635C" w:rsidRDefault="005E1485" w:rsidP="005E1485">
      <w:pPr>
        <w:pStyle w:val="P00"/>
        <w:spacing w:before="0"/>
        <w:ind w:left="0" w:right="1134"/>
        <w:rPr>
          <w:rStyle w:val="default"/>
          <w:rFonts w:cs="FrankRuehl" w:hint="cs"/>
          <w:vanish/>
          <w:sz w:val="22"/>
          <w:szCs w:val="22"/>
          <w:shd w:val="clear" w:color="auto" w:fill="FFFF99"/>
          <w:rtl/>
        </w:rPr>
      </w:pPr>
      <w:r w:rsidRPr="0087635C">
        <w:rPr>
          <w:rStyle w:val="default"/>
          <w:rFonts w:cs="FrankRuehl" w:hint="cs"/>
          <w:vanish/>
          <w:sz w:val="22"/>
          <w:szCs w:val="22"/>
          <w:shd w:val="clear" w:color="auto" w:fill="FFFF99"/>
          <w:rtl/>
        </w:rPr>
        <w:tab/>
      </w:r>
      <w:r w:rsidRPr="0087635C">
        <w:rPr>
          <w:rStyle w:val="default"/>
          <w:rFonts w:cs="FrankRuehl" w:hint="cs"/>
          <w:vanish/>
          <w:sz w:val="22"/>
          <w:szCs w:val="22"/>
          <w:u w:val="single"/>
          <w:shd w:val="clear" w:color="auto" w:fill="FFFF99"/>
          <w:rtl/>
        </w:rPr>
        <w:t>(ד)</w:t>
      </w:r>
      <w:r w:rsidRPr="0087635C">
        <w:rPr>
          <w:rStyle w:val="default"/>
          <w:rFonts w:cs="FrankRuehl" w:hint="cs"/>
          <w:vanish/>
          <w:sz w:val="22"/>
          <w:szCs w:val="22"/>
          <w:u w:val="single"/>
          <w:shd w:val="clear" w:color="auto" w:fill="FFFF99"/>
          <w:rtl/>
        </w:rPr>
        <w:tab/>
        <w:t>שמאי מכריע המעסיק, במהלך רבעון, במשרה מלאה, שני שמאי מקרקעין, או שמאי מקרקעין הכשיר לכהן כשמאי מכריע ועונה על תנאי הכשירות שבסעיף 202(ה)(2) לחוק, רשאי לדרוש כי תקרת השכר באותו רבעון תעמוד על 420,000 שקלים חדשים.</w:t>
      </w:r>
    </w:p>
    <w:p w14:paraId="6C3B3CAC" w14:textId="77777777" w:rsidR="005E1485" w:rsidRPr="005E1485" w:rsidRDefault="005E1485" w:rsidP="005E1485">
      <w:pPr>
        <w:pStyle w:val="P00"/>
        <w:spacing w:before="0"/>
        <w:ind w:left="0" w:right="1134"/>
        <w:rPr>
          <w:rStyle w:val="default"/>
          <w:rFonts w:cs="FrankRuehl" w:hint="cs"/>
          <w:sz w:val="2"/>
          <w:szCs w:val="2"/>
          <w:rtl/>
        </w:rPr>
      </w:pPr>
      <w:r w:rsidRPr="0087635C">
        <w:rPr>
          <w:rStyle w:val="default"/>
          <w:rFonts w:cs="FrankRuehl" w:hint="cs"/>
          <w:vanish/>
          <w:sz w:val="22"/>
          <w:szCs w:val="22"/>
          <w:shd w:val="clear" w:color="auto" w:fill="FFFF99"/>
          <w:rtl/>
        </w:rPr>
        <w:tab/>
      </w:r>
      <w:r w:rsidRPr="0087635C">
        <w:rPr>
          <w:rStyle w:val="default"/>
          <w:rFonts w:cs="FrankRuehl" w:hint="cs"/>
          <w:vanish/>
          <w:sz w:val="22"/>
          <w:szCs w:val="22"/>
          <w:u w:val="single"/>
          <w:shd w:val="clear" w:color="auto" w:fill="FFFF99"/>
          <w:rtl/>
        </w:rPr>
        <w:t>(ה)</w:t>
      </w:r>
      <w:r w:rsidRPr="0087635C">
        <w:rPr>
          <w:rStyle w:val="default"/>
          <w:rFonts w:cs="FrankRuehl" w:hint="cs"/>
          <w:vanish/>
          <w:sz w:val="22"/>
          <w:szCs w:val="22"/>
          <w:u w:val="single"/>
          <w:shd w:val="clear" w:color="auto" w:fill="FFFF99"/>
          <w:rtl/>
        </w:rPr>
        <w:tab/>
        <w:t>היה השכר שצפוי להשתלם לשמאי מכריע בעד כל המחלוקות שהועברו להכרעתו ברבעון גבוה או נמוך מתקרת השכר, תפחת או תגדל, בהתאמה, תקרת השכר באחד או יותר מהרבעונים העוקבים של אותה שנה, ובלבד שסך כל השכר הצפוי להשתלם לו באותה שנה לא יעלה על מכפלת תקרת השכר בארבע.</w:t>
      </w:r>
      <w:bookmarkEnd w:id="3"/>
    </w:p>
    <w:p w14:paraId="37939649" w14:textId="77777777" w:rsidR="007A7DBB" w:rsidRDefault="007A7DBB" w:rsidP="00C37DAB">
      <w:pPr>
        <w:pStyle w:val="P00"/>
        <w:spacing w:before="72"/>
        <w:ind w:left="0" w:right="1134"/>
        <w:rPr>
          <w:rStyle w:val="default"/>
          <w:rFonts w:cs="FrankRuehl" w:hint="cs"/>
          <w:rtl/>
        </w:rPr>
      </w:pPr>
      <w:bookmarkStart w:id="4" w:name="Seif3"/>
      <w:bookmarkEnd w:id="4"/>
      <w:r>
        <w:rPr>
          <w:lang w:val="he-IL"/>
        </w:rPr>
        <w:pict w14:anchorId="50136D8E">
          <v:rect id="_x0000_s1294" style="position:absolute;left:0;text-align:left;margin-left:464.5pt;margin-top:8.05pt;width:75.05pt;height:12.4pt;z-index:251652608" o:allowincell="f" filled="f" stroked="f" strokecolor="lime" strokeweight=".25pt">
            <v:textbox style="mso-next-textbox:#_x0000_s1294" inset="0,0,0,0">
              <w:txbxContent>
                <w:p w14:paraId="70B34EA7" w14:textId="77777777" w:rsidR="002A0431" w:rsidRDefault="002A0431" w:rsidP="007A7DBB">
                  <w:pPr>
                    <w:spacing w:line="160" w:lineRule="exact"/>
                    <w:jc w:val="left"/>
                    <w:rPr>
                      <w:rFonts w:cs="Miriam" w:hint="cs"/>
                      <w:szCs w:val="18"/>
                      <w:rtl/>
                    </w:rPr>
                  </w:pPr>
                  <w:r>
                    <w:rPr>
                      <w:rFonts w:cs="Miriam" w:hint="cs"/>
                      <w:szCs w:val="18"/>
                      <w:rtl/>
                    </w:rPr>
                    <w:t>שכר חריג</w:t>
                  </w:r>
                </w:p>
              </w:txbxContent>
            </v:textbox>
            <w10:anchorlock/>
          </v:rect>
        </w:pict>
      </w:r>
      <w:r>
        <w:rPr>
          <w:rStyle w:val="big-number"/>
          <w:rFonts w:hint="cs"/>
          <w:rtl/>
        </w:rPr>
        <w:t>3</w:t>
      </w:r>
      <w:r>
        <w:rPr>
          <w:rStyle w:val="default"/>
          <w:rFonts w:cs="FrankRuehl"/>
          <w:rtl/>
        </w:rPr>
        <w:t>.</w:t>
      </w:r>
      <w:r>
        <w:rPr>
          <w:rStyle w:val="default"/>
          <w:rFonts w:cs="FrankRuehl"/>
          <w:rtl/>
        </w:rPr>
        <w:tab/>
      </w:r>
      <w:r w:rsidR="00C37DAB">
        <w:rPr>
          <w:rStyle w:val="default"/>
          <w:rFonts w:cs="FrankRuehl" w:hint="cs"/>
          <w:rtl/>
        </w:rPr>
        <w:t>(א)</w:t>
      </w:r>
      <w:r w:rsidR="00C37DAB">
        <w:rPr>
          <w:rStyle w:val="default"/>
          <w:rFonts w:cs="FrankRuehl" w:hint="cs"/>
          <w:rtl/>
        </w:rPr>
        <w:tab/>
        <w:t xml:space="preserve">היושב ראש רשאי להורות, לבקשת אחד הצדדים או השמאי המכריע, ובהתקיים נסיבות מיוחדות, כי שכרו של שמאי מכריע יהיה גבוה יותר או נמוך יותר מהשכר המחושב לפי תקנה 2 (להלן </w:t>
      </w:r>
      <w:r w:rsidR="00C37DAB">
        <w:rPr>
          <w:rStyle w:val="default"/>
          <w:rFonts w:cs="FrankRuehl"/>
          <w:rtl/>
        </w:rPr>
        <w:t>–</w:t>
      </w:r>
      <w:r w:rsidR="00C37DAB">
        <w:rPr>
          <w:rStyle w:val="default"/>
          <w:rFonts w:cs="FrankRuehl" w:hint="cs"/>
          <w:rtl/>
        </w:rPr>
        <w:t xml:space="preserve"> שכר חריג), וזאת לאחר שנתן לצדדים ולשמאי המכריע הזדמנות להשמיע את טענותיהם בעניין, ונימק את החלטתו; בתקנה זו, "נסיבות מיוחדות" </w:t>
      </w:r>
      <w:r w:rsidR="00C37DAB">
        <w:rPr>
          <w:rStyle w:val="default"/>
          <w:rFonts w:cs="FrankRuehl"/>
          <w:rtl/>
        </w:rPr>
        <w:t>–</w:t>
      </w:r>
      <w:r w:rsidR="00C37DAB">
        <w:rPr>
          <w:rStyle w:val="default"/>
          <w:rFonts w:cs="FrankRuehl" w:hint="cs"/>
          <w:rtl/>
        </w:rPr>
        <w:t xml:space="preserve"> מורכבות הסוגיות הטעונות הכרעה במחלוקת או פשטותן, קיומה של הכרעה קודמת בבקשה שפרטיה דומים או איחוד דיונים כאמור בתקנה 10 לתקנות סדרי הדין.</w:t>
      </w:r>
    </w:p>
    <w:p w14:paraId="33F9357A" w14:textId="77777777" w:rsidR="00C37DAB" w:rsidRDefault="00C37DAB" w:rsidP="00C37D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המוגשת ליושב ראש לפי תקנת משנה (א) תוגש בתוך 7 ימים מיום הגשת תשובת המשיבים לבקשה או מהיום הקבוע להגשתה, כאמור בתקנה 5 לתקנות סדרי הדין, או בתוך 7 ימים מיום שהחליט השמאי המכריע על איחוד דיונים כאמור בתקנה 10 לתקנות סדרי </w:t>
      </w:r>
      <w:r>
        <w:rPr>
          <w:rStyle w:val="default"/>
          <w:rFonts w:cs="FrankRuehl" w:hint="cs"/>
          <w:rtl/>
        </w:rPr>
        <w:lastRenderedPageBreak/>
        <w:t>הדין.</w:t>
      </w:r>
    </w:p>
    <w:p w14:paraId="7A8563AE" w14:textId="77777777" w:rsidR="00C37DAB" w:rsidRDefault="00C37DAB" w:rsidP="00C37D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75440">
        <w:rPr>
          <w:rStyle w:val="default"/>
          <w:rFonts w:cs="FrankRuehl" w:hint="cs"/>
          <w:rtl/>
        </w:rPr>
        <w:t>הורה היושב ראש על מתן שכר חריג לשמאי מכריע, יודיע לשמאי המכריע ולצדדים על גובה שכרו בסמוך להעברת הבקשה בעניין לטיפולו.</w:t>
      </w:r>
    </w:p>
    <w:p w14:paraId="6A4E0CA9" w14:textId="77777777" w:rsidR="00275440" w:rsidRDefault="00275440" w:rsidP="00C37DA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הוועדה המייעצת תמנה שלושה מחבריה שיכהנו בוועדת משנה להשגות לעניין קביעת שכר חריג (להלן </w:t>
      </w:r>
      <w:r>
        <w:rPr>
          <w:rStyle w:val="default"/>
          <w:rFonts w:cs="FrankRuehl"/>
          <w:rtl/>
        </w:rPr>
        <w:t>–</w:t>
      </w:r>
      <w:r>
        <w:rPr>
          <w:rStyle w:val="default"/>
          <w:rFonts w:cs="FrankRuehl" w:hint="cs"/>
          <w:rtl/>
        </w:rPr>
        <w:t xml:space="preserve"> ועדת המשנה להשגות); היושב ראש לא יהיה חבר בוועדת המשנה להשגות.</w:t>
      </w:r>
    </w:p>
    <w:p w14:paraId="4F489260" w14:textId="77777777" w:rsidR="00275440" w:rsidRDefault="00275440" w:rsidP="00C37DA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החלטתו של היושב ראש לפי תקנת משנה (א) ניתן להשיג לפני ועדת המשנה להשגות, בתוך 7 ימים מיום שהודיע היושב ראש על מתן שכר חריג כאמור בתקנת משנה (ג); ועדת המשנה להשגות תכריע בהשגה ותודיע על החלטתה לצדדים ולשמאי המכריע בתוך 14 ימים מיום הגשת ההשגה.</w:t>
      </w:r>
    </w:p>
    <w:p w14:paraId="2E2444B1" w14:textId="77777777" w:rsidR="00275440" w:rsidRDefault="00275440" w:rsidP="00C37DA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החלטות היושב ראש וועדת המשנה להשגות כאמור בתקנה זו יהיו מנומקות ויפורסמו באתר האינטרנט של משרד המשפטים.</w:t>
      </w:r>
    </w:p>
    <w:p w14:paraId="406C0FA5" w14:textId="77777777" w:rsidR="00C37DAB" w:rsidRDefault="00C37DAB" w:rsidP="00275440">
      <w:pPr>
        <w:pStyle w:val="P00"/>
        <w:spacing w:before="72"/>
        <w:ind w:left="0" w:right="1134"/>
        <w:rPr>
          <w:rStyle w:val="default"/>
          <w:rFonts w:cs="FrankRuehl" w:hint="cs"/>
          <w:rtl/>
        </w:rPr>
      </w:pPr>
      <w:bookmarkStart w:id="5" w:name="Seif4"/>
      <w:bookmarkEnd w:id="5"/>
      <w:r>
        <w:rPr>
          <w:lang w:val="he-IL"/>
        </w:rPr>
        <w:pict w14:anchorId="145EC897">
          <v:rect id="_x0000_s1334" style="position:absolute;left:0;text-align:left;margin-left:464.5pt;margin-top:8.05pt;width:75.05pt;height:12.4pt;z-index:251653632" o:allowincell="f" filled="f" stroked="f" strokecolor="lime" strokeweight=".25pt">
            <v:textbox style="mso-next-textbox:#_x0000_s1334" inset="0,0,0,0">
              <w:txbxContent>
                <w:p w14:paraId="45828324" w14:textId="77777777" w:rsidR="002A0431" w:rsidRDefault="002A0431" w:rsidP="00C37DAB">
                  <w:pPr>
                    <w:spacing w:line="160" w:lineRule="exact"/>
                    <w:jc w:val="left"/>
                    <w:rPr>
                      <w:rFonts w:cs="Miriam" w:hint="cs"/>
                      <w:szCs w:val="18"/>
                      <w:rtl/>
                    </w:rPr>
                  </w:pPr>
                  <w:r>
                    <w:rPr>
                      <w:rFonts w:cs="Miriam" w:hint="cs"/>
                      <w:szCs w:val="18"/>
                      <w:rtl/>
                    </w:rPr>
                    <w:t>מלוא השכר</w:t>
                  </w:r>
                </w:p>
              </w:txbxContent>
            </v:textbox>
            <w10:anchorlock/>
          </v:rect>
        </w:pict>
      </w:r>
      <w:r w:rsidR="00275440">
        <w:rPr>
          <w:rStyle w:val="big-number"/>
          <w:rFonts w:hint="cs"/>
          <w:rtl/>
        </w:rPr>
        <w:t>4</w:t>
      </w:r>
      <w:r>
        <w:rPr>
          <w:rStyle w:val="default"/>
          <w:rFonts w:cs="FrankRuehl"/>
          <w:rtl/>
        </w:rPr>
        <w:t>.</w:t>
      </w:r>
      <w:r>
        <w:rPr>
          <w:rStyle w:val="default"/>
          <w:rFonts w:cs="FrankRuehl"/>
          <w:rtl/>
        </w:rPr>
        <w:tab/>
      </w:r>
      <w:r w:rsidR="00275440">
        <w:rPr>
          <w:rStyle w:val="default"/>
          <w:rFonts w:cs="FrankRuehl" w:hint="cs"/>
          <w:rtl/>
        </w:rPr>
        <w:t>שכרו של שמאי מכריע המחושב לפי תקנה 2 או שנקבע לפי תקנה 3 יהווה את מלוא השכר ולא יתווספו לו תשלומים נוספים מאת הצדדים, למעט תשלום בעבור המצאת מידע שהמצאתו כרוכה בהוצאות מיוחדות כאמור בתקנה 19(א) לתקנות סדרי הדין.</w:t>
      </w:r>
    </w:p>
    <w:p w14:paraId="0CA10283" w14:textId="77777777" w:rsidR="00C37DAB" w:rsidRDefault="00C37DAB" w:rsidP="00815E5C">
      <w:pPr>
        <w:pStyle w:val="P00"/>
        <w:spacing w:before="72"/>
        <w:ind w:left="0" w:right="1134"/>
        <w:rPr>
          <w:rStyle w:val="default"/>
          <w:rFonts w:cs="FrankRuehl" w:hint="cs"/>
          <w:rtl/>
        </w:rPr>
      </w:pPr>
      <w:bookmarkStart w:id="6" w:name="Seif5"/>
      <w:bookmarkEnd w:id="6"/>
      <w:r>
        <w:rPr>
          <w:lang w:val="he-IL"/>
        </w:rPr>
        <w:pict w14:anchorId="134200D4">
          <v:rect id="_x0000_s1335" style="position:absolute;left:0;text-align:left;margin-left:464.5pt;margin-top:8.05pt;width:75.05pt;height:25.7pt;z-index:251654656" o:allowincell="f" filled="f" stroked="f" strokecolor="lime" strokeweight=".25pt">
            <v:textbox style="mso-next-textbox:#_x0000_s1335" inset="0,0,0,0">
              <w:txbxContent>
                <w:p w14:paraId="527C999D" w14:textId="77777777" w:rsidR="002A0431" w:rsidRDefault="002A0431" w:rsidP="00C37DAB">
                  <w:pPr>
                    <w:spacing w:line="160" w:lineRule="exact"/>
                    <w:jc w:val="left"/>
                    <w:rPr>
                      <w:rFonts w:cs="Miriam" w:hint="cs"/>
                      <w:szCs w:val="18"/>
                      <w:rtl/>
                    </w:rPr>
                  </w:pPr>
                  <w:r>
                    <w:rPr>
                      <w:rFonts w:cs="Miriam" w:hint="cs"/>
                      <w:szCs w:val="18"/>
                      <w:rtl/>
                    </w:rPr>
                    <w:t>שיעור ההשתתפות בשכרו של השמאי המכריע</w:t>
                  </w:r>
                </w:p>
              </w:txbxContent>
            </v:textbox>
            <w10:anchorlock/>
          </v:rect>
        </w:pict>
      </w:r>
      <w:r w:rsidR="00275440">
        <w:rPr>
          <w:rStyle w:val="big-number"/>
          <w:rFonts w:hint="cs"/>
          <w:rtl/>
        </w:rPr>
        <w:t>5</w:t>
      </w:r>
      <w:r>
        <w:rPr>
          <w:rStyle w:val="default"/>
          <w:rFonts w:cs="FrankRuehl"/>
          <w:rtl/>
        </w:rPr>
        <w:t>.</w:t>
      </w:r>
      <w:r>
        <w:rPr>
          <w:rStyle w:val="default"/>
          <w:rFonts w:cs="FrankRuehl"/>
          <w:rtl/>
        </w:rPr>
        <w:tab/>
      </w:r>
      <w:r w:rsidR="00815E5C">
        <w:rPr>
          <w:rStyle w:val="default"/>
          <w:rFonts w:cs="FrankRuehl" w:hint="cs"/>
          <w:rtl/>
        </w:rPr>
        <w:t>(א)</w:t>
      </w:r>
      <w:r w:rsidR="00815E5C">
        <w:rPr>
          <w:rStyle w:val="default"/>
          <w:rFonts w:cs="FrankRuehl" w:hint="cs"/>
          <w:rtl/>
        </w:rPr>
        <w:tab/>
        <w:t>המבקש והמשיב יישאו, כל אחד, במחצית שכרו של השמאי המכריע; היו כמה מבקשים או כמה משיבים, יישאו הם, בינם לבין עצמם, במחצית השכר כאמור, בחלקים שווים.</w:t>
      </w:r>
    </w:p>
    <w:p w14:paraId="17EA1FB4" w14:textId="77777777" w:rsidR="00815E5C" w:rsidRDefault="00815E5C" w:rsidP="00815E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השמאי המכריע רשאי להטיל את מלוא תשלום השכר על צד אחד, או להורות על חלוקה אחרת מזו המפורטת בתקנת משנה (א), בהתקיים הנסיבות האלה, כולן או חלקן:</w:t>
      </w:r>
    </w:p>
    <w:p w14:paraId="0BCEF424" w14:textId="77777777" w:rsidR="00815E5C" w:rsidRDefault="00815E5C" w:rsidP="002A04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התביעה או ההשבחה, לפי העניין, אינו סביר לאור הכרעות קודמות, הנחיות מקצועיות מקובלות וכיוצא באלה;</w:t>
      </w:r>
    </w:p>
    <w:p w14:paraId="1D78C1F3" w14:textId="77777777" w:rsidR="00815E5C" w:rsidRDefault="00815E5C" w:rsidP="002A04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A0431">
        <w:rPr>
          <w:rStyle w:val="default"/>
          <w:rFonts w:cs="FrankRuehl" w:hint="cs"/>
          <w:rtl/>
        </w:rPr>
        <w:t>הבקשה היא טורדנית או קנטרנית;</w:t>
      </w:r>
    </w:p>
    <w:p w14:paraId="3CB55BF2" w14:textId="77777777" w:rsidR="002A0431" w:rsidRDefault="002A0431" w:rsidP="002A04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תוצאות ההכרעה במחלוקת הן באופן מובהק לטובת אחד הצדדים;</w:t>
      </w:r>
    </w:p>
    <w:p w14:paraId="1495367F" w14:textId="77777777" w:rsidR="002A0431" w:rsidRDefault="002A0431" w:rsidP="002A04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נוכח מצבו הכלכלי, מתקשה המבקש לשלם את שכרו של השמאי המכריע, כולו או חלקו; לעניין בחינת הקושי בתשלום כאמור, יבחן השמאי המכריע את זכאותו של המבקש להנחה מסכום הארנונה הכללית, לפי תקנה 2(8) לתקנות ההסדרים במשק המדינה (הנחה מארנונה), התשנ"ג-1993.</w:t>
      </w:r>
    </w:p>
    <w:p w14:paraId="3B5868F9" w14:textId="77777777" w:rsidR="00C37DAB" w:rsidRDefault="00C37DAB" w:rsidP="002A0431">
      <w:pPr>
        <w:pStyle w:val="P00"/>
        <w:spacing w:before="72"/>
        <w:ind w:left="0" w:right="1134"/>
        <w:rPr>
          <w:rStyle w:val="default"/>
          <w:rFonts w:cs="FrankRuehl" w:hint="cs"/>
          <w:rtl/>
        </w:rPr>
      </w:pPr>
      <w:bookmarkStart w:id="7" w:name="Seif6"/>
      <w:bookmarkEnd w:id="7"/>
      <w:r>
        <w:rPr>
          <w:lang w:val="he-IL"/>
        </w:rPr>
        <w:pict w14:anchorId="662692CA">
          <v:rect id="_x0000_s1336" style="position:absolute;left:0;text-align:left;margin-left:464.5pt;margin-top:8.05pt;width:75.05pt;height:23.95pt;z-index:251655680" o:allowincell="f" filled="f" stroked="f" strokecolor="lime" strokeweight=".25pt">
            <v:textbox style="mso-next-textbox:#_x0000_s1336" inset="0,0,0,0">
              <w:txbxContent>
                <w:p w14:paraId="7C5DC626" w14:textId="77777777" w:rsidR="002A0431" w:rsidRDefault="002A0431" w:rsidP="00C37DAB">
                  <w:pPr>
                    <w:spacing w:line="160" w:lineRule="exact"/>
                    <w:jc w:val="left"/>
                    <w:rPr>
                      <w:rFonts w:cs="Miriam" w:hint="cs"/>
                      <w:szCs w:val="18"/>
                      <w:rtl/>
                    </w:rPr>
                  </w:pPr>
                  <w:r>
                    <w:rPr>
                      <w:rFonts w:cs="Miriam" w:hint="cs"/>
                      <w:szCs w:val="18"/>
                      <w:rtl/>
                    </w:rPr>
                    <w:t>הודעה על גובה שכרו של השמאי המכריע</w:t>
                  </w:r>
                </w:p>
              </w:txbxContent>
            </v:textbox>
            <w10:anchorlock/>
          </v:rect>
        </w:pict>
      </w:r>
      <w:r w:rsidR="002A0431">
        <w:rPr>
          <w:rStyle w:val="big-number"/>
          <w:rFonts w:hint="cs"/>
          <w:rtl/>
        </w:rPr>
        <w:t>6</w:t>
      </w:r>
      <w:r>
        <w:rPr>
          <w:rStyle w:val="default"/>
          <w:rFonts w:cs="FrankRuehl"/>
          <w:rtl/>
        </w:rPr>
        <w:t>.</w:t>
      </w:r>
      <w:r>
        <w:rPr>
          <w:rStyle w:val="default"/>
          <w:rFonts w:cs="FrankRuehl"/>
          <w:rtl/>
        </w:rPr>
        <w:tab/>
      </w:r>
      <w:r w:rsidR="002A0431">
        <w:rPr>
          <w:rStyle w:val="default"/>
          <w:rFonts w:cs="FrankRuehl" w:hint="cs"/>
          <w:rtl/>
        </w:rPr>
        <w:t>(א)</w:t>
      </w:r>
      <w:r w:rsidR="002A0431">
        <w:rPr>
          <w:rStyle w:val="default"/>
          <w:rFonts w:cs="FrankRuehl" w:hint="cs"/>
          <w:rtl/>
        </w:rPr>
        <w:tab/>
        <w:t xml:space="preserve">קיבל השמאי המכריע הודעה מהיושב ראש על מינויו, יודיע השמאי המכריע לצדדים, בתוך שבעה ימים, מהו גובה שכרו לפי תקנה 2, ורשאי הוא לדרוש מהצדדים לשלם רבע משכרו מיד לאחר קבלת ההודעה; על התשלום יחול סעיף 5(ב) לחוק פסיקת ריבית והצמדה, התשכ"א-1961 (להלן </w:t>
      </w:r>
      <w:r w:rsidR="002A0431">
        <w:rPr>
          <w:rStyle w:val="default"/>
          <w:rFonts w:cs="FrankRuehl"/>
          <w:rtl/>
        </w:rPr>
        <w:t>–</w:t>
      </w:r>
      <w:r w:rsidR="002A0431">
        <w:rPr>
          <w:rStyle w:val="default"/>
          <w:rFonts w:cs="FrankRuehl" w:hint="cs"/>
          <w:rtl/>
        </w:rPr>
        <w:t xml:space="preserve"> חוק פסיקת ריבית).</w:t>
      </w:r>
    </w:p>
    <w:p w14:paraId="49BFF332" w14:textId="77777777" w:rsidR="002A0431" w:rsidRDefault="002A0431" w:rsidP="002A04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קיבלו השמאי המכריע והצדדים הודעה מהיושב ראש או מוועדת המשנה להשגות, לפי העניין, על מתן שכר חריג כאמור בתקנה 3, רשאי כל צד שהסכמתו להתדיין לפני השמאי המכריע נדרשת, להודיע בתוך שבעה ימים מקבלת הודעת היושב ראש או ועדת המשנה להשגות (להלן </w:t>
      </w:r>
      <w:r>
        <w:rPr>
          <w:rStyle w:val="default"/>
          <w:rFonts w:cs="FrankRuehl"/>
          <w:rtl/>
        </w:rPr>
        <w:t>–</w:t>
      </w:r>
      <w:r>
        <w:rPr>
          <w:rStyle w:val="default"/>
          <w:rFonts w:cs="FrankRuehl" w:hint="cs"/>
          <w:rtl/>
        </w:rPr>
        <w:t xml:space="preserve"> המועד להודיע), כי אינו מעוניין להמשיך את ההליך לפני השמאי המכריע בשל השכר החריג שנקבע; לא הודיע כאמור, יראו את הצדדים כאילו הם מסכימים לתשלום השכר החריג, ורשאי השמאי המכריע לדרוש מהצדדים לשלם רבע משכרו החריג, או להשלים את תשלום שכרו כאמור, אם שולם שכר כאמור בתקנת משנה (א), מיד לאחר חלוף המועד להודיע.</w:t>
      </w:r>
    </w:p>
    <w:p w14:paraId="63E19DBA" w14:textId="77777777" w:rsidR="002A0431" w:rsidRDefault="002A0431" w:rsidP="002A04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81299">
        <w:rPr>
          <w:rStyle w:val="default"/>
          <w:rFonts w:cs="FrankRuehl" w:hint="cs"/>
          <w:rtl/>
        </w:rPr>
        <w:t>יתרת שכרו של השמאי המכריע תשולם במועד קבלת ההודעה על קבלת ההחלטה של השמאי המכריע; על התשלום יחול סעיף 5(ב) לחוק פסיקת ריבית.</w:t>
      </w:r>
    </w:p>
    <w:p w14:paraId="616CDD3B" w14:textId="77777777" w:rsidR="00881299" w:rsidRDefault="00881299" w:rsidP="002A04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צד כי הצד שכנגד איננו משלם לשמאי המכריע את שכרו, לרבות אי תשלום השכר כפי שצוין בהודעות לפי תקנת משנה (א) או (ב), בתוך 30 ימים מיום קבלת דרישת השמאי המכריע, רשאי הוא לשלם לשמאי המכריע את יתרת השכר שלה הוא זכאי לפי תקנות אלה ואשר טרם שולמה, ולהיפרע בשל תשלום זה מהצד שכנגד; על תשלום ששילם צד כאמור יחול סעיף 5(ב) לחוק פסיקת ריבית.</w:t>
      </w:r>
    </w:p>
    <w:p w14:paraId="28701985" w14:textId="77777777" w:rsidR="00C37DAB" w:rsidRDefault="00C37DAB" w:rsidP="00881299">
      <w:pPr>
        <w:pStyle w:val="P00"/>
        <w:spacing w:before="72"/>
        <w:ind w:left="0" w:right="1134"/>
        <w:rPr>
          <w:rStyle w:val="default"/>
          <w:rFonts w:cs="FrankRuehl" w:hint="cs"/>
          <w:rtl/>
        </w:rPr>
      </w:pPr>
      <w:bookmarkStart w:id="8" w:name="Seif7"/>
      <w:bookmarkEnd w:id="8"/>
      <w:r>
        <w:rPr>
          <w:lang w:val="he-IL"/>
        </w:rPr>
        <w:pict w14:anchorId="70DA3E0D">
          <v:rect id="_x0000_s1337" style="position:absolute;left:0;text-align:left;margin-left:464.5pt;margin-top:8.05pt;width:75.05pt;height:12.4pt;z-index:251656704" o:allowincell="f" filled="f" stroked="f" strokecolor="lime" strokeweight=".25pt">
            <v:textbox style="mso-next-textbox:#_x0000_s1337" inset="0,0,0,0">
              <w:txbxContent>
                <w:p w14:paraId="04899F3D" w14:textId="77777777" w:rsidR="002A0431" w:rsidRDefault="00881299" w:rsidP="00C37DAB">
                  <w:pPr>
                    <w:spacing w:line="160" w:lineRule="exact"/>
                    <w:jc w:val="left"/>
                    <w:rPr>
                      <w:rFonts w:cs="Miriam" w:hint="cs"/>
                      <w:szCs w:val="18"/>
                      <w:rtl/>
                    </w:rPr>
                  </w:pPr>
                  <w:r>
                    <w:rPr>
                      <w:rFonts w:cs="Miriam" w:hint="cs"/>
                      <w:szCs w:val="18"/>
                      <w:rtl/>
                    </w:rPr>
                    <w:t>שכר שמאי מייעץ</w:t>
                  </w:r>
                </w:p>
              </w:txbxContent>
            </v:textbox>
            <w10:anchorlock/>
          </v:rect>
        </w:pict>
      </w:r>
      <w:r w:rsidR="00881299">
        <w:rPr>
          <w:rStyle w:val="big-number"/>
          <w:rFonts w:hint="cs"/>
          <w:rtl/>
        </w:rPr>
        <w:t>7</w:t>
      </w:r>
      <w:r>
        <w:rPr>
          <w:rStyle w:val="default"/>
          <w:rFonts w:cs="FrankRuehl"/>
          <w:rtl/>
        </w:rPr>
        <w:t>.</w:t>
      </w:r>
      <w:r>
        <w:rPr>
          <w:rStyle w:val="default"/>
          <w:rFonts w:cs="FrankRuehl"/>
          <w:rtl/>
        </w:rPr>
        <w:tab/>
      </w:r>
      <w:r w:rsidR="00881299">
        <w:rPr>
          <w:rStyle w:val="default"/>
          <w:rFonts w:cs="FrankRuehl" w:hint="cs"/>
          <w:rtl/>
        </w:rPr>
        <w:t>(א)</w:t>
      </w:r>
      <w:r w:rsidR="00881299">
        <w:rPr>
          <w:rStyle w:val="default"/>
          <w:rFonts w:cs="FrankRuehl" w:hint="cs"/>
          <w:rtl/>
        </w:rPr>
        <w:tab/>
        <w:t>תקנות אלה יחולו, בשינויים המחויבים, גם על שכרו של שמאי מייעץ כהגדרתו בסעיף 198(ו)(2) לחוק.</w:t>
      </w:r>
    </w:p>
    <w:p w14:paraId="6F8FCB2C" w14:textId="77777777" w:rsidR="00881299" w:rsidRDefault="00881299" w:rsidP="008812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שמאי מייעץ שנתבקש להגיש לוועדת הערר לפיצויים ולהיטל השבחה חוות דעת בכתב בעניין מסוים הנוגע לערר, ולא בנוגע למכלול הסוגיות הכרוכות במחלוקת, יחול השכר שיקבע יושב ראש ועדת הערר לפיצויים והיטל השבחה; ואולם לעניין חוות דעת כאמור, המתייחסת למחלוקת אחת, לא יעלה השכר על 10,000 שקלים חדשים, ולא יפחת מ-2,000 שקלים חדשים.</w:t>
      </w:r>
    </w:p>
    <w:p w14:paraId="7A72383D" w14:textId="77777777" w:rsidR="00C37DAB" w:rsidRDefault="00C37DAB" w:rsidP="00881299">
      <w:pPr>
        <w:pStyle w:val="P00"/>
        <w:spacing w:before="72"/>
        <w:ind w:left="0" w:right="1134"/>
        <w:rPr>
          <w:rStyle w:val="default"/>
          <w:rFonts w:cs="FrankRuehl" w:hint="cs"/>
          <w:rtl/>
        </w:rPr>
      </w:pPr>
      <w:bookmarkStart w:id="9" w:name="Seif8"/>
      <w:bookmarkEnd w:id="9"/>
      <w:r>
        <w:rPr>
          <w:lang w:val="he-IL"/>
        </w:rPr>
        <w:pict w14:anchorId="7F8B5D6C">
          <v:rect id="_x0000_s1338" style="position:absolute;left:0;text-align:left;margin-left:464.5pt;margin-top:8.05pt;width:75.05pt;height:24.4pt;z-index:251657728" o:allowincell="f" filled="f" stroked="f" strokecolor="lime" strokeweight=".25pt">
            <v:textbox style="mso-next-textbox:#_x0000_s1338" inset="0,0,0,0">
              <w:txbxContent>
                <w:p w14:paraId="0E680169" w14:textId="77777777" w:rsidR="002A0431" w:rsidRDefault="00881299" w:rsidP="00C37DAB">
                  <w:pPr>
                    <w:spacing w:line="160" w:lineRule="exact"/>
                    <w:jc w:val="left"/>
                    <w:rPr>
                      <w:rFonts w:cs="Miriam" w:hint="cs"/>
                      <w:szCs w:val="18"/>
                      <w:rtl/>
                    </w:rPr>
                  </w:pPr>
                  <w:r>
                    <w:rPr>
                      <w:rFonts w:cs="Miriam" w:hint="cs"/>
                      <w:szCs w:val="18"/>
                      <w:rtl/>
                    </w:rPr>
                    <w:t>שכר שמאי מכריע שהפסיק את טיפולו</w:t>
                  </w:r>
                </w:p>
              </w:txbxContent>
            </v:textbox>
            <w10:anchorlock/>
          </v:rect>
        </w:pict>
      </w:r>
      <w:r w:rsidR="00881299">
        <w:rPr>
          <w:rStyle w:val="big-number"/>
          <w:rFonts w:hint="cs"/>
          <w:rtl/>
        </w:rPr>
        <w:t>8</w:t>
      </w:r>
      <w:r>
        <w:rPr>
          <w:rStyle w:val="default"/>
          <w:rFonts w:cs="FrankRuehl"/>
          <w:rtl/>
        </w:rPr>
        <w:t>.</w:t>
      </w:r>
      <w:r>
        <w:rPr>
          <w:rStyle w:val="default"/>
          <w:rFonts w:cs="FrankRuehl"/>
          <w:rtl/>
        </w:rPr>
        <w:tab/>
      </w:r>
      <w:r w:rsidR="00881299">
        <w:rPr>
          <w:rStyle w:val="default"/>
          <w:rFonts w:cs="FrankRuehl" w:hint="cs"/>
          <w:rtl/>
        </w:rPr>
        <w:t>הועבר עניין שלפני השמאי המכריע לשמאי מכריע אחר כאמור בסעיף 202י לחוק, או הודיע צד שאין הוא מעוניין להמשיך את ההליך לפני השמאי המכריע כאמור בתקנה 6(ב), רשאי היושב ראש, לבקשת אחד הצדדים או לבקשת השמאי המכריע, לקבוע אם השמאי המכריע זכאי לשכר ואם כן, את שיעורו, ורשאי הוא להורות על החזרת סכומים ששולמו לשמאי המכריע על חשבון שכרו, ככל ששולמו.</w:t>
      </w:r>
    </w:p>
    <w:p w14:paraId="0AE473AD" w14:textId="77777777" w:rsidR="00C37DAB" w:rsidRDefault="00C37DAB" w:rsidP="00881299">
      <w:pPr>
        <w:pStyle w:val="P00"/>
        <w:spacing w:before="72"/>
        <w:ind w:left="0" w:right="1134"/>
        <w:rPr>
          <w:rStyle w:val="default"/>
          <w:rFonts w:cs="FrankRuehl" w:hint="cs"/>
          <w:rtl/>
        </w:rPr>
      </w:pPr>
      <w:bookmarkStart w:id="10" w:name="Seif9"/>
      <w:bookmarkEnd w:id="10"/>
      <w:r>
        <w:rPr>
          <w:lang w:val="he-IL"/>
        </w:rPr>
        <w:pict w14:anchorId="208BFD3C">
          <v:rect id="_x0000_s1339" style="position:absolute;left:0;text-align:left;margin-left:464.5pt;margin-top:8.05pt;width:75.05pt;height:12.4pt;z-index:251658752" o:allowincell="f" filled="f" stroked="f" strokecolor="lime" strokeweight=".25pt">
            <v:textbox style="mso-next-textbox:#_x0000_s1339" inset="0,0,0,0">
              <w:txbxContent>
                <w:p w14:paraId="7AA88EC9" w14:textId="77777777" w:rsidR="002A0431" w:rsidRDefault="00881299" w:rsidP="00C37DAB">
                  <w:pPr>
                    <w:spacing w:line="160" w:lineRule="exact"/>
                    <w:jc w:val="left"/>
                    <w:rPr>
                      <w:rFonts w:cs="Miriam" w:hint="cs"/>
                      <w:szCs w:val="18"/>
                      <w:rtl/>
                    </w:rPr>
                  </w:pPr>
                  <w:r>
                    <w:rPr>
                      <w:rFonts w:cs="Miriam" w:hint="cs"/>
                      <w:szCs w:val="18"/>
                      <w:rtl/>
                    </w:rPr>
                    <w:t>תוספת מס ערך מוסף</w:t>
                  </w:r>
                </w:p>
              </w:txbxContent>
            </v:textbox>
            <w10:anchorlock/>
          </v:rect>
        </w:pict>
      </w:r>
      <w:r w:rsidR="00881299">
        <w:rPr>
          <w:rStyle w:val="big-number"/>
          <w:rFonts w:hint="cs"/>
          <w:rtl/>
        </w:rPr>
        <w:t>9</w:t>
      </w:r>
      <w:r>
        <w:rPr>
          <w:rStyle w:val="default"/>
          <w:rFonts w:cs="FrankRuehl"/>
          <w:rtl/>
        </w:rPr>
        <w:t>.</w:t>
      </w:r>
      <w:r>
        <w:rPr>
          <w:rStyle w:val="default"/>
          <w:rFonts w:cs="FrankRuehl"/>
          <w:rtl/>
        </w:rPr>
        <w:tab/>
      </w:r>
      <w:r w:rsidR="00881299">
        <w:rPr>
          <w:rStyle w:val="default"/>
          <w:rFonts w:cs="FrankRuehl" w:hint="cs"/>
          <w:rtl/>
        </w:rPr>
        <w:t>על שכר כאמור בתקנות אלה ייווסף מס ערך מוסף לפי חוק מס ערך מוסף, התשל"ו-1975.</w:t>
      </w:r>
    </w:p>
    <w:p w14:paraId="79365C88" w14:textId="77777777" w:rsidR="00C37DAB" w:rsidRDefault="00C37DAB" w:rsidP="0087635C">
      <w:pPr>
        <w:pStyle w:val="P00"/>
        <w:spacing w:before="72"/>
        <w:ind w:left="0" w:right="1134"/>
        <w:rPr>
          <w:rStyle w:val="default"/>
          <w:rFonts w:cs="FrankRuehl" w:hint="cs"/>
          <w:rtl/>
        </w:rPr>
      </w:pPr>
      <w:bookmarkStart w:id="11" w:name="Seif10"/>
      <w:bookmarkEnd w:id="11"/>
      <w:r>
        <w:rPr>
          <w:lang w:val="he-IL"/>
        </w:rPr>
        <w:pict w14:anchorId="357EAA29">
          <v:rect id="_x0000_s1340" style="position:absolute;left:0;text-align:left;margin-left:464.5pt;margin-top:8.05pt;width:75.05pt;height:12.4pt;z-index:251659776" o:allowincell="f" filled="f" stroked="f" strokecolor="lime" strokeweight=".25pt">
            <v:textbox style="mso-next-textbox:#_x0000_s1340" inset="0,0,0,0">
              <w:txbxContent>
                <w:p w14:paraId="39E7A7CB" w14:textId="77777777" w:rsidR="002A0431" w:rsidRDefault="0087635C" w:rsidP="00C37DAB">
                  <w:pPr>
                    <w:spacing w:line="160" w:lineRule="exact"/>
                    <w:jc w:val="left"/>
                    <w:rPr>
                      <w:rFonts w:cs="Miriam" w:hint="cs"/>
                      <w:szCs w:val="18"/>
                      <w:rtl/>
                    </w:rPr>
                  </w:pPr>
                  <w:r>
                    <w:rPr>
                      <w:rFonts w:cs="Miriam" w:hint="cs"/>
                      <w:szCs w:val="18"/>
                      <w:rtl/>
                    </w:rPr>
                    <w:t>תק' תשע"א-2011</w:t>
                  </w:r>
                </w:p>
              </w:txbxContent>
            </v:textbox>
            <w10:anchorlock/>
          </v:rect>
        </w:pict>
      </w:r>
      <w:r w:rsidR="00881299">
        <w:rPr>
          <w:rStyle w:val="big-number"/>
          <w:rFonts w:hint="cs"/>
          <w:rtl/>
        </w:rPr>
        <w:t>10</w:t>
      </w:r>
      <w:r>
        <w:rPr>
          <w:rStyle w:val="default"/>
          <w:rFonts w:cs="FrankRuehl"/>
          <w:rtl/>
        </w:rPr>
        <w:t>.</w:t>
      </w:r>
      <w:r>
        <w:rPr>
          <w:rStyle w:val="default"/>
          <w:rFonts w:cs="FrankRuehl"/>
          <w:rtl/>
        </w:rPr>
        <w:tab/>
      </w:r>
      <w:r w:rsidR="0087635C">
        <w:rPr>
          <w:rStyle w:val="default"/>
          <w:rFonts w:cs="FrankRuehl" w:hint="cs"/>
          <w:rtl/>
        </w:rPr>
        <w:t>(בוטלה)</w:t>
      </w:r>
      <w:r w:rsidR="009F6ABE">
        <w:rPr>
          <w:rStyle w:val="default"/>
          <w:rFonts w:cs="FrankRuehl" w:hint="cs"/>
          <w:rtl/>
        </w:rPr>
        <w:t>.</w:t>
      </w:r>
    </w:p>
    <w:p w14:paraId="3588BF73" w14:textId="77777777" w:rsidR="0087635C" w:rsidRPr="0087635C" w:rsidRDefault="0087635C" w:rsidP="0087635C">
      <w:pPr>
        <w:pStyle w:val="P00"/>
        <w:spacing w:before="0"/>
        <w:ind w:left="0" w:right="1134"/>
        <w:rPr>
          <w:rStyle w:val="default"/>
          <w:rFonts w:cs="FrankRuehl" w:hint="cs"/>
          <w:vanish/>
          <w:color w:val="FF0000"/>
          <w:szCs w:val="20"/>
          <w:shd w:val="clear" w:color="auto" w:fill="FFFF99"/>
          <w:rtl/>
        </w:rPr>
      </w:pPr>
      <w:bookmarkStart w:id="12" w:name="Rov14"/>
      <w:r w:rsidRPr="0087635C">
        <w:rPr>
          <w:rStyle w:val="default"/>
          <w:rFonts w:cs="FrankRuehl" w:hint="cs"/>
          <w:vanish/>
          <w:color w:val="FF0000"/>
          <w:szCs w:val="20"/>
          <w:shd w:val="clear" w:color="auto" w:fill="FFFF99"/>
          <w:rtl/>
        </w:rPr>
        <w:t>מיום 17.3.2011</w:t>
      </w:r>
    </w:p>
    <w:p w14:paraId="5A2563EF" w14:textId="77777777" w:rsidR="0087635C" w:rsidRPr="0087635C" w:rsidRDefault="0087635C" w:rsidP="0087635C">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תק' תשע"א-2011</w:t>
      </w:r>
    </w:p>
    <w:p w14:paraId="6777BAC3" w14:textId="77777777" w:rsidR="0087635C" w:rsidRPr="0087635C" w:rsidRDefault="0087635C" w:rsidP="0087635C">
      <w:pPr>
        <w:pStyle w:val="P00"/>
        <w:spacing w:before="0"/>
        <w:ind w:left="0" w:right="1134"/>
        <w:rPr>
          <w:rStyle w:val="default"/>
          <w:rFonts w:cs="FrankRuehl" w:hint="cs"/>
          <w:vanish/>
          <w:szCs w:val="20"/>
          <w:shd w:val="clear" w:color="auto" w:fill="FFFF99"/>
          <w:rtl/>
        </w:rPr>
      </w:pPr>
      <w:hyperlink r:id="rId8" w:history="1">
        <w:r w:rsidRPr="0087635C">
          <w:rPr>
            <w:rStyle w:val="Hyperlink"/>
            <w:rFonts w:hint="cs"/>
            <w:vanish/>
            <w:szCs w:val="20"/>
            <w:shd w:val="clear" w:color="auto" w:fill="FFFF99"/>
            <w:rtl/>
          </w:rPr>
          <w:t>ק"ת תשע"א מס' 6986</w:t>
        </w:r>
      </w:hyperlink>
      <w:r w:rsidRPr="0087635C">
        <w:rPr>
          <w:rStyle w:val="default"/>
          <w:rFonts w:cs="FrankRuehl" w:hint="cs"/>
          <w:vanish/>
          <w:szCs w:val="20"/>
          <w:shd w:val="clear" w:color="auto" w:fill="FFFF99"/>
          <w:rtl/>
        </w:rPr>
        <w:t xml:space="preserve"> מיום 17.3.2011 עמ' 804</w:t>
      </w:r>
    </w:p>
    <w:p w14:paraId="7744BD1A" w14:textId="77777777" w:rsidR="0087635C" w:rsidRPr="0087635C" w:rsidRDefault="0087635C" w:rsidP="0087635C">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ביטול תקנה 10</w:t>
      </w:r>
    </w:p>
    <w:p w14:paraId="23178EBA" w14:textId="77777777" w:rsidR="0087635C" w:rsidRPr="0087635C" w:rsidRDefault="0087635C" w:rsidP="0087635C">
      <w:pPr>
        <w:pStyle w:val="P00"/>
        <w:ind w:left="0" w:right="1134"/>
        <w:rPr>
          <w:rStyle w:val="default"/>
          <w:rFonts w:cs="FrankRuehl" w:hint="cs"/>
          <w:vanish/>
          <w:szCs w:val="20"/>
          <w:shd w:val="clear" w:color="auto" w:fill="FFFF99"/>
          <w:rtl/>
        </w:rPr>
      </w:pPr>
      <w:r w:rsidRPr="0087635C">
        <w:rPr>
          <w:rStyle w:val="default"/>
          <w:rFonts w:cs="FrankRuehl" w:hint="cs"/>
          <w:vanish/>
          <w:szCs w:val="20"/>
          <w:shd w:val="clear" w:color="auto" w:fill="FFFF99"/>
          <w:rtl/>
        </w:rPr>
        <w:t>הנוסח הקודם:</w:t>
      </w:r>
    </w:p>
    <w:p w14:paraId="59CB27D9" w14:textId="77777777" w:rsidR="0087635C" w:rsidRPr="0087635C" w:rsidRDefault="0087635C" w:rsidP="0087635C">
      <w:pPr>
        <w:pStyle w:val="P00"/>
        <w:spacing w:before="20"/>
        <w:ind w:left="0" w:right="1134"/>
        <w:rPr>
          <w:rStyle w:val="big-number"/>
          <w:rFonts w:hint="cs"/>
          <w:strike/>
          <w:vanish/>
          <w:sz w:val="16"/>
          <w:szCs w:val="16"/>
          <w:shd w:val="clear" w:color="auto" w:fill="FFFF99"/>
          <w:rtl/>
        </w:rPr>
      </w:pPr>
      <w:r w:rsidRPr="0087635C">
        <w:rPr>
          <w:rStyle w:val="big-number"/>
          <w:rFonts w:hint="cs"/>
          <w:strike/>
          <w:vanish/>
          <w:sz w:val="16"/>
          <w:szCs w:val="16"/>
          <w:shd w:val="clear" w:color="auto" w:fill="FFFF99"/>
          <w:rtl/>
        </w:rPr>
        <w:t>תחולה</w:t>
      </w:r>
    </w:p>
    <w:p w14:paraId="61C48519" w14:textId="77777777" w:rsidR="0087635C" w:rsidRPr="0087635C" w:rsidRDefault="0087635C" w:rsidP="0087635C">
      <w:pPr>
        <w:pStyle w:val="P00"/>
        <w:spacing w:before="0"/>
        <w:ind w:left="0" w:right="1134"/>
        <w:rPr>
          <w:rStyle w:val="default"/>
          <w:rFonts w:cs="FrankRuehl" w:hint="cs"/>
          <w:strike/>
          <w:sz w:val="2"/>
          <w:szCs w:val="2"/>
          <w:rtl/>
        </w:rPr>
      </w:pPr>
      <w:r w:rsidRPr="0087635C">
        <w:rPr>
          <w:rStyle w:val="big-number"/>
          <w:rFonts w:cs="FrankRuehl" w:hint="cs"/>
          <w:strike/>
          <w:vanish/>
          <w:sz w:val="22"/>
          <w:szCs w:val="22"/>
          <w:shd w:val="clear" w:color="auto" w:fill="FFFF99"/>
          <w:rtl/>
        </w:rPr>
        <w:t>10</w:t>
      </w:r>
      <w:r w:rsidRPr="0087635C">
        <w:rPr>
          <w:rStyle w:val="default"/>
          <w:rFonts w:cs="FrankRuehl"/>
          <w:strike/>
          <w:vanish/>
          <w:sz w:val="22"/>
          <w:szCs w:val="22"/>
          <w:shd w:val="clear" w:color="auto" w:fill="FFFF99"/>
          <w:rtl/>
        </w:rPr>
        <w:t>.</w:t>
      </w:r>
      <w:r w:rsidRPr="0087635C">
        <w:rPr>
          <w:rStyle w:val="default"/>
          <w:rFonts w:cs="FrankRuehl"/>
          <w:strike/>
          <w:vanish/>
          <w:sz w:val="22"/>
          <w:szCs w:val="22"/>
          <w:shd w:val="clear" w:color="auto" w:fill="FFFF99"/>
          <w:rtl/>
        </w:rPr>
        <w:tab/>
      </w:r>
      <w:r w:rsidRPr="0087635C">
        <w:rPr>
          <w:rStyle w:val="default"/>
          <w:rFonts w:cs="FrankRuehl" w:hint="cs"/>
          <w:strike/>
          <w:vanish/>
          <w:sz w:val="22"/>
          <w:szCs w:val="22"/>
          <w:shd w:val="clear" w:color="auto" w:fill="FFFF99"/>
          <w:rtl/>
        </w:rPr>
        <w:t xml:space="preserve">תקנות אלה יחולו לגבי בקשות למינוי שמאי מכריע או שמאי מייעץ שהוגשו ליושב ראש לפי סעיף 198(ה)(1) לחוק או סעיף 14(ב)(1) לתוספת השלישית לחוק, עד שנתיים מיום תחילתו של חוק התכנון והבניה (תיקון מס' 84 והוראת שעה), התשס"ח-2008 (להלן </w:t>
      </w:r>
      <w:r w:rsidRPr="0087635C">
        <w:rPr>
          <w:rStyle w:val="default"/>
          <w:rFonts w:cs="FrankRuehl"/>
          <w:strike/>
          <w:vanish/>
          <w:sz w:val="22"/>
          <w:szCs w:val="22"/>
          <w:shd w:val="clear" w:color="auto" w:fill="FFFF99"/>
          <w:rtl/>
        </w:rPr>
        <w:t>–</w:t>
      </w:r>
      <w:r w:rsidRPr="0087635C">
        <w:rPr>
          <w:rStyle w:val="default"/>
          <w:rFonts w:cs="FrankRuehl" w:hint="cs"/>
          <w:strike/>
          <w:vanish/>
          <w:sz w:val="22"/>
          <w:szCs w:val="22"/>
          <w:shd w:val="clear" w:color="auto" w:fill="FFFF99"/>
          <w:rtl/>
        </w:rPr>
        <w:t xml:space="preserve"> המועד הקובע); ואולם אם לא הותקנו תקנות אחרות במקום תקנות אלה עד למועד הקובע, יעמדו תקנות אלה בתוקפן למשך שלושה חודשים נוספים לאחר המועד הקובע.</w:t>
      </w:r>
      <w:bookmarkEnd w:id="12"/>
    </w:p>
    <w:p w14:paraId="4B33050B" w14:textId="77777777" w:rsidR="00B45F6B" w:rsidRDefault="00B45F6B">
      <w:pPr>
        <w:pStyle w:val="P00"/>
        <w:spacing w:before="72"/>
        <w:ind w:left="0" w:right="1134"/>
        <w:rPr>
          <w:rStyle w:val="default"/>
          <w:rFonts w:cs="FrankRuehl" w:hint="cs"/>
          <w:rtl/>
        </w:rPr>
      </w:pPr>
    </w:p>
    <w:p w14:paraId="7F556596" w14:textId="77777777" w:rsidR="00C37DAB" w:rsidRPr="005E1485" w:rsidRDefault="006116E5" w:rsidP="005E1485">
      <w:pPr>
        <w:pStyle w:val="P00"/>
        <w:spacing w:before="72"/>
        <w:ind w:left="0" w:right="1134"/>
        <w:jc w:val="center"/>
        <w:rPr>
          <w:rStyle w:val="default"/>
          <w:rFonts w:cs="FrankRuehl" w:hint="cs"/>
          <w:b/>
          <w:bCs/>
          <w:rtl/>
        </w:rPr>
      </w:pPr>
      <w:r>
        <w:rPr>
          <w:rFonts w:hint="cs"/>
          <w:b/>
          <w:bCs/>
          <w:rtl/>
          <w:lang w:eastAsia="en-US"/>
        </w:rPr>
        <w:pict w14:anchorId="5752A5AF">
          <v:shape id="_x0000_s1344" type="#_x0000_t202" style="position:absolute;left:0;text-align:left;margin-left:470.25pt;margin-top:7.1pt;width:1in;height:11.2pt;z-index:251663872" filled="f" stroked="f">
            <v:textbox inset="1mm,0,1mm,0">
              <w:txbxContent>
                <w:p w14:paraId="62277F22" w14:textId="77777777" w:rsidR="006116E5" w:rsidRDefault="006116E5" w:rsidP="0087635C">
                  <w:pPr>
                    <w:spacing w:line="160" w:lineRule="exact"/>
                    <w:jc w:val="left"/>
                    <w:rPr>
                      <w:rFonts w:cs="Miriam" w:hint="cs"/>
                      <w:szCs w:val="18"/>
                      <w:rtl/>
                    </w:rPr>
                  </w:pPr>
                  <w:r>
                    <w:rPr>
                      <w:rFonts w:cs="Miriam" w:hint="cs"/>
                      <w:szCs w:val="18"/>
                      <w:rtl/>
                    </w:rPr>
                    <w:t xml:space="preserve">תק' </w:t>
                  </w:r>
                  <w:r w:rsidR="0087635C">
                    <w:rPr>
                      <w:rFonts w:cs="Miriam" w:hint="cs"/>
                      <w:szCs w:val="18"/>
                      <w:rtl/>
                    </w:rPr>
                    <w:t>תשע"א-2011</w:t>
                  </w:r>
                </w:p>
              </w:txbxContent>
            </v:textbox>
            <w10:anchorlock/>
          </v:shape>
        </w:pict>
      </w:r>
      <w:r w:rsidR="000E0046" w:rsidRPr="005E1485">
        <w:rPr>
          <w:rStyle w:val="default"/>
          <w:rFonts w:cs="FrankRuehl" w:hint="cs"/>
          <w:b/>
          <w:bCs/>
          <w:rtl/>
        </w:rPr>
        <w:t>תוספת</w:t>
      </w:r>
    </w:p>
    <w:p w14:paraId="0A272F98" w14:textId="77777777" w:rsidR="000E0046" w:rsidRPr="005E1485" w:rsidRDefault="000E0046" w:rsidP="005E1485">
      <w:pPr>
        <w:pStyle w:val="P00"/>
        <w:spacing w:before="72"/>
        <w:ind w:left="0" w:right="1134"/>
        <w:jc w:val="center"/>
        <w:rPr>
          <w:rStyle w:val="default"/>
          <w:rFonts w:cs="FrankRuehl" w:hint="cs"/>
          <w:sz w:val="24"/>
          <w:szCs w:val="24"/>
          <w:rtl/>
        </w:rPr>
      </w:pPr>
      <w:r w:rsidRPr="005E1485">
        <w:rPr>
          <w:rStyle w:val="default"/>
          <w:rFonts w:cs="FrankRuehl" w:hint="cs"/>
          <w:sz w:val="24"/>
          <w:szCs w:val="24"/>
          <w:rtl/>
        </w:rPr>
        <w:t>(תקנה 2(א))</w:t>
      </w:r>
    </w:p>
    <w:p w14:paraId="1C5996B0" w14:textId="77777777" w:rsidR="000E0046" w:rsidRPr="005135A9" w:rsidRDefault="000E0046" w:rsidP="0087635C">
      <w:pPr>
        <w:pStyle w:val="P00"/>
        <w:tabs>
          <w:tab w:val="clear" w:pos="624"/>
          <w:tab w:val="clear" w:pos="1021"/>
          <w:tab w:val="clear" w:pos="1474"/>
          <w:tab w:val="clear" w:pos="1928"/>
          <w:tab w:val="clear" w:pos="2381"/>
          <w:tab w:val="clear" w:pos="2835"/>
          <w:tab w:val="clear" w:pos="6259"/>
          <w:tab w:val="center" w:pos="2268"/>
          <w:tab w:val="center" w:pos="5840"/>
        </w:tabs>
        <w:spacing w:before="72"/>
        <w:ind w:left="0" w:right="2268"/>
        <w:rPr>
          <w:rStyle w:val="default"/>
          <w:rFonts w:cs="FrankRuehl" w:hint="cs"/>
          <w:sz w:val="22"/>
          <w:szCs w:val="22"/>
          <w:rtl/>
        </w:rPr>
      </w:pPr>
      <w:r w:rsidRPr="005135A9">
        <w:rPr>
          <w:rStyle w:val="default"/>
          <w:rFonts w:cs="FrankRuehl" w:hint="cs"/>
          <w:sz w:val="22"/>
          <w:szCs w:val="22"/>
          <w:rtl/>
        </w:rPr>
        <w:tab/>
      </w:r>
      <w:r w:rsidRPr="006116E5">
        <w:rPr>
          <w:rStyle w:val="default"/>
          <w:rFonts w:cs="FrankRuehl" w:hint="cs"/>
          <w:sz w:val="22"/>
          <w:szCs w:val="22"/>
          <w:rtl/>
        </w:rPr>
        <w:t>טור א'</w:t>
      </w:r>
    </w:p>
    <w:p w14:paraId="33F6A7D1" w14:textId="77777777" w:rsidR="000E0046" w:rsidRPr="005135A9" w:rsidRDefault="000E0046" w:rsidP="0087635C">
      <w:pPr>
        <w:pStyle w:val="P00"/>
        <w:tabs>
          <w:tab w:val="clear" w:pos="624"/>
          <w:tab w:val="clear" w:pos="1021"/>
          <w:tab w:val="clear" w:pos="1474"/>
          <w:tab w:val="clear" w:pos="1928"/>
          <w:tab w:val="clear" w:pos="2381"/>
          <w:tab w:val="clear" w:pos="2835"/>
          <w:tab w:val="clear" w:pos="6259"/>
          <w:tab w:val="center" w:pos="2268"/>
          <w:tab w:val="left" w:pos="4706"/>
          <w:tab w:val="center" w:pos="5840"/>
        </w:tabs>
        <w:spacing w:before="0"/>
        <w:ind w:left="0" w:right="2268"/>
        <w:rPr>
          <w:rStyle w:val="default"/>
          <w:rFonts w:cs="FrankRuehl" w:hint="cs"/>
          <w:sz w:val="22"/>
          <w:szCs w:val="22"/>
          <w:rtl/>
        </w:rPr>
      </w:pPr>
      <w:r w:rsidRPr="0087635C">
        <w:rPr>
          <w:rStyle w:val="default"/>
          <w:rFonts w:cs="FrankRuehl" w:hint="cs"/>
          <w:sz w:val="22"/>
          <w:szCs w:val="22"/>
          <w:u w:val="single"/>
          <w:rtl/>
        </w:rPr>
        <w:tab/>
        <w:t>סכום התביעה או ההשבחה בשקלים חדשים</w:t>
      </w:r>
      <w:r w:rsidR="0087635C" w:rsidRPr="0087635C">
        <w:rPr>
          <w:rStyle w:val="default"/>
          <w:rFonts w:cs="FrankRuehl" w:hint="cs"/>
          <w:sz w:val="22"/>
          <w:szCs w:val="22"/>
          <w:u w:val="single"/>
          <w:rtl/>
        </w:rPr>
        <w:tab/>
      </w:r>
      <w:r w:rsidR="0087635C">
        <w:rPr>
          <w:rStyle w:val="default"/>
          <w:rFonts w:cs="FrankRuehl" w:hint="cs"/>
          <w:sz w:val="22"/>
          <w:szCs w:val="22"/>
          <w:rtl/>
        </w:rPr>
        <w:tab/>
        <w:t>טור ב'</w:t>
      </w:r>
    </w:p>
    <w:p w14:paraId="1890DA84" w14:textId="77777777" w:rsidR="000E0046" w:rsidRPr="005135A9" w:rsidRDefault="000E0046" w:rsidP="0087635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686"/>
          <w:tab w:val="center" w:pos="5840"/>
        </w:tabs>
        <w:spacing w:before="72"/>
        <w:ind w:left="0" w:right="2268"/>
        <w:rPr>
          <w:rStyle w:val="default"/>
          <w:rFonts w:cs="FrankRuehl" w:hint="cs"/>
          <w:sz w:val="22"/>
          <w:szCs w:val="22"/>
          <w:rtl/>
        </w:rPr>
      </w:pPr>
      <w:r w:rsidRPr="005135A9">
        <w:rPr>
          <w:rStyle w:val="default"/>
          <w:rFonts w:cs="FrankRuehl" w:hint="cs"/>
          <w:sz w:val="22"/>
          <w:szCs w:val="22"/>
          <w:rtl/>
        </w:rPr>
        <w:tab/>
        <w:t xml:space="preserve">על חלק </w:t>
      </w:r>
      <w:r w:rsidR="006116E5">
        <w:rPr>
          <w:rStyle w:val="default"/>
          <w:rFonts w:cs="FrankRuehl" w:hint="cs"/>
          <w:sz w:val="22"/>
          <w:szCs w:val="22"/>
          <w:rtl/>
        </w:rPr>
        <w:t>הסכום העולה על</w:t>
      </w:r>
      <w:r w:rsidR="006116E5">
        <w:rPr>
          <w:rStyle w:val="default"/>
          <w:rFonts w:cs="FrankRuehl" w:hint="cs"/>
          <w:sz w:val="22"/>
          <w:szCs w:val="22"/>
          <w:rtl/>
        </w:rPr>
        <w:tab/>
        <w:t>על חלק הסכום שעד</w:t>
      </w:r>
      <w:r w:rsidR="0087635C">
        <w:rPr>
          <w:rStyle w:val="default"/>
          <w:rFonts w:cs="FrankRuehl" w:hint="cs"/>
          <w:sz w:val="22"/>
          <w:szCs w:val="22"/>
          <w:rtl/>
        </w:rPr>
        <w:tab/>
        <w:t>השכר</w:t>
      </w:r>
    </w:p>
    <w:p w14:paraId="081BA86A" w14:textId="77777777" w:rsidR="000E0046" w:rsidRDefault="000E0046" w:rsidP="0087635C">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hint="cs"/>
          <w:rtl/>
        </w:rPr>
        <w:t>0</w:t>
      </w:r>
      <w:r>
        <w:rPr>
          <w:rStyle w:val="default"/>
          <w:rFonts w:cs="FrankRuehl" w:hint="cs"/>
          <w:rtl/>
        </w:rPr>
        <w:tab/>
        <w:t>500,000</w:t>
      </w:r>
      <w:r>
        <w:rPr>
          <w:rStyle w:val="default"/>
          <w:rFonts w:cs="FrankRuehl" w:hint="cs"/>
          <w:rtl/>
        </w:rPr>
        <w:tab/>
      </w:r>
      <w:r w:rsidR="0087635C">
        <w:rPr>
          <w:rStyle w:val="default"/>
          <w:rFonts w:cs="FrankRuehl" w:hint="cs"/>
          <w:rtl/>
        </w:rPr>
        <w:t>3</w:t>
      </w:r>
      <w:r>
        <w:rPr>
          <w:rStyle w:val="default"/>
          <w:rFonts w:cs="FrankRuehl" w:hint="cs"/>
          <w:rtl/>
        </w:rPr>
        <w:t>%</w:t>
      </w:r>
    </w:p>
    <w:p w14:paraId="28188F4D" w14:textId="77777777" w:rsidR="000E0046" w:rsidRDefault="000E0046" w:rsidP="0087635C">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hint="cs"/>
          <w:rtl/>
        </w:rPr>
        <w:t>500,000</w:t>
      </w:r>
      <w:r>
        <w:rPr>
          <w:rStyle w:val="default"/>
          <w:rFonts w:cs="FrankRuehl" w:hint="cs"/>
          <w:rtl/>
        </w:rPr>
        <w:tab/>
        <w:t>1,000,000</w:t>
      </w:r>
      <w:r>
        <w:rPr>
          <w:rStyle w:val="default"/>
          <w:rFonts w:cs="FrankRuehl" w:hint="cs"/>
          <w:rtl/>
        </w:rPr>
        <w:tab/>
      </w:r>
      <w:r w:rsidR="0087635C">
        <w:rPr>
          <w:rStyle w:val="default"/>
          <w:rFonts w:cs="FrankRuehl" w:hint="cs"/>
          <w:rtl/>
        </w:rPr>
        <w:t>2</w:t>
      </w:r>
      <w:r>
        <w:rPr>
          <w:rStyle w:val="default"/>
          <w:rFonts w:cs="FrankRuehl" w:hint="cs"/>
          <w:rtl/>
        </w:rPr>
        <w:t>%</w:t>
      </w:r>
    </w:p>
    <w:p w14:paraId="513E3791" w14:textId="77777777" w:rsidR="000E0046" w:rsidRDefault="000E0046" w:rsidP="0087635C">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hint="cs"/>
          <w:rtl/>
        </w:rPr>
        <w:t>1,000,000</w:t>
      </w:r>
      <w:r>
        <w:rPr>
          <w:rStyle w:val="default"/>
          <w:rFonts w:cs="FrankRuehl" w:hint="cs"/>
          <w:rtl/>
        </w:rPr>
        <w:tab/>
      </w:r>
      <w:r w:rsidR="005135A9">
        <w:rPr>
          <w:rStyle w:val="default"/>
          <w:rFonts w:cs="FrankRuehl" w:hint="cs"/>
          <w:rtl/>
        </w:rPr>
        <w:t>2,000,000</w:t>
      </w:r>
      <w:r w:rsidR="005135A9">
        <w:rPr>
          <w:rStyle w:val="default"/>
          <w:rFonts w:cs="FrankRuehl" w:hint="cs"/>
          <w:rtl/>
        </w:rPr>
        <w:tab/>
      </w:r>
      <w:r w:rsidR="006116E5">
        <w:rPr>
          <w:rStyle w:val="default"/>
          <w:rFonts w:cs="FrankRuehl" w:hint="cs"/>
          <w:rtl/>
        </w:rPr>
        <w:t>1</w:t>
      </w:r>
      <w:r w:rsidR="005135A9">
        <w:rPr>
          <w:rStyle w:val="default"/>
          <w:rFonts w:cs="FrankRuehl" w:hint="cs"/>
          <w:rtl/>
        </w:rPr>
        <w:t>%</w:t>
      </w:r>
    </w:p>
    <w:p w14:paraId="5AE69129" w14:textId="77777777" w:rsidR="005135A9" w:rsidRDefault="005135A9" w:rsidP="006116E5">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rtl/>
        </w:rPr>
      </w:pPr>
      <w:r>
        <w:rPr>
          <w:rStyle w:val="default"/>
          <w:rFonts w:cs="FrankRuehl" w:hint="cs"/>
          <w:rtl/>
        </w:rPr>
        <w:t>2,000,000</w:t>
      </w:r>
      <w:r>
        <w:rPr>
          <w:rStyle w:val="default"/>
          <w:rFonts w:cs="FrankRuehl" w:hint="cs"/>
          <w:rtl/>
        </w:rPr>
        <w:tab/>
      </w:r>
      <w:r>
        <w:rPr>
          <w:rStyle w:val="default"/>
          <w:rFonts w:cs="FrankRuehl" w:hint="cs"/>
          <w:rtl/>
        </w:rPr>
        <w:tab/>
        <w:t>0.</w:t>
      </w:r>
      <w:r w:rsidR="006116E5">
        <w:rPr>
          <w:rStyle w:val="default"/>
          <w:rFonts w:cs="FrankRuehl" w:hint="cs"/>
          <w:rtl/>
        </w:rPr>
        <w:t>5</w:t>
      </w:r>
      <w:r>
        <w:rPr>
          <w:rStyle w:val="default"/>
          <w:rFonts w:cs="FrankRuehl" w:hint="cs"/>
          <w:rtl/>
        </w:rPr>
        <w:t>%</w:t>
      </w:r>
    </w:p>
    <w:p w14:paraId="5A5BC9C7" w14:textId="77777777" w:rsidR="005E1485" w:rsidRPr="0087635C" w:rsidRDefault="005E1485" w:rsidP="005E1485">
      <w:pPr>
        <w:pStyle w:val="P00"/>
        <w:spacing w:before="0"/>
        <w:ind w:left="0" w:right="1134"/>
        <w:rPr>
          <w:rStyle w:val="default"/>
          <w:rFonts w:cs="FrankRuehl" w:hint="cs"/>
          <w:vanish/>
          <w:color w:val="FF0000"/>
          <w:szCs w:val="20"/>
          <w:shd w:val="clear" w:color="auto" w:fill="FFFF99"/>
          <w:rtl/>
        </w:rPr>
      </w:pPr>
      <w:bookmarkStart w:id="13" w:name="Rov15"/>
      <w:r w:rsidRPr="0087635C">
        <w:rPr>
          <w:rStyle w:val="default"/>
          <w:rFonts w:cs="FrankRuehl" w:hint="cs"/>
          <w:vanish/>
          <w:color w:val="FF0000"/>
          <w:szCs w:val="20"/>
          <w:shd w:val="clear" w:color="auto" w:fill="FFFF99"/>
          <w:rtl/>
        </w:rPr>
        <w:t>מיום 1.4.2010</w:t>
      </w:r>
    </w:p>
    <w:p w14:paraId="0E58C91D" w14:textId="77777777" w:rsidR="005E1485" w:rsidRPr="0087635C" w:rsidRDefault="005E1485" w:rsidP="005E1485">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תק' תש"ע-2010</w:t>
      </w:r>
    </w:p>
    <w:p w14:paraId="7F280DA3" w14:textId="77777777" w:rsidR="005E1485" w:rsidRPr="0087635C" w:rsidRDefault="005E1485" w:rsidP="005E1485">
      <w:pPr>
        <w:pStyle w:val="P00"/>
        <w:spacing w:before="0"/>
        <w:ind w:left="0" w:right="1134"/>
        <w:rPr>
          <w:rStyle w:val="default"/>
          <w:rFonts w:cs="FrankRuehl" w:hint="cs"/>
          <w:vanish/>
          <w:szCs w:val="20"/>
          <w:shd w:val="clear" w:color="auto" w:fill="FFFF99"/>
          <w:rtl/>
        </w:rPr>
      </w:pPr>
      <w:hyperlink r:id="rId9" w:history="1">
        <w:r w:rsidRPr="0087635C">
          <w:rPr>
            <w:rStyle w:val="Hyperlink"/>
            <w:rFonts w:hint="cs"/>
            <w:vanish/>
            <w:szCs w:val="20"/>
            <w:shd w:val="clear" w:color="auto" w:fill="FFFF99"/>
            <w:rtl/>
          </w:rPr>
          <w:t>ק"ת תש"ע מס' 6922</w:t>
        </w:r>
      </w:hyperlink>
      <w:r w:rsidRPr="0087635C">
        <w:rPr>
          <w:rStyle w:val="default"/>
          <w:rFonts w:cs="FrankRuehl" w:hint="cs"/>
          <w:vanish/>
          <w:szCs w:val="20"/>
          <w:shd w:val="clear" w:color="auto" w:fill="FFFF99"/>
          <w:rtl/>
        </w:rPr>
        <w:t xml:space="preserve"> מיום 22.8.2010 עמ' 1556</w:t>
      </w:r>
    </w:p>
    <w:p w14:paraId="3EA01795" w14:textId="77777777" w:rsidR="0087635C" w:rsidRPr="0087635C" w:rsidRDefault="0087635C" w:rsidP="005E1485">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החלפת התוספת</w:t>
      </w:r>
    </w:p>
    <w:p w14:paraId="1EB5823A" w14:textId="77777777" w:rsidR="0087635C" w:rsidRPr="0087635C" w:rsidRDefault="0087635C" w:rsidP="006116E5">
      <w:pPr>
        <w:pStyle w:val="P00"/>
        <w:tabs>
          <w:tab w:val="clear" w:pos="624"/>
          <w:tab w:val="clear" w:pos="1021"/>
          <w:tab w:val="clear" w:pos="1474"/>
          <w:tab w:val="clear" w:pos="1928"/>
          <w:tab w:val="clear" w:pos="2381"/>
          <w:tab w:val="clear" w:pos="2835"/>
          <w:tab w:val="clear" w:pos="6259"/>
          <w:tab w:val="center" w:pos="2268"/>
          <w:tab w:val="center" w:pos="5840"/>
        </w:tabs>
        <w:ind w:left="0" w:right="1134"/>
        <w:rPr>
          <w:rStyle w:val="default"/>
          <w:rFonts w:cs="FrankRuehl" w:hint="cs"/>
          <w:vanish/>
          <w:szCs w:val="20"/>
          <w:shd w:val="clear" w:color="auto" w:fill="FFFF99"/>
          <w:rtl/>
        </w:rPr>
      </w:pPr>
      <w:r w:rsidRPr="0087635C">
        <w:rPr>
          <w:rStyle w:val="default"/>
          <w:rFonts w:cs="FrankRuehl" w:hint="cs"/>
          <w:vanish/>
          <w:szCs w:val="20"/>
          <w:shd w:val="clear" w:color="auto" w:fill="FFFF99"/>
          <w:rtl/>
        </w:rPr>
        <w:t>הנוסח הקודם:</w:t>
      </w:r>
    </w:p>
    <w:p w14:paraId="3451AF68" w14:textId="77777777" w:rsidR="006116E5" w:rsidRPr="0087635C" w:rsidRDefault="006116E5" w:rsidP="0087635C">
      <w:pPr>
        <w:pStyle w:val="P00"/>
        <w:tabs>
          <w:tab w:val="clear" w:pos="624"/>
          <w:tab w:val="clear" w:pos="1021"/>
          <w:tab w:val="clear" w:pos="1474"/>
          <w:tab w:val="clear" w:pos="1928"/>
          <w:tab w:val="clear" w:pos="2381"/>
          <w:tab w:val="clear" w:pos="2835"/>
          <w:tab w:val="clear" w:pos="6259"/>
          <w:tab w:val="center" w:pos="2268"/>
          <w:tab w:val="center" w:pos="5840"/>
        </w:tabs>
        <w:spacing w:before="0"/>
        <w:ind w:left="0" w:right="1134"/>
        <w:rPr>
          <w:rStyle w:val="default"/>
          <w:rFonts w:cs="FrankRuehl" w:hint="cs"/>
          <w:strike/>
          <w:vanish/>
          <w:szCs w:val="20"/>
          <w:shd w:val="clear" w:color="auto" w:fill="FFFF99"/>
          <w:rtl/>
        </w:rPr>
      </w:pPr>
      <w:r w:rsidRPr="0087635C">
        <w:rPr>
          <w:rStyle w:val="default"/>
          <w:rFonts w:cs="FrankRuehl" w:hint="cs"/>
          <w:vanish/>
          <w:szCs w:val="20"/>
          <w:shd w:val="clear" w:color="auto" w:fill="FFFF99"/>
          <w:rtl/>
        </w:rPr>
        <w:tab/>
      </w:r>
      <w:r w:rsidRPr="0087635C">
        <w:rPr>
          <w:rStyle w:val="default"/>
          <w:rFonts w:cs="FrankRuehl" w:hint="cs"/>
          <w:strike/>
          <w:vanish/>
          <w:szCs w:val="20"/>
          <w:u w:val="single"/>
          <w:shd w:val="clear" w:color="auto" w:fill="FFFF99"/>
          <w:rtl/>
        </w:rPr>
        <w:t>טור א'</w:t>
      </w:r>
      <w:r w:rsidRPr="0087635C">
        <w:rPr>
          <w:rStyle w:val="default"/>
          <w:rFonts w:cs="FrankRuehl" w:hint="cs"/>
          <w:strike/>
          <w:vanish/>
          <w:szCs w:val="20"/>
          <w:shd w:val="clear" w:color="auto" w:fill="FFFF99"/>
          <w:rtl/>
        </w:rPr>
        <w:tab/>
      </w:r>
      <w:r w:rsidRPr="0087635C">
        <w:rPr>
          <w:rStyle w:val="default"/>
          <w:rFonts w:cs="FrankRuehl" w:hint="cs"/>
          <w:strike/>
          <w:vanish/>
          <w:szCs w:val="20"/>
          <w:u w:val="single"/>
          <w:shd w:val="clear" w:color="auto" w:fill="FFFF99"/>
          <w:rtl/>
        </w:rPr>
        <w:t>טור ב'</w:t>
      </w:r>
    </w:p>
    <w:p w14:paraId="3CC2F56F" w14:textId="77777777" w:rsidR="006116E5" w:rsidRPr="0087635C" w:rsidRDefault="006116E5" w:rsidP="006116E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0" w:right="4253"/>
        <w:rPr>
          <w:rStyle w:val="default"/>
          <w:rFonts w:cs="FrankRuehl" w:hint="cs"/>
          <w:strike/>
          <w:vanish/>
          <w:szCs w:val="20"/>
          <w:shd w:val="clear" w:color="auto" w:fill="FFFF99"/>
          <w:rtl/>
        </w:rPr>
      </w:pPr>
      <w:r w:rsidRPr="0087635C">
        <w:rPr>
          <w:rStyle w:val="default"/>
          <w:rFonts w:cs="FrankRuehl" w:hint="cs"/>
          <w:vanish/>
          <w:szCs w:val="20"/>
          <w:shd w:val="clear" w:color="auto" w:fill="FFFF99"/>
          <w:rtl/>
        </w:rPr>
        <w:tab/>
      </w:r>
      <w:r w:rsidRPr="0087635C">
        <w:rPr>
          <w:rStyle w:val="default"/>
          <w:rFonts w:cs="FrankRuehl" w:hint="cs"/>
          <w:strike/>
          <w:vanish/>
          <w:szCs w:val="20"/>
          <w:shd w:val="clear" w:color="auto" w:fill="FFFF99"/>
          <w:rtl/>
        </w:rPr>
        <w:t>סכום התביעה או ההשבחה בשקלים חדשים</w:t>
      </w:r>
    </w:p>
    <w:p w14:paraId="1E4E7633" w14:textId="77777777" w:rsidR="006116E5" w:rsidRPr="0087635C" w:rsidRDefault="006116E5" w:rsidP="006116E5">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686"/>
          <w:tab w:val="center" w:pos="5840"/>
        </w:tabs>
        <w:spacing w:before="0"/>
        <w:ind w:left="0" w:right="2268"/>
        <w:rPr>
          <w:rStyle w:val="default"/>
          <w:rFonts w:cs="FrankRuehl" w:hint="cs"/>
          <w:strike/>
          <w:vanish/>
          <w:szCs w:val="20"/>
          <w:shd w:val="clear" w:color="auto" w:fill="FFFF99"/>
          <w:rtl/>
        </w:rPr>
      </w:pPr>
      <w:r w:rsidRPr="0087635C">
        <w:rPr>
          <w:rStyle w:val="default"/>
          <w:rFonts w:cs="FrankRuehl" w:hint="cs"/>
          <w:vanish/>
          <w:szCs w:val="20"/>
          <w:shd w:val="clear" w:color="auto" w:fill="FFFF99"/>
          <w:rtl/>
        </w:rPr>
        <w:tab/>
      </w:r>
      <w:r w:rsidRPr="0087635C">
        <w:rPr>
          <w:rStyle w:val="default"/>
          <w:rFonts w:cs="FrankRuehl" w:hint="cs"/>
          <w:strike/>
          <w:vanish/>
          <w:szCs w:val="20"/>
          <w:shd w:val="clear" w:color="auto" w:fill="FFFF99"/>
          <w:rtl/>
        </w:rPr>
        <w:t>על חלק הסכום העולה על</w:t>
      </w:r>
      <w:r w:rsidRPr="0087635C">
        <w:rPr>
          <w:rStyle w:val="default"/>
          <w:rFonts w:cs="FrankRuehl" w:hint="cs"/>
          <w:strike/>
          <w:vanish/>
          <w:szCs w:val="20"/>
          <w:shd w:val="clear" w:color="auto" w:fill="FFFF99"/>
          <w:rtl/>
        </w:rPr>
        <w:tab/>
        <w:t>על חלק הסכום שעד</w:t>
      </w:r>
      <w:r w:rsidRPr="0087635C">
        <w:rPr>
          <w:rStyle w:val="default"/>
          <w:rFonts w:cs="FrankRuehl" w:hint="cs"/>
          <w:strike/>
          <w:vanish/>
          <w:szCs w:val="20"/>
          <w:shd w:val="clear" w:color="auto" w:fill="FFFF99"/>
          <w:rtl/>
        </w:rPr>
        <w:tab/>
        <w:t>השכר</w:t>
      </w:r>
    </w:p>
    <w:p w14:paraId="431931F5" w14:textId="77777777" w:rsidR="006116E5" w:rsidRPr="0087635C" w:rsidRDefault="006116E5" w:rsidP="006116E5">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strike/>
          <w:vanish/>
          <w:sz w:val="22"/>
          <w:szCs w:val="22"/>
          <w:shd w:val="clear" w:color="auto" w:fill="FFFF99"/>
          <w:rtl/>
        </w:rPr>
      </w:pPr>
      <w:r w:rsidRPr="0087635C">
        <w:rPr>
          <w:rStyle w:val="default"/>
          <w:rFonts w:cs="FrankRuehl" w:hint="cs"/>
          <w:strike/>
          <w:vanish/>
          <w:sz w:val="22"/>
          <w:szCs w:val="22"/>
          <w:shd w:val="clear" w:color="auto" w:fill="FFFF99"/>
          <w:rtl/>
        </w:rPr>
        <w:t>0</w:t>
      </w:r>
      <w:r w:rsidRPr="0087635C">
        <w:rPr>
          <w:rStyle w:val="default"/>
          <w:rFonts w:cs="FrankRuehl" w:hint="cs"/>
          <w:strike/>
          <w:vanish/>
          <w:sz w:val="22"/>
          <w:szCs w:val="22"/>
          <w:shd w:val="clear" w:color="auto" w:fill="FFFF99"/>
          <w:rtl/>
        </w:rPr>
        <w:tab/>
        <w:t>500,000</w:t>
      </w:r>
      <w:r w:rsidRPr="0087635C">
        <w:rPr>
          <w:rStyle w:val="default"/>
          <w:rFonts w:cs="FrankRuehl" w:hint="cs"/>
          <w:strike/>
          <w:vanish/>
          <w:sz w:val="22"/>
          <w:szCs w:val="22"/>
          <w:shd w:val="clear" w:color="auto" w:fill="FFFF99"/>
          <w:rtl/>
        </w:rPr>
        <w:tab/>
        <w:t>5%</w:t>
      </w:r>
    </w:p>
    <w:p w14:paraId="389E5D05" w14:textId="77777777" w:rsidR="006116E5" w:rsidRPr="0087635C" w:rsidRDefault="006116E5" w:rsidP="006116E5">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strike/>
          <w:vanish/>
          <w:sz w:val="22"/>
          <w:szCs w:val="22"/>
          <w:shd w:val="clear" w:color="auto" w:fill="FFFF99"/>
          <w:rtl/>
        </w:rPr>
      </w:pPr>
      <w:r w:rsidRPr="0087635C">
        <w:rPr>
          <w:rStyle w:val="default"/>
          <w:rFonts w:cs="FrankRuehl" w:hint="cs"/>
          <w:strike/>
          <w:vanish/>
          <w:sz w:val="22"/>
          <w:szCs w:val="22"/>
          <w:shd w:val="clear" w:color="auto" w:fill="FFFF99"/>
          <w:rtl/>
        </w:rPr>
        <w:t>500,000</w:t>
      </w:r>
      <w:r w:rsidRPr="0087635C">
        <w:rPr>
          <w:rStyle w:val="default"/>
          <w:rFonts w:cs="FrankRuehl" w:hint="cs"/>
          <w:strike/>
          <w:vanish/>
          <w:sz w:val="22"/>
          <w:szCs w:val="22"/>
          <w:shd w:val="clear" w:color="auto" w:fill="FFFF99"/>
          <w:rtl/>
        </w:rPr>
        <w:tab/>
        <w:t>1,000,000</w:t>
      </w:r>
      <w:r w:rsidRPr="0087635C">
        <w:rPr>
          <w:rStyle w:val="default"/>
          <w:rFonts w:cs="FrankRuehl" w:hint="cs"/>
          <w:strike/>
          <w:vanish/>
          <w:sz w:val="22"/>
          <w:szCs w:val="22"/>
          <w:shd w:val="clear" w:color="auto" w:fill="FFFF99"/>
          <w:rtl/>
        </w:rPr>
        <w:tab/>
        <w:t>3.5%</w:t>
      </w:r>
    </w:p>
    <w:p w14:paraId="2E635A91" w14:textId="77777777" w:rsidR="006116E5" w:rsidRPr="0087635C" w:rsidRDefault="006116E5" w:rsidP="006116E5">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strike/>
          <w:vanish/>
          <w:sz w:val="22"/>
          <w:szCs w:val="22"/>
          <w:shd w:val="clear" w:color="auto" w:fill="FFFF99"/>
          <w:rtl/>
        </w:rPr>
      </w:pPr>
      <w:r w:rsidRPr="0087635C">
        <w:rPr>
          <w:rStyle w:val="default"/>
          <w:rFonts w:cs="FrankRuehl" w:hint="cs"/>
          <w:strike/>
          <w:vanish/>
          <w:sz w:val="22"/>
          <w:szCs w:val="22"/>
          <w:shd w:val="clear" w:color="auto" w:fill="FFFF99"/>
          <w:rtl/>
        </w:rPr>
        <w:t>1,000,000</w:t>
      </w:r>
      <w:r w:rsidRPr="0087635C">
        <w:rPr>
          <w:rStyle w:val="default"/>
          <w:rFonts w:cs="FrankRuehl" w:hint="cs"/>
          <w:strike/>
          <w:vanish/>
          <w:sz w:val="22"/>
          <w:szCs w:val="22"/>
          <w:shd w:val="clear" w:color="auto" w:fill="FFFF99"/>
          <w:rtl/>
        </w:rPr>
        <w:tab/>
        <w:t>2,000,000</w:t>
      </w:r>
      <w:r w:rsidRPr="0087635C">
        <w:rPr>
          <w:rStyle w:val="default"/>
          <w:rFonts w:cs="FrankRuehl" w:hint="cs"/>
          <w:strike/>
          <w:vanish/>
          <w:sz w:val="22"/>
          <w:szCs w:val="22"/>
          <w:shd w:val="clear" w:color="auto" w:fill="FFFF99"/>
          <w:rtl/>
        </w:rPr>
        <w:tab/>
        <w:t>2%</w:t>
      </w:r>
    </w:p>
    <w:p w14:paraId="349626AC" w14:textId="77777777" w:rsidR="006116E5" w:rsidRPr="0087635C" w:rsidRDefault="006116E5" w:rsidP="006116E5">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vanish/>
          <w:sz w:val="22"/>
          <w:szCs w:val="22"/>
          <w:shd w:val="clear" w:color="auto" w:fill="FFFF99"/>
          <w:rtl/>
        </w:rPr>
      </w:pPr>
      <w:r w:rsidRPr="0087635C">
        <w:rPr>
          <w:rStyle w:val="default"/>
          <w:rFonts w:cs="FrankRuehl" w:hint="cs"/>
          <w:strike/>
          <w:vanish/>
          <w:sz w:val="22"/>
          <w:szCs w:val="22"/>
          <w:shd w:val="clear" w:color="auto" w:fill="FFFF99"/>
          <w:rtl/>
        </w:rPr>
        <w:t>2,000,000</w:t>
      </w:r>
      <w:r w:rsidRPr="0087635C">
        <w:rPr>
          <w:rStyle w:val="default"/>
          <w:rFonts w:cs="FrankRuehl" w:hint="cs"/>
          <w:strike/>
          <w:vanish/>
          <w:sz w:val="22"/>
          <w:szCs w:val="22"/>
          <w:shd w:val="clear" w:color="auto" w:fill="FFFF99"/>
          <w:rtl/>
        </w:rPr>
        <w:tab/>
      </w:r>
      <w:r w:rsidRPr="0087635C">
        <w:rPr>
          <w:rStyle w:val="default"/>
          <w:rFonts w:cs="FrankRuehl" w:hint="cs"/>
          <w:strike/>
          <w:vanish/>
          <w:sz w:val="22"/>
          <w:szCs w:val="22"/>
          <w:shd w:val="clear" w:color="auto" w:fill="FFFF99"/>
          <w:rtl/>
        </w:rPr>
        <w:tab/>
        <w:t>0.8%</w:t>
      </w:r>
    </w:p>
    <w:p w14:paraId="7F565E96" w14:textId="77777777" w:rsidR="0087635C" w:rsidRPr="0087635C" w:rsidRDefault="0087635C" w:rsidP="006116E5">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vanish/>
          <w:szCs w:val="20"/>
          <w:shd w:val="clear" w:color="auto" w:fill="FFFF99"/>
          <w:rtl/>
        </w:rPr>
      </w:pPr>
    </w:p>
    <w:p w14:paraId="2F7792FC" w14:textId="77777777" w:rsidR="0087635C" w:rsidRPr="0087635C" w:rsidRDefault="0087635C" w:rsidP="0087635C">
      <w:pPr>
        <w:pStyle w:val="P00"/>
        <w:spacing w:before="0"/>
        <w:ind w:left="0" w:right="1134"/>
        <w:rPr>
          <w:rStyle w:val="default"/>
          <w:rFonts w:cs="FrankRuehl" w:hint="cs"/>
          <w:vanish/>
          <w:color w:val="FF0000"/>
          <w:szCs w:val="20"/>
          <w:shd w:val="clear" w:color="auto" w:fill="FFFF99"/>
          <w:rtl/>
        </w:rPr>
      </w:pPr>
      <w:r w:rsidRPr="0087635C">
        <w:rPr>
          <w:rStyle w:val="default"/>
          <w:rFonts w:cs="FrankRuehl" w:hint="cs"/>
          <w:vanish/>
          <w:color w:val="FF0000"/>
          <w:szCs w:val="20"/>
          <w:shd w:val="clear" w:color="auto" w:fill="FFFF99"/>
          <w:rtl/>
        </w:rPr>
        <w:t>מיום 17.3.2011</w:t>
      </w:r>
    </w:p>
    <w:p w14:paraId="194E9601" w14:textId="77777777" w:rsidR="0087635C" w:rsidRPr="0087635C" w:rsidRDefault="0087635C" w:rsidP="0087635C">
      <w:pPr>
        <w:pStyle w:val="P00"/>
        <w:spacing w:before="0"/>
        <w:ind w:left="0" w:right="1134"/>
        <w:rPr>
          <w:rStyle w:val="default"/>
          <w:rFonts w:cs="FrankRuehl" w:hint="cs"/>
          <w:vanish/>
          <w:szCs w:val="20"/>
          <w:shd w:val="clear" w:color="auto" w:fill="FFFF99"/>
          <w:rtl/>
        </w:rPr>
      </w:pPr>
      <w:r w:rsidRPr="0087635C">
        <w:rPr>
          <w:rStyle w:val="default"/>
          <w:rFonts w:cs="FrankRuehl" w:hint="cs"/>
          <w:b/>
          <w:bCs/>
          <w:vanish/>
          <w:szCs w:val="20"/>
          <w:shd w:val="clear" w:color="auto" w:fill="FFFF99"/>
          <w:rtl/>
        </w:rPr>
        <w:t>תק' תשע"א-2011</w:t>
      </w:r>
    </w:p>
    <w:p w14:paraId="76DD70A3" w14:textId="77777777" w:rsidR="0087635C" w:rsidRPr="0087635C" w:rsidRDefault="0087635C" w:rsidP="0087635C">
      <w:pPr>
        <w:pStyle w:val="P00"/>
        <w:spacing w:before="0"/>
        <w:ind w:left="0" w:right="1134"/>
        <w:rPr>
          <w:rStyle w:val="default"/>
          <w:rFonts w:cs="FrankRuehl" w:hint="cs"/>
          <w:vanish/>
          <w:szCs w:val="20"/>
          <w:shd w:val="clear" w:color="auto" w:fill="FFFF99"/>
          <w:rtl/>
        </w:rPr>
      </w:pPr>
      <w:hyperlink r:id="rId10" w:history="1">
        <w:r w:rsidRPr="0087635C">
          <w:rPr>
            <w:rStyle w:val="Hyperlink"/>
            <w:rFonts w:hint="cs"/>
            <w:vanish/>
            <w:szCs w:val="20"/>
            <w:shd w:val="clear" w:color="auto" w:fill="FFFF99"/>
            <w:rtl/>
          </w:rPr>
          <w:t>ק"ת תשע"א מס' 6986</w:t>
        </w:r>
      </w:hyperlink>
      <w:r w:rsidRPr="0087635C">
        <w:rPr>
          <w:rStyle w:val="default"/>
          <w:rFonts w:cs="FrankRuehl" w:hint="cs"/>
          <w:vanish/>
          <w:szCs w:val="20"/>
          <w:shd w:val="clear" w:color="auto" w:fill="FFFF99"/>
          <w:rtl/>
        </w:rPr>
        <w:t xml:space="preserve"> מיום 17.3.2011 עמ' 804</w:t>
      </w:r>
    </w:p>
    <w:p w14:paraId="283719F9" w14:textId="77777777" w:rsidR="0087635C" w:rsidRPr="0087635C" w:rsidRDefault="0087635C" w:rsidP="0087635C">
      <w:pPr>
        <w:pStyle w:val="P00"/>
        <w:tabs>
          <w:tab w:val="clear" w:pos="624"/>
          <w:tab w:val="clear" w:pos="1021"/>
          <w:tab w:val="clear" w:pos="1474"/>
          <w:tab w:val="clear" w:pos="1928"/>
          <w:tab w:val="clear" w:pos="2381"/>
          <w:tab w:val="clear" w:pos="2835"/>
          <w:tab w:val="clear" w:pos="6259"/>
          <w:tab w:val="center" w:pos="2268"/>
          <w:tab w:val="center" w:pos="5840"/>
        </w:tabs>
        <w:ind w:left="0" w:right="2268"/>
        <w:rPr>
          <w:rStyle w:val="default"/>
          <w:rFonts w:cs="FrankRuehl" w:hint="cs"/>
          <w:vanish/>
          <w:szCs w:val="20"/>
          <w:shd w:val="clear" w:color="auto" w:fill="FFFF99"/>
          <w:rtl/>
        </w:rPr>
      </w:pPr>
      <w:r w:rsidRPr="0087635C">
        <w:rPr>
          <w:rStyle w:val="default"/>
          <w:rFonts w:cs="FrankRuehl" w:hint="cs"/>
          <w:vanish/>
          <w:szCs w:val="20"/>
          <w:shd w:val="clear" w:color="auto" w:fill="FFFF99"/>
          <w:rtl/>
        </w:rPr>
        <w:tab/>
        <w:t>טור א'</w:t>
      </w:r>
      <w:r w:rsidRPr="0087635C">
        <w:rPr>
          <w:rStyle w:val="default"/>
          <w:rFonts w:cs="FrankRuehl" w:hint="cs"/>
          <w:vanish/>
          <w:szCs w:val="20"/>
          <w:shd w:val="clear" w:color="auto" w:fill="FFFF99"/>
          <w:rtl/>
        </w:rPr>
        <w:tab/>
        <w:t>טור ב'</w:t>
      </w:r>
    </w:p>
    <w:p w14:paraId="64EC2991" w14:textId="77777777" w:rsidR="0087635C" w:rsidRPr="0087635C" w:rsidRDefault="0087635C" w:rsidP="0087635C">
      <w:pPr>
        <w:pStyle w:val="P00"/>
        <w:tabs>
          <w:tab w:val="clear" w:pos="624"/>
          <w:tab w:val="clear" w:pos="1021"/>
          <w:tab w:val="clear" w:pos="1474"/>
          <w:tab w:val="clear" w:pos="1928"/>
          <w:tab w:val="clear" w:pos="2381"/>
          <w:tab w:val="clear" w:pos="2835"/>
          <w:tab w:val="clear" w:pos="6259"/>
          <w:tab w:val="center" w:pos="2268"/>
          <w:tab w:val="center" w:pos="5840"/>
        </w:tabs>
        <w:spacing w:before="0"/>
        <w:ind w:left="0" w:right="2268"/>
        <w:rPr>
          <w:rStyle w:val="default"/>
          <w:rFonts w:cs="FrankRuehl" w:hint="cs"/>
          <w:vanish/>
          <w:szCs w:val="20"/>
          <w:shd w:val="clear" w:color="auto" w:fill="FFFF99"/>
          <w:rtl/>
        </w:rPr>
      </w:pPr>
      <w:r w:rsidRPr="0087635C">
        <w:rPr>
          <w:rStyle w:val="default"/>
          <w:rFonts w:cs="FrankRuehl" w:hint="cs"/>
          <w:vanish/>
          <w:szCs w:val="20"/>
          <w:shd w:val="clear" w:color="auto" w:fill="FFFF99"/>
          <w:rtl/>
        </w:rPr>
        <w:tab/>
        <w:t>סכום התביעה או ההשבחה בשקלים חדשים</w:t>
      </w:r>
      <w:r w:rsidRPr="0087635C">
        <w:rPr>
          <w:rStyle w:val="default"/>
          <w:rFonts w:cs="FrankRuehl" w:hint="cs"/>
          <w:vanish/>
          <w:szCs w:val="20"/>
          <w:shd w:val="clear" w:color="auto" w:fill="FFFF99"/>
          <w:rtl/>
        </w:rPr>
        <w:tab/>
        <w:t>השכר</w:t>
      </w:r>
    </w:p>
    <w:p w14:paraId="53037DC9" w14:textId="77777777" w:rsidR="0087635C" w:rsidRPr="0087635C" w:rsidRDefault="0087635C" w:rsidP="0087635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851"/>
          <w:tab w:val="center" w:pos="3686"/>
          <w:tab w:val="center" w:pos="5840"/>
        </w:tabs>
        <w:spacing w:before="0"/>
        <w:ind w:left="0" w:right="2268"/>
        <w:rPr>
          <w:rStyle w:val="default"/>
          <w:rFonts w:cs="FrankRuehl" w:hint="cs"/>
          <w:vanish/>
          <w:szCs w:val="20"/>
          <w:shd w:val="clear" w:color="auto" w:fill="FFFF99"/>
          <w:rtl/>
        </w:rPr>
      </w:pPr>
      <w:r w:rsidRPr="0087635C">
        <w:rPr>
          <w:rStyle w:val="default"/>
          <w:rFonts w:cs="FrankRuehl" w:hint="cs"/>
          <w:vanish/>
          <w:szCs w:val="20"/>
          <w:shd w:val="clear" w:color="auto" w:fill="FFFF99"/>
          <w:rtl/>
        </w:rPr>
        <w:tab/>
        <w:t>על חלק הסכום העולה על</w:t>
      </w:r>
      <w:r w:rsidRPr="0087635C">
        <w:rPr>
          <w:rStyle w:val="default"/>
          <w:rFonts w:cs="FrankRuehl" w:hint="cs"/>
          <w:vanish/>
          <w:szCs w:val="20"/>
          <w:shd w:val="clear" w:color="auto" w:fill="FFFF99"/>
          <w:rtl/>
        </w:rPr>
        <w:tab/>
        <w:t>על חלק הסכום שעד</w:t>
      </w:r>
    </w:p>
    <w:p w14:paraId="47FD6741" w14:textId="77777777" w:rsidR="0087635C" w:rsidRPr="0087635C" w:rsidRDefault="0087635C" w:rsidP="0087635C">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vanish/>
          <w:sz w:val="22"/>
          <w:szCs w:val="22"/>
          <w:shd w:val="clear" w:color="auto" w:fill="FFFF99"/>
          <w:rtl/>
        </w:rPr>
      </w:pPr>
      <w:r w:rsidRPr="0087635C">
        <w:rPr>
          <w:rStyle w:val="default"/>
          <w:rFonts w:cs="FrankRuehl" w:hint="cs"/>
          <w:vanish/>
          <w:sz w:val="22"/>
          <w:szCs w:val="22"/>
          <w:shd w:val="clear" w:color="auto" w:fill="FFFF99"/>
          <w:rtl/>
        </w:rPr>
        <w:t>0</w:t>
      </w:r>
      <w:r w:rsidRPr="0087635C">
        <w:rPr>
          <w:rStyle w:val="default"/>
          <w:rFonts w:cs="FrankRuehl" w:hint="cs"/>
          <w:vanish/>
          <w:sz w:val="22"/>
          <w:szCs w:val="22"/>
          <w:shd w:val="clear" w:color="auto" w:fill="FFFF99"/>
          <w:rtl/>
        </w:rPr>
        <w:tab/>
        <w:t>500,000</w:t>
      </w:r>
      <w:r w:rsidRPr="0087635C">
        <w:rPr>
          <w:rStyle w:val="default"/>
          <w:rFonts w:cs="FrankRuehl" w:hint="cs"/>
          <w:vanish/>
          <w:sz w:val="22"/>
          <w:szCs w:val="22"/>
          <w:shd w:val="clear" w:color="auto" w:fill="FFFF99"/>
          <w:rtl/>
        </w:rPr>
        <w:tab/>
      </w:r>
      <w:r w:rsidRPr="0087635C">
        <w:rPr>
          <w:rStyle w:val="default"/>
          <w:rFonts w:cs="FrankRuehl" w:hint="cs"/>
          <w:strike/>
          <w:vanish/>
          <w:sz w:val="22"/>
          <w:szCs w:val="22"/>
          <w:shd w:val="clear" w:color="auto" w:fill="FFFF99"/>
          <w:rtl/>
        </w:rPr>
        <w:t>4.5%</w:t>
      </w:r>
      <w:r w:rsidRPr="0087635C">
        <w:rPr>
          <w:rStyle w:val="default"/>
          <w:rFonts w:cs="FrankRuehl" w:hint="cs"/>
          <w:vanish/>
          <w:sz w:val="22"/>
          <w:szCs w:val="22"/>
          <w:shd w:val="clear" w:color="auto" w:fill="FFFF99"/>
          <w:rtl/>
        </w:rPr>
        <w:t xml:space="preserve"> </w:t>
      </w:r>
      <w:r w:rsidRPr="0087635C">
        <w:rPr>
          <w:rStyle w:val="default"/>
          <w:rFonts w:cs="FrankRuehl" w:hint="cs"/>
          <w:vanish/>
          <w:sz w:val="22"/>
          <w:szCs w:val="22"/>
          <w:u w:val="single"/>
          <w:shd w:val="clear" w:color="auto" w:fill="FFFF99"/>
          <w:rtl/>
        </w:rPr>
        <w:t>3%</w:t>
      </w:r>
    </w:p>
    <w:p w14:paraId="5F6EFD48" w14:textId="77777777" w:rsidR="0087635C" w:rsidRPr="0087635C" w:rsidRDefault="0087635C" w:rsidP="0087635C">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vanish/>
          <w:sz w:val="22"/>
          <w:szCs w:val="22"/>
          <w:shd w:val="clear" w:color="auto" w:fill="FFFF99"/>
          <w:rtl/>
        </w:rPr>
      </w:pPr>
      <w:r w:rsidRPr="0087635C">
        <w:rPr>
          <w:rStyle w:val="default"/>
          <w:rFonts w:cs="FrankRuehl" w:hint="cs"/>
          <w:vanish/>
          <w:sz w:val="22"/>
          <w:szCs w:val="22"/>
          <w:shd w:val="clear" w:color="auto" w:fill="FFFF99"/>
          <w:rtl/>
        </w:rPr>
        <w:t>500,000</w:t>
      </w:r>
      <w:r w:rsidRPr="0087635C">
        <w:rPr>
          <w:rStyle w:val="default"/>
          <w:rFonts w:cs="FrankRuehl" w:hint="cs"/>
          <w:vanish/>
          <w:sz w:val="22"/>
          <w:szCs w:val="22"/>
          <w:shd w:val="clear" w:color="auto" w:fill="FFFF99"/>
          <w:rtl/>
        </w:rPr>
        <w:tab/>
        <w:t>1,000,000</w:t>
      </w:r>
      <w:r w:rsidRPr="0087635C">
        <w:rPr>
          <w:rStyle w:val="default"/>
          <w:rFonts w:cs="FrankRuehl" w:hint="cs"/>
          <w:vanish/>
          <w:sz w:val="22"/>
          <w:szCs w:val="22"/>
          <w:shd w:val="clear" w:color="auto" w:fill="FFFF99"/>
          <w:rtl/>
        </w:rPr>
        <w:tab/>
      </w:r>
      <w:r w:rsidRPr="0087635C">
        <w:rPr>
          <w:rStyle w:val="default"/>
          <w:rFonts w:cs="FrankRuehl" w:hint="cs"/>
          <w:strike/>
          <w:vanish/>
          <w:sz w:val="22"/>
          <w:szCs w:val="22"/>
          <w:shd w:val="clear" w:color="auto" w:fill="FFFF99"/>
          <w:rtl/>
        </w:rPr>
        <w:t>3%</w:t>
      </w:r>
      <w:r w:rsidRPr="0087635C">
        <w:rPr>
          <w:rStyle w:val="default"/>
          <w:rFonts w:cs="FrankRuehl" w:hint="cs"/>
          <w:vanish/>
          <w:sz w:val="22"/>
          <w:szCs w:val="22"/>
          <w:shd w:val="clear" w:color="auto" w:fill="FFFF99"/>
          <w:rtl/>
        </w:rPr>
        <w:t xml:space="preserve"> </w:t>
      </w:r>
      <w:r w:rsidRPr="0087635C">
        <w:rPr>
          <w:rStyle w:val="default"/>
          <w:rFonts w:cs="FrankRuehl" w:hint="cs"/>
          <w:vanish/>
          <w:sz w:val="22"/>
          <w:szCs w:val="22"/>
          <w:u w:val="single"/>
          <w:shd w:val="clear" w:color="auto" w:fill="FFFF99"/>
          <w:rtl/>
        </w:rPr>
        <w:t>2%</w:t>
      </w:r>
    </w:p>
    <w:p w14:paraId="3FF796BC" w14:textId="77777777" w:rsidR="0087635C" w:rsidRPr="0087635C" w:rsidRDefault="0087635C" w:rsidP="0087635C">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vanish/>
          <w:sz w:val="22"/>
          <w:szCs w:val="22"/>
          <w:shd w:val="clear" w:color="auto" w:fill="FFFF99"/>
          <w:rtl/>
        </w:rPr>
      </w:pPr>
      <w:r w:rsidRPr="0087635C">
        <w:rPr>
          <w:rStyle w:val="default"/>
          <w:rFonts w:cs="FrankRuehl" w:hint="cs"/>
          <w:vanish/>
          <w:sz w:val="22"/>
          <w:szCs w:val="22"/>
          <w:shd w:val="clear" w:color="auto" w:fill="FFFF99"/>
          <w:rtl/>
        </w:rPr>
        <w:t>1,000,000</w:t>
      </w:r>
      <w:r w:rsidRPr="0087635C">
        <w:rPr>
          <w:rStyle w:val="default"/>
          <w:rFonts w:cs="FrankRuehl" w:hint="cs"/>
          <w:vanish/>
          <w:sz w:val="22"/>
          <w:szCs w:val="22"/>
          <w:shd w:val="clear" w:color="auto" w:fill="FFFF99"/>
          <w:rtl/>
        </w:rPr>
        <w:tab/>
        <w:t>2,000,000</w:t>
      </w:r>
      <w:r w:rsidRPr="0087635C">
        <w:rPr>
          <w:rStyle w:val="default"/>
          <w:rFonts w:cs="FrankRuehl" w:hint="cs"/>
          <w:vanish/>
          <w:sz w:val="22"/>
          <w:szCs w:val="22"/>
          <w:shd w:val="clear" w:color="auto" w:fill="FFFF99"/>
          <w:rtl/>
        </w:rPr>
        <w:tab/>
      </w:r>
      <w:r w:rsidRPr="0087635C">
        <w:rPr>
          <w:rStyle w:val="default"/>
          <w:rFonts w:cs="FrankRuehl" w:hint="cs"/>
          <w:strike/>
          <w:vanish/>
          <w:sz w:val="22"/>
          <w:szCs w:val="22"/>
          <w:shd w:val="clear" w:color="auto" w:fill="FFFF99"/>
          <w:rtl/>
        </w:rPr>
        <w:t>1.5%</w:t>
      </w:r>
      <w:r w:rsidRPr="0087635C">
        <w:rPr>
          <w:rStyle w:val="default"/>
          <w:rFonts w:cs="FrankRuehl" w:hint="cs"/>
          <w:vanish/>
          <w:sz w:val="22"/>
          <w:szCs w:val="22"/>
          <w:shd w:val="clear" w:color="auto" w:fill="FFFF99"/>
          <w:rtl/>
        </w:rPr>
        <w:t xml:space="preserve"> </w:t>
      </w:r>
      <w:r w:rsidRPr="0087635C">
        <w:rPr>
          <w:rStyle w:val="default"/>
          <w:rFonts w:cs="FrankRuehl" w:hint="cs"/>
          <w:vanish/>
          <w:sz w:val="22"/>
          <w:szCs w:val="22"/>
          <w:u w:val="single"/>
          <w:shd w:val="clear" w:color="auto" w:fill="FFFF99"/>
          <w:rtl/>
        </w:rPr>
        <w:t>1%</w:t>
      </w:r>
    </w:p>
    <w:p w14:paraId="185E9380" w14:textId="77777777" w:rsidR="0087635C" w:rsidRPr="0087635C" w:rsidRDefault="0087635C" w:rsidP="0087635C">
      <w:pPr>
        <w:pStyle w:val="P00"/>
        <w:tabs>
          <w:tab w:val="clear" w:pos="624"/>
          <w:tab w:val="clear" w:pos="1021"/>
          <w:tab w:val="clear" w:pos="1474"/>
          <w:tab w:val="clear" w:pos="1928"/>
          <w:tab w:val="clear" w:pos="2381"/>
          <w:tab w:val="clear" w:pos="6259"/>
          <w:tab w:val="left" w:pos="5670"/>
        </w:tabs>
        <w:spacing w:before="0"/>
        <w:ind w:left="0" w:right="1134"/>
        <w:rPr>
          <w:rStyle w:val="default"/>
          <w:rFonts w:cs="FrankRuehl" w:hint="cs"/>
          <w:sz w:val="2"/>
          <w:szCs w:val="2"/>
          <w:rtl/>
        </w:rPr>
      </w:pPr>
      <w:r w:rsidRPr="0087635C">
        <w:rPr>
          <w:rStyle w:val="default"/>
          <w:rFonts w:cs="FrankRuehl" w:hint="cs"/>
          <w:vanish/>
          <w:sz w:val="22"/>
          <w:szCs w:val="22"/>
          <w:shd w:val="clear" w:color="auto" w:fill="FFFF99"/>
          <w:rtl/>
        </w:rPr>
        <w:t>2,000,000</w:t>
      </w:r>
      <w:r w:rsidRPr="0087635C">
        <w:rPr>
          <w:rStyle w:val="default"/>
          <w:rFonts w:cs="FrankRuehl" w:hint="cs"/>
          <w:vanish/>
          <w:sz w:val="22"/>
          <w:szCs w:val="22"/>
          <w:shd w:val="clear" w:color="auto" w:fill="FFFF99"/>
          <w:rtl/>
        </w:rPr>
        <w:tab/>
      </w:r>
      <w:r w:rsidRPr="0087635C">
        <w:rPr>
          <w:rStyle w:val="default"/>
          <w:rFonts w:cs="FrankRuehl" w:hint="cs"/>
          <w:vanish/>
          <w:sz w:val="22"/>
          <w:szCs w:val="22"/>
          <w:shd w:val="clear" w:color="auto" w:fill="FFFF99"/>
          <w:rtl/>
        </w:rPr>
        <w:tab/>
        <w:t>0.5%</w:t>
      </w:r>
      <w:bookmarkEnd w:id="13"/>
    </w:p>
    <w:p w14:paraId="7F4D49DF" w14:textId="77777777" w:rsidR="0087635C" w:rsidRDefault="0087635C">
      <w:pPr>
        <w:pStyle w:val="P00"/>
        <w:spacing w:before="72"/>
        <w:ind w:left="0" w:right="1134"/>
        <w:rPr>
          <w:rStyle w:val="default"/>
          <w:rFonts w:cs="FrankRuehl" w:hint="cs"/>
          <w:rtl/>
        </w:rPr>
      </w:pPr>
    </w:p>
    <w:p w14:paraId="5317EEF0" w14:textId="77777777" w:rsidR="006E0BEF" w:rsidRDefault="006E0BEF">
      <w:pPr>
        <w:pStyle w:val="P00"/>
        <w:spacing w:before="72"/>
        <w:ind w:left="0" w:right="1134"/>
        <w:rPr>
          <w:rStyle w:val="default"/>
          <w:rFonts w:cs="FrankRuehl" w:hint="cs"/>
          <w:rtl/>
        </w:rPr>
      </w:pPr>
    </w:p>
    <w:p w14:paraId="58366200" w14:textId="77777777" w:rsidR="001153D7" w:rsidRDefault="006B5916" w:rsidP="006B591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כ"ט</w:t>
      </w:r>
      <w:r w:rsidR="001153D7">
        <w:rPr>
          <w:rFonts w:hint="cs"/>
          <w:rtl/>
        </w:rPr>
        <w:t xml:space="preserve"> בטבת התשס"</w:t>
      </w:r>
      <w:r w:rsidR="00415410">
        <w:rPr>
          <w:rFonts w:hint="cs"/>
          <w:rtl/>
        </w:rPr>
        <w:t>ט</w:t>
      </w:r>
      <w:r w:rsidR="001153D7">
        <w:rPr>
          <w:rFonts w:hint="cs"/>
          <w:rtl/>
        </w:rPr>
        <w:t xml:space="preserve"> (</w:t>
      </w:r>
      <w:r>
        <w:rPr>
          <w:rFonts w:hint="cs"/>
          <w:rtl/>
        </w:rPr>
        <w:t>25</w:t>
      </w:r>
      <w:r w:rsidR="000E6FD3">
        <w:rPr>
          <w:rFonts w:hint="cs"/>
          <w:rtl/>
        </w:rPr>
        <w:t xml:space="preserve"> בינואר</w:t>
      </w:r>
      <w:r w:rsidR="001153D7">
        <w:rPr>
          <w:rFonts w:hint="cs"/>
          <w:rtl/>
        </w:rPr>
        <w:t xml:space="preserve"> 200</w:t>
      </w:r>
      <w:r w:rsidR="000E6FD3">
        <w:rPr>
          <w:rFonts w:hint="cs"/>
          <w:rtl/>
        </w:rPr>
        <w:t>9</w:t>
      </w:r>
      <w:r w:rsidR="001153D7">
        <w:rPr>
          <w:rFonts w:hint="cs"/>
          <w:rtl/>
        </w:rPr>
        <w:t>)</w:t>
      </w:r>
      <w:r w:rsidR="00F44A8A">
        <w:rPr>
          <w:rFonts w:hint="cs"/>
          <w:rtl/>
        </w:rPr>
        <w:tab/>
      </w:r>
      <w:r>
        <w:rPr>
          <w:rFonts w:hint="cs"/>
          <w:rtl/>
        </w:rPr>
        <w:t>דניאל פרידמן</w:t>
      </w:r>
    </w:p>
    <w:p w14:paraId="395A7AA9" w14:textId="77777777" w:rsidR="001153D7" w:rsidRDefault="00F44A8A" w:rsidP="006B5916">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r>
      <w:r w:rsidR="006B5916">
        <w:rPr>
          <w:rFonts w:hint="cs"/>
          <w:sz w:val="22"/>
          <w:szCs w:val="22"/>
          <w:rtl/>
        </w:rPr>
        <w:t>שר המשפטים</w:t>
      </w:r>
    </w:p>
    <w:p w14:paraId="5F206502" w14:textId="77777777" w:rsidR="00C37DAB" w:rsidRDefault="00C37DAB">
      <w:pPr>
        <w:pStyle w:val="P00"/>
        <w:spacing w:before="72"/>
        <w:ind w:left="0" w:right="1134"/>
        <w:rPr>
          <w:rFonts w:hint="cs"/>
          <w:rtl/>
        </w:rPr>
      </w:pPr>
    </w:p>
    <w:sectPr w:rsidR="00C37DAB">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F9B3" w14:textId="77777777" w:rsidR="00133807" w:rsidRDefault="00133807" w:rsidP="001153D7">
      <w:pPr>
        <w:pStyle w:val="P00"/>
      </w:pPr>
      <w:r>
        <w:separator/>
      </w:r>
    </w:p>
  </w:endnote>
  <w:endnote w:type="continuationSeparator" w:id="0">
    <w:p w14:paraId="316B3788" w14:textId="77777777" w:rsidR="00133807" w:rsidRDefault="00133807"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619B" w14:textId="77777777" w:rsidR="002A0431" w:rsidRDefault="002A04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7DF29E3" w14:textId="77777777" w:rsidR="002A0431" w:rsidRDefault="002A04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56B43E" w14:textId="77777777" w:rsidR="002A0431" w:rsidRDefault="002A04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6586">
      <w:rPr>
        <w:rFonts w:cs="TopType Jerushalmi"/>
        <w:noProof/>
        <w:color w:val="000000"/>
        <w:sz w:val="14"/>
        <w:szCs w:val="14"/>
      </w:rPr>
      <w:t>Z:\000000000000-law\yael\09-02-04\500_077.doc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5718" w14:textId="77777777" w:rsidR="002A0431" w:rsidRDefault="002A04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469C0">
      <w:rPr>
        <w:rFonts w:hAnsi="FrankRuehl"/>
        <w:noProof/>
        <w:sz w:val="24"/>
        <w:szCs w:val="24"/>
        <w:rtl/>
      </w:rPr>
      <w:t>3</w:t>
    </w:r>
    <w:r>
      <w:rPr>
        <w:rFonts w:hAnsi="FrankRuehl"/>
        <w:sz w:val="24"/>
        <w:szCs w:val="24"/>
        <w:rtl/>
      </w:rPr>
      <w:fldChar w:fldCharType="end"/>
    </w:r>
  </w:p>
  <w:p w14:paraId="2DD3035E" w14:textId="77777777" w:rsidR="002A0431" w:rsidRDefault="002A04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350A36" w14:textId="77777777" w:rsidR="002A0431" w:rsidRDefault="002A04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6586">
      <w:rPr>
        <w:rFonts w:cs="TopType Jerushalmi"/>
        <w:noProof/>
        <w:color w:val="000000"/>
        <w:sz w:val="14"/>
        <w:szCs w:val="14"/>
      </w:rPr>
      <w:t>Z:\000000000000-law\yael\09-02-04\500_077.doc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0CA8" w14:textId="77777777" w:rsidR="00133807" w:rsidRDefault="00133807">
      <w:pPr>
        <w:spacing w:before="60" w:line="240" w:lineRule="auto"/>
        <w:ind w:right="1134"/>
      </w:pPr>
      <w:r>
        <w:separator/>
      </w:r>
    </w:p>
  </w:footnote>
  <w:footnote w:type="continuationSeparator" w:id="0">
    <w:p w14:paraId="35B4C613" w14:textId="77777777" w:rsidR="00133807" w:rsidRDefault="00133807">
      <w:r>
        <w:separator/>
      </w:r>
    </w:p>
  </w:footnote>
  <w:footnote w:id="1">
    <w:p w14:paraId="50047F43" w14:textId="77777777" w:rsidR="007D336E" w:rsidRDefault="002A0431" w:rsidP="007D33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5E1485">
        <w:rPr>
          <w:rFonts w:hint="cs"/>
          <w:sz w:val="20"/>
          <w:rtl/>
        </w:rPr>
        <w:t>פורסמו</w:t>
      </w:r>
      <w:r w:rsidRPr="006E0BEF">
        <w:rPr>
          <w:rFonts w:hint="cs"/>
          <w:sz w:val="20"/>
          <w:rtl/>
        </w:rPr>
        <w:t xml:space="preserve"> </w:t>
      </w:r>
      <w:hyperlink r:id="rId1" w:history="1">
        <w:r w:rsidRPr="007D336E">
          <w:rPr>
            <w:rStyle w:val="Hyperlink"/>
            <w:rFonts w:hint="cs"/>
            <w:sz w:val="20"/>
            <w:rtl/>
          </w:rPr>
          <w:t>ק"ת תשס"ט מס' 6748</w:t>
        </w:r>
      </w:hyperlink>
      <w:r>
        <w:rPr>
          <w:rFonts w:hint="cs"/>
          <w:sz w:val="20"/>
          <w:rtl/>
        </w:rPr>
        <w:t xml:space="preserve"> מיום 3.2.2009 עמ' 418.</w:t>
      </w:r>
    </w:p>
    <w:p w14:paraId="5792FB1D" w14:textId="77777777" w:rsidR="00C7462E" w:rsidRDefault="005E1485" w:rsidP="00C7462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7462E">
          <w:rPr>
            <w:rStyle w:val="Hyperlink"/>
            <w:rFonts w:hint="cs"/>
            <w:sz w:val="20"/>
            <w:rtl/>
          </w:rPr>
          <w:t>ק"ת תש"ע מס' 6922</w:t>
        </w:r>
      </w:hyperlink>
      <w:r>
        <w:rPr>
          <w:rFonts w:hint="cs"/>
          <w:sz w:val="20"/>
          <w:rtl/>
        </w:rPr>
        <w:t xml:space="preserve"> מיום 22.8.2010 עמ' 1556 </w:t>
      </w:r>
      <w:r>
        <w:rPr>
          <w:sz w:val="20"/>
          <w:rtl/>
        </w:rPr>
        <w:t>–</w:t>
      </w:r>
      <w:r>
        <w:rPr>
          <w:rFonts w:hint="cs"/>
          <w:sz w:val="20"/>
          <w:rtl/>
        </w:rPr>
        <w:t xml:space="preserve"> תק' תש"ע-2010; תחילתן ביום 1.4.2010 ור' תקנה 3 לענין תחולה.</w:t>
      </w:r>
    </w:p>
    <w:p w14:paraId="3CB87634" w14:textId="77777777" w:rsidR="00A469C0" w:rsidRDefault="00A469C0" w:rsidP="00A469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34B9D" w:rsidRPr="00A469C0">
          <w:rPr>
            <w:rStyle w:val="Hyperlink"/>
            <w:rFonts w:hint="cs"/>
            <w:sz w:val="20"/>
            <w:rtl/>
          </w:rPr>
          <w:t>ק"ת תשע"א מס' 6986</w:t>
        </w:r>
      </w:hyperlink>
      <w:r w:rsidR="00C34B9D">
        <w:rPr>
          <w:rFonts w:hint="cs"/>
          <w:sz w:val="20"/>
          <w:rtl/>
        </w:rPr>
        <w:t xml:space="preserve"> מיום 17.3.2011 עמ' 804 </w:t>
      </w:r>
      <w:r w:rsidR="00C34B9D">
        <w:rPr>
          <w:sz w:val="20"/>
          <w:rtl/>
        </w:rPr>
        <w:t>–</w:t>
      </w:r>
      <w:r w:rsidR="00C34B9D">
        <w:rPr>
          <w:rFonts w:hint="cs"/>
          <w:sz w:val="20"/>
          <w:rtl/>
        </w:rPr>
        <w:t xml:space="preserve"> תק' תשע"א-2011; ר' תקנה 4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9C29" w14:textId="77777777" w:rsidR="002A0431" w:rsidRDefault="002A043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4F14B79F" w14:textId="77777777" w:rsidR="002A0431" w:rsidRDefault="002A04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8D529B9" w14:textId="77777777" w:rsidR="002A0431" w:rsidRDefault="002A043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5426" w14:textId="77777777" w:rsidR="002A0431" w:rsidRDefault="002A0431" w:rsidP="00C34B9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התכנון והבניה (שכרו של שמאי מכריע ושמאי מייעץ),</w:t>
    </w:r>
    <w:r>
      <w:rPr>
        <w:rFonts w:hAnsi="FrankRuehl"/>
        <w:color w:val="000000"/>
        <w:sz w:val="28"/>
        <w:szCs w:val="28"/>
        <w:rtl/>
      </w:rPr>
      <w:t xml:space="preserve"> תשס"</w:t>
    </w:r>
    <w:r>
      <w:rPr>
        <w:rFonts w:hAnsi="FrankRuehl" w:hint="cs"/>
        <w:color w:val="000000"/>
        <w:sz w:val="28"/>
        <w:szCs w:val="28"/>
        <w:rtl/>
      </w:rPr>
      <w:t>ט</w:t>
    </w:r>
    <w:r>
      <w:rPr>
        <w:rFonts w:hAnsi="FrankRuehl"/>
        <w:color w:val="000000"/>
        <w:sz w:val="28"/>
        <w:szCs w:val="28"/>
        <w:rtl/>
      </w:rPr>
      <w:t>-200</w:t>
    </w:r>
    <w:r>
      <w:rPr>
        <w:rFonts w:hAnsi="FrankRuehl" w:hint="cs"/>
        <w:color w:val="000000"/>
        <w:sz w:val="28"/>
        <w:szCs w:val="28"/>
        <w:rtl/>
      </w:rPr>
      <w:t>9</w:t>
    </w:r>
  </w:p>
  <w:p w14:paraId="4A7609A6" w14:textId="77777777" w:rsidR="002A0431" w:rsidRDefault="002A04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D5D08F6" w14:textId="77777777" w:rsidR="002A0431" w:rsidRDefault="002A043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D78BE"/>
    <w:rsid w:val="000E0046"/>
    <w:rsid w:val="000E6FD3"/>
    <w:rsid w:val="001153D7"/>
    <w:rsid w:val="00133807"/>
    <w:rsid w:val="00157C11"/>
    <w:rsid w:val="001A390C"/>
    <w:rsid w:val="001E3E8D"/>
    <w:rsid w:val="001F415F"/>
    <w:rsid w:val="00200108"/>
    <w:rsid w:val="00275440"/>
    <w:rsid w:val="00280A78"/>
    <w:rsid w:val="002A0431"/>
    <w:rsid w:val="002D7953"/>
    <w:rsid w:val="002E29AD"/>
    <w:rsid w:val="003A2657"/>
    <w:rsid w:val="003A4684"/>
    <w:rsid w:val="003B35F6"/>
    <w:rsid w:val="003E12E5"/>
    <w:rsid w:val="00415410"/>
    <w:rsid w:val="00433A4F"/>
    <w:rsid w:val="00475ED7"/>
    <w:rsid w:val="00483FF0"/>
    <w:rsid w:val="004C06CD"/>
    <w:rsid w:val="004E546D"/>
    <w:rsid w:val="005135A9"/>
    <w:rsid w:val="005B5438"/>
    <w:rsid w:val="005C288D"/>
    <w:rsid w:val="005E1485"/>
    <w:rsid w:val="005E6530"/>
    <w:rsid w:val="006116E5"/>
    <w:rsid w:val="006334C3"/>
    <w:rsid w:val="006B5916"/>
    <w:rsid w:val="006C710F"/>
    <w:rsid w:val="006E0BEF"/>
    <w:rsid w:val="007A7DBB"/>
    <w:rsid w:val="007C67B8"/>
    <w:rsid w:val="007D336E"/>
    <w:rsid w:val="007E22B8"/>
    <w:rsid w:val="007F05E0"/>
    <w:rsid w:val="00815E5C"/>
    <w:rsid w:val="0082435A"/>
    <w:rsid w:val="0087635C"/>
    <w:rsid w:val="00881299"/>
    <w:rsid w:val="008A5156"/>
    <w:rsid w:val="00915458"/>
    <w:rsid w:val="009F6ABE"/>
    <w:rsid w:val="00A469C0"/>
    <w:rsid w:val="00A524A8"/>
    <w:rsid w:val="00A5480A"/>
    <w:rsid w:val="00AF3665"/>
    <w:rsid w:val="00B12218"/>
    <w:rsid w:val="00B21FB4"/>
    <w:rsid w:val="00B45F6B"/>
    <w:rsid w:val="00B4719B"/>
    <w:rsid w:val="00B66586"/>
    <w:rsid w:val="00B85A0E"/>
    <w:rsid w:val="00C019C4"/>
    <w:rsid w:val="00C34B9D"/>
    <w:rsid w:val="00C37DAB"/>
    <w:rsid w:val="00C7188A"/>
    <w:rsid w:val="00C7462E"/>
    <w:rsid w:val="00CA56A2"/>
    <w:rsid w:val="00D74A85"/>
    <w:rsid w:val="00D84A88"/>
    <w:rsid w:val="00D966C5"/>
    <w:rsid w:val="00E16540"/>
    <w:rsid w:val="00E22337"/>
    <w:rsid w:val="00E27F12"/>
    <w:rsid w:val="00E30F8B"/>
    <w:rsid w:val="00E95C48"/>
    <w:rsid w:val="00EA21D4"/>
    <w:rsid w:val="00ED41FC"/>
    <w:rsid w:val="00ED4FBA"/>
    <w:rsid w:val="00F10447"/>
    <w:rsid w:val="00F33289"/>
    <w:rsid w:val="00F44A8A"/>
    <w:rsid w:val="00F547C9"/>
    <w:rsid w:val="00FD6840"/>
    <w:rsid w:val="00FE48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B34A3E"/>
  <w15:chartTrackingRefBased/>
  <w15:docId w15:val="{C33A50E2-CD85-400C-91FF-73D66182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8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922.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986.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6986.pdf" TargetMode="External"/><Relationship Id="rId4" Type="http://schemas.openxmlformats.org/officeDocument/2006/relationships/footnotes" Target="footnotes.xml"/><Relationship Id="rId9" Type="http://schemas.openxmlformats.org/officeDocument/2006/relationships/hyperlink" Target="http://www.nevo.co.il/Law_word/law06/tak-692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86.pdf" TargetMode="External"/><Relationship Id="rId2" Type="http://schemas.openxmlformats.org/officeDocument/2006/relationships/hyperlink" Target="http://www.nevo.co.il/Law_word/law06/tak-6922.pdf" TargetMode="External"/><Relationship Id="rId1" Type="http://schemas.openxmlformats.org/officeDocument/2006/relationships/hyperlink" Target="http://www.nevo.co.il/Law_word/law06/tak-67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9866</CharactersWithSpaces>
  <SharedDoc>false</SharedDoc>
  <HLinks>
    <vt:vector size="108" baseType="variant">
      <vt:variant>
        <vt:i4>7798791</vt:i4>
      </vt:variant>
      <vt:variant>
        <vt:i4>72</vt:i4>
      </vt:variant>
      <vt:variant>
        <vt:i4>0</vt:i4>
      </vt:variant>
      <vt:variant>
        <vt:i4>5</vt:i4>
      </vt:variant>
      <vt:variant>
        <vt:lpwstr>http://www.nevo.co.il/Law_word/law06/tak-6986.pdf</vt:lpwstr>
      </vt:variant>
      <vt:variant>
        <vt:lpwstr/>
      </vt:variant>
      <vt:variant>
        <vt:i4>8192003</vt:i4>
      </vt:variant>
      <vt:variant>
        <vt:i4>69</vt:i4>
      </vt:variant>
      <vt:variant>
        <vt:i4>0</vt:i4>
      </vt:variant>
      <vt:variant>
        <vt:i4>5</vt:i4>
      </vt:variant>
      <vt:variant>
        <vt:lpwstr>http://www.nevo.co.il/Law_word/law06/tak-6922.pdf</vt:lpwstr>
      </vt:variant>
      <vt:variant>
        <vt:lpwstr/>
      </vt:variant>
      <vt:variant>
        <vt:i4>7798791</vt:i4>
      </vt:variant>
      <vt:variant>
        <vt:i4>66</vt:i4>
      </vt:variant>
      <vt:variant>
        <vt:i4>0</vt:i4>
      </vt:variant>
      <vt:variant>
        <vt:i4>5</vt:i4>
      </vt:variant>
      <vt:variant>
        <vt:lpwstr>http://www.nevo.co.il/Law_word/law06/tak-6986.pdf</vt:lpwstr>
      </vt:variant>
      <vt:variant>
        <vt:lpwstr/>
      </vt:variant>
      <vt:variant>
        <vt:i4>8192003</vt:i4>
      </vt:variant>
      <vt:variant>
        <vt:i4>63</vt:i4>
      </vt:variant>
      <vt:variant>
        <vt:i4>0</vt:i4>
      </vt:variant>
      <vt:variant>
        <vt:i4>5</vt:i4>
      </vt:variant>
      <vt:variant>
        <vt:lpwstr>http://www.nevo.co.il/Law_word/law06/tak-6922.pdf</vt:lpwstr>
      </vt:variant>
      <vt:variant>
        <vt:lpwstr/>
      </vt:variant>
      <vt:variant>
        <vt:i4>7798791</vt:i4>
      </vt:variant>
      <vt:variant>
        <vt:i4>60</vt:i4>
      </vt:variant>
      <vt:variant>
        <vt:i4>0</vt:i4>
      </vt:variant>
      <vt:variant>
        <vt:i4>5</vt:i4>
      </vt:variant>
      <vt:variant>
        <vt:lpwstr>http://www.nevo.co.il/Law_word/law06/tak-6986.pdf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7798791</vt:i4>
      </vt:variant>
      <vt:variant>
        <vt:i4>6</vt:i4>
      </vt:variant>
      <vt:variant>
        <vt:i4>0</vt:i4>
      </vt:variant>
      <vt:variant>
        <vt:i4>5</vt:i4>
      </vt:variant>
      <vt:variant>
        <vt:lpwstr>http://www.nevo.co.il/Law_word/law06/TAK-6986.pdf</vt:lpwstr>
      </vt:variant>
      <vt:variant>
        <vt:lpwstr/>
      </vt:variant>
      <vt:variant>
        <vt:i4>8192003</vt:i4>
      </vt:variant>
      <vt:variant>
        <vt:i4>3</vt:i4>
      </vt:variant>
      <vt:variant>
        <vt:i4>0</vt:i4>
      </vt:variant>
      <vt:variant>
        <vt:i4>5</vt:i4>
      </vt:variant>
      <vt:variant>
        <vt:lpwstr>http://www.nevo.co.il/Law_word/law06/tak-6922.pdf</vt:lpwstr>
      </vt:variant>
      <vt:variant>
        <vt:lpwstr/>
      </vt:variant>
      <vt:variant>
        <vt:i4>8060935</vt:i4>
      </vt:variant>
      <vt:variant>
        <vt:i4>0</vt:i4>
      </vt:variant>
      <vt:variant>
        <vt:i4>0</vt:i4>
      </vt:variant>
      <vt:variant>
        <vt:i4>5</vt:i4>
      </vt:variant>
      <vt:variant>
        <vt:lpwstr>http://www.nevo.co.il/Law_word/law06/tak-6748.pdf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תכנון ובניה</vt:lpwstr>
  </property>
  <property fmtid="{D5CDD505-2E9C-101B-9397-08002B2CF9AE}" pid="4" name="LAWNAME">
    <vt:lpwstr>תקנות התכנון והבניה (שכרו של שמאי מכריע ושמאי מייעץ), תשס"ט-2009</vt:lpwstr>
  </property>
  <property fmtid="{D5CDD505-2E9C-101B-9397-08002B2CF9AE}" pid="5" name="LAWNUMBER">
    <vt:lpwstr>0077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http://www.nevo.co.il/Law_word/law06/tak-6922.pdf;‎רשומות – תקנות כלליות#תוקנו ק"ת תש"ע מס' ‏‏6922#מיום 22.8.2010#עמ' 1556#תק' תש"ע-2010#תחילתן ביום 1.4.2010 ור' תקנה 3 לענין תחולה</vt:lpwstr>
  </property>
  <property fmtid="{D5CDD505-2E9C-101B-9397-08002B2CF9AE}" pid="20" name="LINKK3">
    <vt:lpwstr>http://www.nevo.co.il/Law_word/law06/TAK-6986.pdf;‎רשומות - תקנות כלליות#ק"ת תשע"א מס' ‏‏6986 #מיום 17.3.2011 עמ' 804 – תק' תשע"א-2011; ר' תקנה 4 לענין תחולה</vt:lpwstr>
  </property>
  <property fmtid="{D5CDD505-2E9C-101B-9397-08002B2CF9AE}" pid="21" name="MEKORSAMCHUT">
    <vt:lpwstr/>
  </property>
  <property fmtid="{D5CDD505-2E9C-101B-9397-08002B2CF9AE}" pid="22" name="LINKK1">
    <vt:lpwstr>http://www.nevo.co.il/Law_word/law06/tak-6748.pdf;‎רשומות - תקנות כלליות#פורסם ק"ת תשס"ט ‏מס' 6748 #מיום 3.2.2009 עמ' 418‏</vt:lpwstr>
  </property>
  <property fmtid="{D5CDD505-2E9C-101B-9397-08002B2CF9AE}" pid="23" name="MEKOR_NAME1">
    <vt:lpwstr>חוק התכנון והבניה</vt:lpwstr>
  </property>
  <property fmtid="{D5CDD505-2E9C-101B-9397-08002B2CF9AE}" pid="24" name="MEKOR_SAIF1">
    <vt:lpwstr>202יגX</vt:lpwstr>
  </property>
  <property fmtid="{D5CDD505-2E9C-101B-9397-08002B2CF9AE}" pid="25" name="NOSE31">
    <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הסדרת עיסוק</vt:lpwstr>
  </property>
  <property fmtid="{D5CDD505-2E9C-101B-9397-08002B2CF9AE}" pid="29" name="NOSE32">
    <vt:lpwstr>שמאי מקרקעין</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הסדרת עיסוק</vt:lpwstr>
  </property>
  <property fmtid="{D5CDD505-2E9C-101B-9397-08002B2CF9AE}" pid="33" name="NOSE33">
    <vt:lpwstr>שמאי מקרקעין</vt:lpwstr>
  </property>
  <property fmtid="{D5CDD505-2E9C-101B-9397-08002B2CF9AE}" pid="34" name="NOSE43">
    <vt:lpwstr/>
  </property>
  <property fmtid="{D5CDD505-2E9C-101B-9397-08002B2CF9AE}" pid="35" name="NOSE14">
    <vt:lpwstr>רשויות ומשפט מנהלי</vt:lpwstr>
  </property>
  <property fmtid="{D5CDD505-2E9C-101B-9397-08002B2CF9AE}" pid="36" name="NOSE24">
    <vt:lpwstr>תכנון ובניה</vt:lpwstr>
  </property>
  <property fmtid="{D5CDD505-2E9C-101B-9397-08002B2CF9AE}" pid="37" name="NOSE34">
    <vt:lpwstr>שמאי</vt:lpwstr>
  </property>
  <property fmtid="{D5CDD505-2E9C-101B-9397-08002B2CF9AE}" pid="38" name="NOSE44">
    <vt:lpwstr/>
  </property>
  <property fmtid="{D5CDD505-2E9C-101B-9397-08002B2CF9AE}" pid="39" name="NOSE15">
    <vt:lpwstr>משפט פרטי וכלכלה</vt:lpwstr>
  </property>
  <property fmtid="{D5CDD505-2E9C-101B-9397-08002B2CF9AE}" pid="40" name="NOSE25">
    <vt:lpwstr>קניין</vt:lpwstr>
  </property>
  <property fmtid="{D5CDD505-2E9C-101B-9397-08002B2CF9AE}" pid="41" name="NOSE35">
    <vt:lpwstr>מקרקעין</vt:lpwstr>
  </property>
  <property fmtid="{D5CDD505-2E9C-101B-9397-08002B2CF9AE}" pid="42" name="NOSE45">
    <vt:lpwstr>שמאי מקרקעין</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