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5DB" w:rsidRDefault="008605DB">
      <w:pPr>
        <w:pStyle w:val="big-header"/>
        <w:ind w:left="0" w:right="1134"/>
        <w:rPr>
          <w:rFonts w:cs="FrankRuehl"/>
          <w:sz w:val="32"/>
        </w:rPr>
      </w:pPr>
      <w:r>
        <w:rPr>
          <w:rFonts w:cs="FrankRuehl" w:hint="cs"/>
          <w:sz w:val="32"/>
          <w:rtl/>
        </w:rPr>
        <w:t>תקנות התכנון והבניה (תדירות דיוני מוסד תכנון), תשס"ג-2003</w:t>
      </w:r>
    </w:p>
    <w:p w:rsidR="00282E84" w:rsidRPr="00282E84" w:rsidRDefault="00282E84" w:rsidP="00282E84">
      <w:pPr>
        <w:spacing w:line="320" w:lineRule="auto"/>
        <w:jc w:val="left"/>
        <w:rPr>
          <w:rFonts w:cs="FrankRuehl"/>
          <w:szCs w:val="26"/>
          <w:rtl/>
        </w:rPr>
      </w:pPr>
    </w:p>
    <w:p w:rsidR="00282E84" w:rsidRDefault="00282E84" w:rsidP="00282E84">
      <w:pPr>
        <w:spacing w:line="320" w:lineRule="auto"/>
        <w:jc w:val="left"/>
        <w:rPr>
          <w:rtl/>
        </w:rPr>
      </w:pPr>
    </w:p>
    <w:p w:rsidR="00282E84" w:rsidRPr="00282E84" w:rsidRDefault="00282E84" w:rsidP="00282E84">
      <w:pPr>
        <w:spacing w:line="320" w:lineRule="auto"/>
        <w:jc w:val="left"/>
        <w:rPr>
          <w:rFonts w:cs="Miriam"/>
          <w:szCs w:val="22"/>
          <w:rtl/>
        </w:rPr>
      </w:pPr>
      <w:r w:rsidRPr="00282E84">
        <w:rPr>
          <w:rFonts w:cs="Miriam"/>
          <w:szCs w:val="22"/>
          <w:rtl/>
        </w:rPr>
        <w:t>רשויות ומשפט מנהלי</w:t>
      </w:r>
      <w:r w:rsidRPr="00282E84">
        <w:rPr>
          <w:rFonts w:cs="FrankRuehl"/>
          <w:szCs w:val="26"/>
          <w:rtl/>
        </w:rPr>
        <w:t xml:space="preserve"> – תכנון ובניה</w:t>
      </w:r>
    </w:p>
    <w:p w:rsidR="008605DB" w:rsidRDefault="008605DB">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136FE" w:rsidRPr="00E136FE" w:rsidTr="00E136FE">
        <w:tblPrEx>
          <w:tblCellMar>
            <w:top w:w="0" w:type="dxa"/>
            <w:bottom w:w="0" w:type="dxa"/>
          </w:tblCellMar>
        </w:tblPrEx>
        <w:tc>
          <w:tcPr>
            <w:tcW w:w="1247" w:type="dxa"/>
          </w:tcPr>
          <w:p w:rsidR="00E136FE" w:rsidRPr="00E136FE" w:rsidRDefault="00E136FE" w:rsidP="00E136FE">
            <w:pPr>
              <w:spacing w:line="240" w:lineRule="auto"/>
              <w:jc w:val="left"/>
              <w:rPr>
                <w:rFonts w:cs="Frankruhel"/>
                <w:sz w:val="24"/>
                <w:rtl/>
              </w:rPr>
            </w:pPr>
            <w:r>
              <w:rPr>
                <w:sz w:val="24"/>
                <w:rtl/>
              </w:rPr>
              <w:t xml:space="preserve">סעיף 1 </w:t>
            </w:r>
          </w:p>
        </w:tc>
        <w:tc>
          <w:tcPr>
            <w:tcW w:w="5669" w:type="dxa"/>
          </w:tcPr>
          <w:p w:rsidR="00E136FE" w:rsidRPr="00E136FE" w:rsidRDefault="00E136FE" w:rsidP="00E136FE">
            <w:pPr>
              <w:spacing w:line="240" w:lineRule="auto"/>
              <w:jc w:val="left"/>
              <w:rPr>
                <w:rFonts w:cs="Frankruhel"/>
                <w:sz w:val="24"/>
                <w:rtl/>
              </w:rPr>
            </w:pPr>
            <w:r>
              <w:rPr>
                <w:sz w:val="24"/>
                <w:rtl/>
              </w:rPr>
              <w:t>הגדרות</w:t>
            </w:r>
          </w:p>
        </w:tc>
        <w:tc>
          <w:tcPr>
            <w:tcW w:w="567" w:type="dxa"/>
          </w:tcPr>
          <w:p w:rsidR="00E136FE" w:rsidRPr="00E136FE" w:rsidRDefault="00E136FE" w:rsidP="00E136FE">
            <w:pPr>
              <w:spacing w:line="240" w:lineRule="auto"/>
              <w:jc w:val="left"/>
              <w:rPr>
                <w:rStyle w:val="Hyperlink"/>
                <w:rtl/>
              </w:rPr>
            </w:pPr>
            <w:hyperlink w:anchor="Seif1" w:tooltip="הגדרות" w:history="1">
              <w:r w:rsidRPr="00E136FE">
                <w:rPr>
                  <w:rStyle w:val="Hyperlink"/>
                </w:rPr>
                <w:t>Go</w:t>
              </w:r>
            </w:hyperlink>
          </w:p>
        </w:tc>
        <w:tc>
          <w:tcPr>
            <w:tcW w:w="850" w:type="dxa"/>
          </w:tcPr>
          <w:p w:rsidR="00E136FE" w:rsidRPr="00E136FE" w:rsidRDefault="00E136FE" w:rsidP="00E136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36FE" w:rsidRPr="00E136FE" w:rsidTr="00E136FE">
        <w:tblPrEx>
          <w:tblCellMar>
            <w:top w:w="0" w:type="dxa"/>
            <w:bottom w:w="0" w:type="dxa"/>
          </w:tblCellMar>
        </w:tblPrEx>
        <w:tc>
          <w:tcPr>
            <w:tcW w:w="1247" w:type="dxa"/>
          </w:tcPr>
          <w:p w:rsidR="00E136FE" w:rsidRPr="00E136FE" w:rsidRDefault="00E136FE" w:rsidP="00E136FE">
            <w:pPr>
              <w:spacing w:line="240" w:lineRule="auto"/>
              <w:jc w:val="left"/>
              <w:rPr>
                <w:rFonts w:cs="Frankruhel"/>
                <w:sz w:val="24"/>
                <w:rtl/>
              </w:rPr>
            </w:pPr>
            <w:r>
              <w:rPr>
                <w:sz w:val="24"/>
                <w:rtl/>
              </w:rPr>
              <w:t xml:space="preserve">סעיף 2 </w:t>
            </w:r>
          </w:p>
        </w:tc>
        <w:tc>
          <w:tcPr>
            <w:tcW w:w="5669" w:type="dxa"/>
          </w:tcPr>
          <w:p w:rsidR="00E136FE" w:rsidRPr="00E136FE" w:rsidRDefault="00E136FE" w:rsidP="00E136FE">
            <w:pPr>
              <w:spacing w:line="240" w:lineRule="auto"/>
              <w:jc w:val="left"/>
              <w:rPr>
                <w:rFonts w:cs="Frankruhel"/>
                <w:sz w:val="24"/>
                <w:rtl/>
              </w:rPr>
            </w:pPr>
            <w:r>
              <w:rPr>
                <w:sz w:val="24"/>
                <w:rtl/>
              </w:rPr>
              <w:t>ישיבות מוסד תכנון</w:t>
            </w:r>
          </w:p>
        </w:tc>
        <w:tc>
          <w:tcPr>
            <w:tcW w:w="567" w:type="dxa"/>
          </w:tcPr>
          <w:p w:rsidR="00E136FE" w:rsidRPr="00E136FE" w:rsidRDefault="00E136FE" w:rsidP="00E136FE">
            <w:pPr>
              <w:spacing w:line="240" w:lineRule="auto"/>
              <w:jc w:val="left"/>
              <w:rPr>
                <w:rStyle w:val="Hyperlink"/>
                <w:rtl/>
              </w:rPr>
            </w:pPr>
            <w:hyperlink w:anchor="Seif2" w:tooltip="ישיבות מוסד תכנון" w:history="1">
              <w:r w:rsidRPr="00E136FE">
                <w:rPr>
                  <w:rStyle w:val="Hyperlink"/>
                </w:rPr>
                <w:t>Go</w:t>
              </w:r>
            </w:hyperlink>
          </w:p>
        </w:tc>
        <w:tc>
          <w:tcPr>
            <w:tcW w:w="850" w:type="dxa"/>
          </w:tcPr>
          <w:p w:rsidR="00E136FE" w:rsidRPr="00E136FE" w:rsidRDefault="00E136FE" w:rsidP="00E136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36FE" w:rsidRPr="00E136FE" w:rsidTr="00E136FE">
        <w:tblPrEx>
          <w:tblCellMar>
            <w:top w:w="0" w:type="dxa"/>
            <w:bottom w:w="0" w:type="dxa"/>
          </w:tblCellMar>
        </w:tblPrEx>
        <w:tc>
          <w:tcPr>
            <w:tcW w:w="1247" w:type="dxa"/>
          </w:tcPr>
          <w:p w:rsidR="00E136FE" w:rsidRPr="00E136FE" w:rsidRDefault="00E136FE" w:rsidP="00E136FE">
            <w:pPr>
              <w:spacing w:line="240" w:lineRule="auto"/>
              <w:jc w:val="left"/>
              <w:rPr>
                <w:rFonts w:cs="Frankruhel"/>
                <w:sz w:val="24"/>
                <w:rtl/>
              </w:rPr>
            </w:pPr>
            <w:r>
              <w:rPr>
                <w:sz w:val="24"/>
                <w:rtl/>
              </w:rPr>
              <w:t xml:space="preserve">סעיף 3 </w:t>
            </w:r>
          </w:p>
        </w:tc>
        <w:tc>
          <w:tcPr>
            <w:tcW w:w="5669" w:type="dxa"/>
          </w:tcPr>
          <w:p w:rsidR="00E136FE" w:rsidRPr="00E136FE" w:rsidRDefault="00E136FE" w:rsidP="00E136FE">
            <w:pPr>
              <w:spacing w:line="240" w:lineRule="auto"/>
              <w:jc w:val="left"/>
              <w:rPr>
                <w:rFonts w:cs="Frankruhel"/>
                <w:sz w:val="24"/>
                <w:rtl/>
              </w:rPr>
            </w:pPr>
            <w:r>
              <w:rPr>
                <w:sz w:val="24"/>
                <w:rtl/>
              </w:rPr>
              <w:t>מספר הישיבות של המועצה הארצית</w:t>
            </w:r>
          </w:p>
        </w:tc>
        <w:tc>
          <w:tcPr>
            <w:tcW w:w="567" w:type="dxa"/>
          </w:tcPr>
          <w:p w:rsidR="00E136FE" w:rsidRPr="00E136FE" w:rsidRDefault="00E136FE" w:rsidP="00E136FE">
            <w:pPr>
              <w:spacing w:line="240" w:lineRule="auto"/>
              <w:jc w:val="left"/>
              <w:rPr>
                <w:rStyle w:val="Hyperlink"/>
                <w:rtl/>
              </w:rPr>
            </w:pPr>
            <w:hyperlink w:anchor="Seif3" w:tooltip="מספר הישיבות של המועצה הארצית" w:history="1">
              <w:r w:rsidRPr="00E136FE">
                <w:rPr>
                  <w:rStyle w:val="Hyperlink"/>
                </w:rPr>
                <w:t>Go</w:t>
              </w:r>
            </w:hyperlink>
          </w:p>
        </w:tc>
        <w:tc>
          <w:tcPr>
            <w:tcW w:w="850" w:type="dxa"/>
          </w:tcPr>
          <w:p w:rsidR="00E136FE" w:rsidRPr="00E136FE" w:rsidRDefault="00E136FE" w:rsidP="00E136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36FE" w:rsidRPr="00E136FE" w:rsidTr="00E136FE">
        <w:tblPrEx>
          <w:tblCellMar>
            <w:top w:w="0" w:type="dxa"/>
            <w:bottom w:w="0" w:type="dxa"/>
          </w:tblCellMar>
        </w:tblPrEx>
        <w:tc>
          <w:tcPr>
            <w:tcW w:w="1247" w:type="dxa"/>
          </w:tcPr>
          <w:p w:rsidR="00E136FE" w:rsidRPr="00E136FE" w:rsidRDefault="00E136FE" w:rsidP="00E136FE">
            <w:pPr>
              <w:spacing w:line="240" w:lineRule="auto"/>
              <w:jc w:val="left"/>
              <w:rPr>
                <w:rFonts w:cs="Frankruhel"/>
                <w:sz w:val="24"/>
                <w:rtl/>
              </w:rPr>
            </w:pPr>
            <w:r>
              <w:rPr>
                <w:sz w:val="24"/>
                <w:rtl/>
              </w:rPr>
              <w:t xml:space="preserve">סעיף 4 </w:t>
            </w:r>
          </w:p>
        </w:tc>
        <w:tc>
          <w:tcPr>
            <w:tcW w:w="5669" w:type="dxa"/>
          </w:tcPr>
          <w:p w:rsidR="00E136FE" w:rsidRPr="00E136FE" w:rsidRDefault="00E136FE" w:rsidP="00E136FE">
            <w:pPr>
              <w:spacing w:line="240" w:lineRule="auto"/>
              <w:jc w:val="left"/>
              <w:rPr>
                <w:rFonts w:cs="Frankruhel"/>
                <w:sz w:val="24"/>
                <w:rtl/>
              </w:rPr>
            </w:pPr>
            <w:r>
              <w:rPr>
                <w:sz w:val="24"/>
                <w:rtl/>
              </w:rPr>
              <w:t>מספר ישיבות של ועדה מחוזית</w:t>
            </w:r>
          </w:p>
        </w:tc>
        <w:tc>
          <w:tcPr>
            <w:tcW w:w="567" w:type="dxa"/>
          </w:tcPr>
          <w:p w:rsidR="00E136FE" w:rsidRPr="00E136FE" w:rsidRDefault="00E136FE" w:rsidP="00E136FE">
            <w:pPr>
              <w:spacing w:line="240" w:lineRule="auto"/>
              <w:jc w:val="left"/>
              <w:rPr>
                <w:rStyle w:val="Hyperlink"/>
                <w:rtl/>
              </w:rPr>
            </w:pPr>
            <w:hyperlink w:anchor="Seif4" w:tooltip="מספר ישיבות של ועדה מחוזית" w:history="1">
              <w:r w:rsidRPr="00E136FE">
                <w:rPr>
                  <w:rStyle w:val="Hyperlink"/>
                </w:rPr>
                <w:t>Go</w:t>
              </w:r>
            </w:hyperlink>
          </w:p>
        </w:tc>
        <w:tc>
          <w:tcPr>
            <w:tcW w:w="850" w:type="dxa"/>
          </w:tcPr>
          <w:p w:rsidR="00E136FE" w:rsidRPr="00E136FE" w:rsidRDefault="00E136FE" w:rsidP="00E136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36FE" w:rsidRPr="00E136FE" w:rsidTr="00E136FE">
        <w:tblPrEx>
          <w:tblCellMar>
            <w:top w:w="0" w:type="dxa"/>
            <w:bottom w:w="0" w:type="dxa"/>
          </w:tblCellMar>
        </w:tblPrEx>
        <w:tc>
          <w:tcPr>
            <w:tcW w:w="1247" w:type="dxa"/>
          </w:tcPr>
          <w:p w:rsidR="00E136FE" w:rsidRPr="00E136FE" w:rsidRDefault="00E136FE" w:rsidP="00E136FE">
            <w:pPr>
              <w:spacing w:line="240" w:lineRule="auto"/>
              <w:jc w:val="left"/>
              <w:rPr>
                <w:rFonts w:cs="Frankruhel"/>
                <w:sz w:val="24"/>
                <w:rtl/>
              </w:rPr>
            </w:pPr>
            <w:r>
              <w:rPr>
                <w:sz w:val="24"/>
                <w:rtl/>
              </w:rPr>
              <w:t xml:space="preserve">סעיף 5 </w:t>
            </w:r>
          </w:p>
        </w:tc>
        <w:tc>
          <w:tcPr>
            <w:tcW w:w="5669" w:type="dxa"/>
          </w:tcPr>
          <w:p w:rsidR="00E136FE" w:rsidRPr="00E136FE" w:rsidRDefault="00E136FE" w:rsidP="00E136FE">
            <w:pPr>
              <w:spacing w:line="240" w:lineRule="auto"/>
              <w:jc w:val="left"/>
              <w:rPr>
                <w:rFonts w:cs="Frankruhel"/>
                <w:sz w:val="24"/>
                <w:rtl/>
              </w:rPr>
            </w:pPr>
            <w:r>
              <w:rPr>
                <w:sz w:val="24"/>
                <w:rtl/>
              </w:rPr>
              <w:t>מספר ישיבות של ועדה מקומית</w:t>
            </w:r>
          </w:p>
        </w:tc>
        <w:tc>
          <w:tcPr>
            <w:tcW w:w="567" w:type="dxa"/>
          </w:tcPr>
          <w:p w:rsidR="00E136FE" w:rsidRPr="00E136FE" w:rsidRDefault="00E136FE" w:rsidP="00E136FE">
            <w:pPr>
              <w:spacing w:line="240" w:lineRule="auto"/>
              <w:jc w:val="left"/>
              <w:rPr>
                <w:rStyle w:val="Hyperlink"/>
                <w:rtl/>
              </w:rPr>
            </w:pPr>
            <w:hyperlink w:anchor="Seif5" w:tooltip="מספר ישיבות של ועדה מקומית" w:history="1">
              <w:r w:rsidRPr="00E136FE">
                <w:rPr>
                  <w:rStyle w:val="Hyperlink"/>
                </w:rPr>
                <w:t>Go</w:t>
              </w:r>
            </w:hyperlink>
          </w:p>
        </w:tc>
        <w:tc>
          <w:tcPr>
            <w:tcW w:w="850" w:type="dxa"/>
          </w:tcPr>
          <w:p w:rsidR="00E136FE" w:rsidRPr="00E136FE" w:rsidRDefault="00E136FE" w:rsidP="00E136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36FE" w:rsidRPr="00E136FE" w:rsidTr="00E136FE">
        <w:tblPrEx>
          <w:tblCellMar>
            <w:top w:w="0" w:type="dxa"/>
            <w:bottom w:w="0" w:type="dxa"/>
          </w:tblCellMar>
        </w:tblPrEx>
        <w:tc>
          <w:tcPr>
            <w:tcW w:w="1247" w:type="dxa"/>
          </w:tcPr>
          <w:p w:rsidR="00E136FE" w:rsidRPr="00E136FE" w:rsidRDefault="00E136FE" w:rsidP="00E136FE">
            <w:pPr>
              <w:spacing w:line="240" w:lineRule="auto"/>
              <w:jc w:val="left"/>
              <w:rPr>
                <w:rFonts w:cs="Frankruhel"/>
                <w:sz w:val="24"/>
                <w:rtl/>
              </w:rPr>
            </w:pPr>
            <w:r>
              <w:rPr>
                <w:sz w:val="24"/>
                <w:rtl/>
              </w:rPr>
              <w:t xml:space="preserve">סעיף 6 </w:t>
            </w:r>
          </w:p>
        </w:tc>
        <w:tc>
          <w:tcPr>
            <w:tcW w:w="5669" w:type="dxa"/>
          </w:tcPr>
          <w:p w:rsidR="00E136FE" w:rsidRPr="00E136FE" w:rsidRDefault="00E136FE" w:rsidP="00E136FE">
            <w:pPr>
              <w:spacing w:line="240" w:lineRule="auto"/>
              <w:jc w:val="left"/>
              <w:rPr>
                <w:rFonts w:cs="Frankruhel"/>
                <w:sz w:val="24"/>
                <w:rtl/>
              </w:rPr>
            </w:pPr>
            <w:r>
              <w:rPr>
                <w:sz w:val="24"/>
                <w:rtl/>
              </w:rPr>
              <w:t>מספר הישיבות של רשות רישוי מקומית</w:t>
            </w:r>
          </w:p>
        </w:tc>
        <w:tc>
          <w:tcPr>
            <w:tcW w:w="567" w:type="dxa"/>
          </w:tcPr>
          <w:p w:rsidR="00E136FE" w:rsidRPr="00E136FE" w:rsidRDefault="00E136FE" w:rsidP="00E136FE">
            <w:pPr>
              <w:spacing w:line="240" w:lineRule="auto"/>
              <w:jc w:val="left"/>
              <w:rPr>
                <w:rStyle w:val="Hyperlink"/>
                <w:rtl/>
              </w:rPr>
            </w:pPr>
            <w:hyperlink w:anchor="Seif6" w:tooltip="מספר הישיבות של רשות רישוי מקומית" w:history="1">
              <w:r w:rsidRPr="00E136FE">
                <w:rPr>
                  <w:rStyle w:val="Hyperlink"/>
                </w:rPr>
                <w:t>Go</w:t>
              </w:r>
            </w:hyperlink>
          </w:p>
        </w:tc>
        <w:tc>
          <w:tcPr>
            <w:tcW w:w="850" w:type="dxa"/>
          </w:tcPr>
          <w:p w:rsidR="00E136FE" w:rsidRPr="00E136FE" w:rsidRDefault="00E136FE" w:rsidP="00E136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36FE" w:rsidRPr="00E136FE" w:rsidTr="00E136FE">
        <w:tblPrEx>
          <w:tblCellMar>
            <w:top w:w="0" w:type="dxa"/>
            <w:bottom w:w="0" w:type="dxa"/>
          </w:tblCellMar>
        </w:tblPrEx>
        <w:tc>
          <w:tcPr>
            <w:tcW w:w="1247" w:type="dxa"/>
          </w:tcPr>
          <w:p w:rsidR="00E136FE" w:rsidRPr="00E136FE" w:rsidRDefault="00E136FE" w:rsidP="00E136FE">
            <w:pPr>
              <w:spacing w:line="240" w:lineRule="auto"/>
              <w:jc w:val="left"/>
              <w:rPr>
                <w:rFonts w:cs="Frankruhel"/>
                <w:sz w:val="24"/>
                <w:rtl/>
              </w:rPr>
            </w:pPr>
            <w:r>
              <w:rPr>
                <w:sz w:val="24"/>
                <w:rtl/>
              </w:rPr>
              <w:t xml:space="preserve">סעיף 7 </w:t>
            </w:r>
          </w:p>
        </w:tc>
        <w:tc>
          <w:tcPr>
            <w:tcW w:w="5669" w:type="dxa"/>
          </w:tcPr>
          <w:p w:rsidR="00E136FE" w:rsidRPr="00E136FE" w:rsidRDefault="00E136FE" w:rsidP="00E136FE">
            <w:pPr>
              <w:spacing w:line="240" w:lineRule="auto"/>
              <w:jc w:val="left"/>
              <w:rPr>
                <w:rFonts w:cs="Frankruhel"/>
                <w:sz w:val="24"/>
                <w:rtl/>
              </w:rPr>
            </w:pPr>
            <w:r>
              <w:rPr>
                <w:sz w:val="24"/>
                <w:rtl/>
              </w:rPr>
              <w:t>מתן הוראות לענין כינוס ישיבות נוספות מן המנין</w:t>
            </w:r>
          </w:p>
        </w:tc>
        <w:tc>
          <w:tcPr>
            <w:tcW w:w="567" w:type="dxa"/>
          </w:tcPr>
          <w:p w:rsidR="00E136FE" w:rsidRPr="00E136FE" w:rsidRDefault="00E136FE" w:rsidP="00E136FE">
            <w:pPr>
              <w:spacing w:line="240" w:lineRule="auto"/>
              <w:jc w:val="left"/>
              <w:rPr>
                <w:rStyle w:val="Hyperlink"/>
                <w:rtl/>
              </w:rPr>
            </w:pPr>
            <w:hyperlink w:anchor="Seif7" w:tooltip="מתן הוראות לענין כינוס ישיבות נוספות מן המנין" w:history="1">
              <w:r w:rsidRPr="00E136FE">
                <w:rPr>
                  <w:rStyle w:val="Hyperlink"/>
                </w:rPr>
                <w:t>Go</w:t>
              </w:r>
            </w:hyperlink>
          </w:p>
        </w:tc>
        <w:tc>
          <w:tcPr>
            <w:tcW w:w="850" w:type="dxa"/>
          </w:tcPr>
          <w:p w:rsidR="00E136FE" w:rsidRPr="00E136FE" w:rsidRDefault="00E136FE" w:rsidP="00E136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36FE" w:rsidRPr="00E136FE" w:rsidTr="00E136FE">
        <w:tblPrEx>
          <w:tblCellMar>
            <w:top w:w="0" w:type="dxa"/>
            <w:bottom w:w="0" w:type="dxa"/>
          </w:tblCellMar>
        </w:tblPrEx>
        <w:tc>
          <w:tcPr>
            <w:tcW w:w="1247" w:type="dxa"/>
          </w:tcPr>
          <w:p w:rsidR="00E136FE" w:rsidRPr="00E136FE" w:rsidRDefault="00E136FE" w:rsidP="00E136FE">
            <w:pPr>
              <w:spacing w:line="240" w:lineRule="auto"/>
              <w:jc w:val="left"/>
              <w:rPr>
                <w:rFonts w:cs="Frankruhel"/>
                <w:sz w:val="24"/>
                <w:rtl/>
              </w:rPr>
            </w:pPr>
            <w:r>
              <w:rPr>
                <w:sz w:val="24"/>
                <w:rtl/>
              </w:rPr>
              <w:t xml:space="preserve">סעיף 8 </w:t>
            </w:r>
          </w:p>
        </w:tc>
        <w:tc>
          <w:tcPr>
            <w:tcW w:w="5669" w:type="dxa"/>
          </w:tcPr>
          <w:p w:rsidR="00E136FE" w:rsidRPr="00E136FE" w:rsidRDefault="00E136FE" w:rsidP="00E136FE">
            <w:pPr>
              <w:spacing w:line="240" w:lineRule="auto"/>
              <w:jc w:val="left"/>
              <w:rPr>
                <w:rFonts w:cs="Frankruhel"/>
                <w:sz w:val="24"/>
                <w:rtl/>
              </w:rPr>
            </w:pPr>
            <w:r>
              <w:rPr>
                <w:sz w:val="24"/>
                <w:rtl/>
              </w:rPr>
              <w:t>מתן הוראות לכינוס ישיבה שלא מן המנין</w:t>
            </w:r>
          </w:p>
        </w:tc>
        <w:tc>
          <w:tcPr>
            <w:tcW w:w="567" w:type="dxa"/>
          </w:tcPr>
          <w:p w:rsidR="00E136FE" w:rsidRPr="00E136FE" w:rsidRDefault="00E136FE" w:rsidP="00E136FE">
            <w:pPr>
              <w:spacing w:line="240" w:lineRule="auto"/>
              <w:jc w:val="left"/>
              <w:rPr>
                <w:rStyle w:val="Hyperlink"/>
                <w:rtl/>
              </w:rPr>
            </w:pPr>
            <w:hyperlink w:anchor="Seif8" w:tooltip="מתן הוראות לכינוס ישיבה שלא מן המנין" w:history="1">
              <w:r w:rsidRPr="00E136FE">
                <w:rPr>
                  <w:rStyle w:val="Hyperlink"/>
                </w:rPr>
                <w:t>Go</w:t>
              </w:r>
            </w:hyperlink>
          </w:p>
        </w:tc>
        <w:tc>
          <w:tcPr>
            <w:tcW w:w="850" w:type="dxa"/>
          </w:tcPr>
          <w:p w:rsidR="00E136FE" w:rsidRPr="00E136FE" w:rsidRDefault="00E136FE" w:rsidP="00E136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36FE" w:rsidRPr="00E136FE" w:rsidTr="00E136FE">
        <w:tblPrEx>
          <w:tblCellMar>
            <w:top w:w="0" w:type="dxa"/>
            <w:bottom w:w="0" w:type="dxa"/>
          </w:tblCellMar>
        </w:tblPrEx>
        <w:tc>
          <w:tcPr>
            <w:tcW w:w="1247" w:type="dxa"/>
          </w:tcPr>
          <w:p w:rsidR="00E136FE" w:rsidRPr="00E136FE" w:rsidRDefault="00E136FE" w:rsidP="00E136FE">
            <w:pPr>
              <w:spacing w:line="240" w:lineRule="auto"/>
              <w:jc w:val="left"/>
              <w:rPr>
                <w:rFonts w:cs="Frankruhel"/>
                <w:sz w:val="24"/>
                <w:rtl/>
              </w:rPr>
            </w:pPr>
            <w:r>
              <w:rPr>
                <w:sz w:val="24"/>
                <w:rtl/>
              </w:rPr>
              <w:t xml:space="preserve">סעיף 9 </w:t>
            </w:r>
          </w:p>
        </w:tc>
        <w:tc>
          <w:tcPr>
            <w:tcW w:w="5669" w:type="dxa"/>
          </w:tcPr>
          <w:p w:rsidR="00E136FE" w:rsidRPr="00E136FE" w:rsidRDefault="00E136FE" w:rsidP="00E136FE">
            <w:pPr>
              <w:spacing w:line="240" w:lineRule="auto"/>
              <w:jc w:val="left"/>
              <w:rPr>
                <w:rFonts w:cs="Frankruhel"/>
                <w:sz w:val="24"/>
                <w:rtl/>
              </w:rPr>
            </w:pPr>
            <w:r>
              <w:rPr>
                <w:sz w:val="24"/>
                <w:rtl/>
              </w:rPr>
              <w:t>תחילה</w:t>
            </w:r>
          </w:p>
        </w:tc>
        <w:tc>
          <w:tcPr>
            <w:tcW w:w="567" w:type="dxa"/>
          </w:tcPr>
          <w:p w:rsidR="00E136FE" w:rsidRPr="00E136FE" w:rsidRDefault="00E136FE" w:rsidP="00E136FE">
            <w:pPr>
              <w:spacing w:line="240" w:lineRule="auto"/>
              <w:jc w:val="left"/>
              <w:rPr>
                <w:rStyle w:val="Hyperlink"/>
                <w:rtl/>
              </w:rPr>
            </w:pPr>
            <w:hyperlink w:anchor="Seif9" w:tooltip="תחילה" w:history="1">
              <w:r w:rsidRPr="00E136FE">
                <w:rPr>
                  <w:rStyle w:val="Hyperlink"/>
                </w:rPr>
                <w:t>Go</w:t>
              </w:r>
            </w:hyperlink>
          </w:p>
        </w:tc>
        <w:tc>
          <w:tcPr>
            <w:tcW w:w="850" w:type="dxa"/>
          </w:tcPr>
          <w:p w:rsidR="00E136FE" w:rsidRPr="00E136FE" w:rsidRDefault="00E136FE" w:rsidP="00E136F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8605DB" w:rsidRDefault="008605DB">
      <w:pPr>
        <w:pStyle w:val="big-header"/>
        <w:ind w:left="0" w:right="1134"/>
        <w:rPr>
          <w:rtl/>
        </w:rPr>
      </w:pPr>
    </w:p>
    <w:p w:rsidR="008605DB" w:rsidRDefault="008605DB" w:rsidP="00282E84">
      <w:pPr>
        <w:pStyle w:val="big-header"/>
        <w:ind w:left="0" w:right="1134"/>
        <w:rPr>
          <w:rStyle w:val="default"/>
          <w:rFonts w:cs="FrankRuehl" w:hint="cs"/>
          <w:rtl/>
        </w:rPr>
      </w:pPr>
      <w:r>
        <w:rPr>
          <w:rtl/>
        </w:rPr>
        <w:br w:type="page"/>
      </w:r>
      <w:r>
        <w:rPr>
          <w:rFonts w:cs="FrankRuehl" w:hint="cs"/>
          <w:sz w:val="32"/>
          <w:rtl/>
        </w:rPr>
        <w:lastRenderedPageBreak/>
        <w:t>תקנות התכנון והבניה (תדירות דיוני מוסד תכנון), תשס"ג-2003</w:t>
      </w:r>
      <w:r>
        <w:rPr>
          <w:rStyle w:val="default"/>
          <w:sz w:val="22"/>
          <w:szCs w:val="22"/>
          <w:rtl/>
        </w:rPr>
        <w:footnoteReference w:customMarkFollows="1" w:id="1"/>
        <w:t>*</w:t>
      </w:r>
    </w:p>
    <w:p w:rsidR="008605DB" w:rsidRDefault="008605DB">
      <w:pPr>
        <w:pStyle w:val="P00"/>
        <w:spacing w:before="72"/>
        <w:ind w:left="0" w:right="1134"/>
        <w:rPr>
          <w:rStyle w:val="default"/>
          <w:rFonts w:cs="FrankRuehl" w:hint="cs"/>
          <w:rtl/>
        </w:rPr>
      </w:pPr>
    </w:p>
    <w:p w:rsidR="008605DB" w:rsidRDefault="008605DB">
      <w:pPr>
        <w:pStyle w:val="P00"/>
        <w:spacing w:before="72"/>
        <w:ind w:left="0" w:right="1134"/>
        <w:rPr>
          <w:rStyle w:val="default"/>
          <w:rFonts w:cs="FrankRuehl" w:hint="cs"/>
          <w:rtl/>
        </w:rPr>
      </w:pPr>
      <w:r>
        <w:rPr>
          <w:rStyle w:val="default"/>
          <w:rFonts w:cs="FrankRuehl" w:hint="cs"/>
          <w:rtl/>
        </w:rPr>
        <w:tab/>
        <w:t xml:space="preserve">בתוקף סמכותי לפי סעיף 265 לחוק התכנון והבניה, התשכ"ה-1965 (להלן </w:t>
      </w:r>
      <w:r>
        <w:rPr>
          <w:rStyle w:val="default"/>
          <w:rFonts w:cs="FrankRuehl"/>
          <w:rtl/>
        </w:rPr>
        <w:t>–</w:t>
      </w:r>
      <w:r>
        <w:rPr>
          <w:rStyle w:val="default"/>
          <w:rFonts w:cs="FrankRuehl" w:hint="cs"/>
          <w:rtl/>
        </w:rPr>
        <w:t xml:space="preserve"> החוק), ולאחר התייעצות עם המועצה הארצית לתכנון ולבניה, אני מתקין תקנות אלה:</w:t>
      </w:r>
    </w:p>
    <w:p w:rsidR="008605DB" w:rsidRDefault="008605DB">
      <w:pPr>
        <w:pStyle w:val="P00"/>
        <w:spacing w:before="72"/>
        <w:ind w:left="0" w:right="1134"/>
        <w:rPr>
          <w:rStyle w:val="default"/>
          <w:rFonts w:cs="FrankRuehl" w:hint="cs"/>
          <w:rtl/>
        </w:rPr>
      </w:pPr>
      <w:bookmarkStart w:id="0" w:name="Seif1"/>
      <w:bookmarkEnd w:id="0"/>
      <w:r>
        <w:rPr>
          <w:rFonts w:cs="Miriam"/>
          <w:szCs w:val="32"/>
          <w:rtl/>
          <w:lang w:val="he-IL"/>
        </w:rPr>
        <w:pict>
          <v:shapetype id="_x0000_t202" coordsize="21600,21600" o:spt="202" path="m,l,21600r21600,l21600,xe">
            <v:stroke joinstyle="miter"/>
            <v:path gradientshapeok="t" o:connecttype="rect"/>
          </v:shapetype>
          <v:shape id="_x0000_s1027" type="#_x0000_t202" style="position:absolute;left:0;text-align:left;margin-left:470.25pt;margin-top:1.5pt;width:1in;height:15.8pt;z-index:251653120" filled="f" stroked="f">
            <v:textbox inset="1mm,,1mm">
              <w:txbxContent>
                <w:p w:rsidR="008605DB" w:rsidRDefault="008605DB">
                  <w:pPr>
                    <w:spacing w:line="160" w:lineRule="exact"/>
                    <w:jc w:val="left"/>
                    <w:rPr>
                      <w:rFonts w:cs="Miriam" w:hint="cs"/>
                      <w:szCs w:val="18"/>
                      <w:rtl/>
                    </w:rPr>
                  </w:pPr>
                  <w:r>
                    <w:rPr>
                      <w:rFonts w:cs="Miriam" w:hint="cs"/>
                      <w:szCs w:val="18"/>
                      <w:rtl/>
                    </w:rPr>
                    <w:t>הגדרות</w:t>
                  </w:r>
                </w:p>
              </w:txbxContent>
            </v:textbox>
            <w10:anchorlock/>
          </v:shape>
        </w:pict>
      </w:r>
      <w:r>
        <w:rPr>
          <w:rStyle w:val="default"/>
          <w:rFonts w:cs="Miriam" w:hint="cs"/>
          <w:sz w:val="32"/>
          <w:szCs w:val="32"/>
          <w:rtl/>
        </w:rPr>
        <w:t>1</w:t>
      </w:r>
      <w:r>
        <w:rPr>
          <w:rStyle w:val="default"/>
          <w:rFonts w:cs="FrankRuehl" w:hint="cs"/>
          <w:rtl/>
        </w:rPr>
        <w:t>.</w:t>
      </w:r>
      <w:r>
        <w:rPr>
          <w:rStyle w:val="default"/>
          <w:rFonts w:cs="FrankRuehl" w:hint="cs"/>
          <w:rtl/>
        </w:rPr>
        <w:tab/>
        <w:t xml:space="preserve">בתקנות אלה </w:t>
      </w:r>
      <w:r>
        <w:rPr>
          <w:rStyle w:val="default"/>
          <w:rFonts w:cs="FrankRuehl"/>
          <w:rtl/>
        </w:rPr>
        <w:t>–</w:t>
      </w:r>
    </w:p>
    <w:p w:rsidR="008605DB" w:rsidRDefault="008605DB">
      <w:pPr>
        <w:pStyle w:val="P00"/>
        <w:spacing w:before="72"/>
        <w:ind w:left="0" w:right="1134"/>
        <w:rPr>
          <w:rStyle w:val="default"/>
          <w:rFonts w:cs="FrankRuehl" w:hint="cs"/>
          <w:rtl/>
        </w:rPr>
      </w:pPr>
      <w:r>
        <w:rPr>
          <w:rStyle w:val="default"/>
          <w:rFonts w:cs="FrankRuehl" w:hint="cs"/>
          <w:rtl/>
        </w:rPr>
        <w:tab/>
        <w:t xml:space="preserve">"המועצה הארצית" </w:t>
      </w:r>
      <w:r>
        <w:rPr>
          <w:rStyle w:val="default"/>
          <w:rFonts w:cs="FrankRuehl"/>
          <w:rtl/>
        </w:rPr>
        <w:t>–</w:t>
      </w:r>
      <w:r>
        <w:rPr>
          <w:rStyle w:val="default"/>
          <w:rFonts w:cs="FrankRuehl" w:hint="cs"/>
          <w:rtl/>
        </w:rPr>
        <w:t xml:space="preserve"> המועצה הארצית לתכנון ולבניה כמשמעה בסעיף 2 לחוק;</w:t>
      </w:r>
    </w:p>
    <w:p w:rsidR="008605DB" w:rsidRDefault="008605DB">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 או מי שהוא אצל לו מסמכותו על פי החוק;</w:t>
      </w:r>
    </w:p>
    <w:p w:rsidR="008605DB" w:rsidRDefault="008605DB">
      <w:pPr>
        <w:pStyle w:val="P00"/>
        <w:spacing w:before="72"/>
        <w:ind w:left="0" w:right="1134"/>
        <w:rPr>
          <w:rStyle w:val="default"/>
          <w:rFonts w:cs="FrankRuehl" w:hint="cs"/>
          <w:rtl/>
        </w:rPr>
      </w:pPr>
      <w:r>
        <w:rPr>
          <w:rStyle w:val="default"/>
          <w:rFonts w:cs="FrankRuehl" w:hint="cs"/>
          <w:rtl/>
        </w:rPr>
        <w:tab/>
        <w:t xml:space="preserve">"ועדה מחוזית" </w:t>
      </w:r>
      <w:r>
        <w:rPr>
          <w:rStyle w:val="default"/>
          <w:rFonts w:cs="FrankRuehl"/>
          <w:rtl/>
        </w:rPr>
        <w:t>–</w:t>
      </w:r>
      <w:r>
        <w:rPr>
          <w:rStyle w:val="default"/>
          <w:rFonts w:cs="FrankRuehl" w:hint="cs"/>
          <w:rtl/>
        </w:rPr>
        <w:t xml:space="preserve"> ועדה מחוזית לתכנון ולבניה כמשמעה בסעיף 7 לחוק;</w:t>
      </w:r>
    </w:p>
    <w:p w:rsidR="008605DB" w:rsidRDefault="008605DB">
      <w:pPr>
        <w:pStyle w:val="P00"/>
        <w:spacing w:before="72"/>
        <w:ind w:left="0" w:right="1134"/>
        <w:rPr>
          <w:rStyle w:val="default"/>
          <w:rFonts w:cs="FrankRuehl" w:hint="cs"/>
          <w:rtl/>
        </w:rPr>
      </w:pPr>
      <w:r>
        <w:rPr>
          <w:rStyle w:val="default"/>
          <w:rFonts w:cs="FrankRuehl" w:hint="cs"/>
          <w:rtl/>
        </w:rPr>
        <w:tab/>
        <w:t xml:space="preserve">"ועדה מקומית" </w:t>
      </w:r>
      <w:r>
        <w:rPr>
          <w:rStyle w:val="default"/>
          <w:rFonts w:cs="FrankRuehl"/>
          <w:rtl/>
        </w:rPr>
        <w:t>–</w:t>
      </w:r>
      <w:r>
        <w:rPr>
          <w:rStyle w:val="default"/>
          <w:rFonts w:cs="FrankRuehl" w:hint="cs"/>
          <w:rtl/>
        </w:rPr>
        <w:t xml:space="preserve"> ועדה מקומית לתכנון ולבניה כמשמעה בסעיף 18 או 19 לחוק;</w:t>
      </w:r>
    </w:p>
    <w:p w:rsidR="008605DB" w:rsidRDefault="008605DB">
      <w:pPr>
        <w:pStyle w:val="P00"/>
        <w:spacing w:before="72"/>
        <w:ind w:left="0" w:right="1134"/>
        <w:rPr>
          <w:rStyle w:val="default"/>
          <w:rFonts w:cs="FrankRuehl" w:hint="cs"/>
          <w:rtl/>
        </w:rPr>
      </w:pPr>
      <w:r>
        <w:rPr>
          <w:rStyle w:val="default"/>
          <w:rFonts w:cs="FrankRuehl" w:hint="cs"/>
          <w:rtl/>
        </w:rPr>
        <w:tab/>
        <w:t xml:space="preserve">"ועדת משנה להתנגדויות של ועדה מחוזית" </w:t>
      </w:r>
      <w:r>
        <w:rPr>
          <w:rStyle w:val="default"/>
          <w:rFonts w:cs="FrankRuehl"/>
          <w:rtl/>
        </w:rPr>
        <w:t>–</w:t>
      </w:r>
      <w:r>
        <w:rPr>
          <w:rStyle w:val="default"/>
          <w:rFonts w:cs="FrankRuehl" w:hint="cs"/>
          <w:rtl/>
        </w:rPr>
        <w:t xml:space="preserve"> כמשמעה בסעיף 11(א) לחוק;</w:t>
      </w:r>
    </w:p>
    <w:p w:rsidR="008605DB" w:rsidRDefault="008605DB">
      <w:pPr>
        <w:pStyle w:val="P00"/>
        <w:spacing w:before="72"/>
        <w:ind w:left="0" w:right="1134"/>
        <w:rPr>
          <w:rStyle w:val="default"/>
          <w:rFonts w:cs="FrankRuehl" w:hint="cs"/>
          <w:rtl/>
        </w:rPr>
      </w:pPr>
      <w:r>
        <w:rPr>
          <w:rStyle w:val="default"/>
          <w:rFonts w:cs="FrankRuehl" w:hint="cs"/>
          <w:rtl/>
        </w:rPr>
        <w:tab/>
        <w:t xml:space="preserve">"ועדת משנה לתכנון ולבניה" </w:t>
      </w:r>
      <w:r>
        <w:rPr>
          <w:rStyle w:val="default"/>
          <w:rFonts w:cs="FrankRuehl"/>
          <w:rtl/>
        </w:rPr>
        <w:t>–</w:t>
      </w:r>
      <w:r>
        <w:rPr>
          <w:rStyle w:val="default"/>
          <w:rFonts w:cs="FrankRuehl" w:hint="cs"/>
          <w:rtl/>
        </w:rPr>
        <w:t xml:space="preserve"> ועדת משנה לתכנון ולבניה של ועדה מקומית כמשמעה בסעיף 18(ה) או 29א לחוק;</w:t>
      </w:r>
    </w:p>
    <w:p w:rsidR="008605DB" w:rsidRDefault="008605DB">
      <w:pPr>
        <w:pStyle w:val="P00"/>
        <w:spacing w:before="72"/>
        <w:ind w:left="0" w:right="1134"/>
        <w:rPr>
          <w:rStyle w:val="default"/>
          <w:rFonts w:cs="FrankRuehl" w:hint="cs"/>
          <w:rtl/>
        </w:rPr>
      </w:pPr>
      <w:r>
        <w:rPr>
          <w:rStyle w:val="default"/>
          <w:rFonts w:cs="FrankRuehl" w:hint="cs"/>
          <w:rtl/>
        </w:rPr>
        <w:tab/>
        <w:t xml:space="preserve">"ועדת משנה של המועצה הארצית" </w:t>
      </w:r>
      <w:r>
        <w:rPr>
          <w:rStyle w:val="default"/>
          <w:rFonts w:cs="FrankRuehl"/>
          <w:rtl/>
        </w:rPr>
        <w:t>–</w:t>
      </w:r>
      <w:r>
        <w:rPr>
          <w:rStyle w:val="default"/>
          <w:rFonts w:cs="FrankRuehl" w:hint="cs"/>
          <w:rtl/>
        </w:rPr>
        <w:t xml:space="preserve"> כמשמעה בסעיף 6(א) לחוק;</w:t>
      </w:r>
    </w:p>
    <w:p w:rsidR="008605DB" w:rsidRDefault="008605DB">
      <w:pPr>
        <w:pStyle w:val="P00"/>
        <w:spacing w:before="72"/>
        <w:ind w:left="0" w:right="1134"/>
        <w:rPr>
          <w:rStyle w:val="default"/>
          <w:rFonts w:cs="FrankRuehl" w:hint="cs"/>
          <w:rtl/>
        </w:rPr>
      </w:pPr>
      <w:r>
        <w:rPr>
          <w:rStyle w:val="default"/>
          <w:rFonts w:cs="FrankRuehl" w:hint="cs"/>
          <w:rtl/>
        </w:rPr>
        <w:tab/>
        <w:t xml:space="preserve">"ועדת משנה של ועדה מחוזית" </w:t>
      </w:r>
      <w:r>
        <w:rPr>
          <w:rStyle w:val="default"/>
          <w:rFonts w:cs="FrankRuehl"/>
          <w:rtl/>
        </w:rPr>
        <w:t>–</w:t>
      </w:r>
      <w:r>
        <w:rPr>
          <w:rStyle w:val="default"/>
          <w:rFonts w:cs="FrankRuehl" w:hint="cs"/>
          <w:rtl/>
        </w:rPr>
        <w:t xml:space="preserve"> כמשמעה בסעיף 11ב לחוק;</w:t>
      </w:r>
    </w:p>
    <w:p w:rsidR="008605DB" w:rsidRDefault="008605DB">
      <w:pPr>
        <w:pStyle w:val="P00"/>
        <w:spacing w:before="72"/>
        <w:ind w:left="0" w:right="1134"/>
        <w:rPr>
          <w:rStyle w:val="default"/>
          <w:rFonts w:cs="FrankRuehl" w:hint="cs"/>
          <w:rtl/>
        </w:rPr>
      </w:pPr>
      <w:r>
        <w:rPr>
          <w:rStyle w:val="default"/>
          <w:rFonts w:cs="FrankRuehl" w:hint="cs"/>
          <w:rtl/>
        </w:rPr>
        <w:tab/>
        <w:t xml:space="preserve">"מוסד תכנון" </w:t>
      </w:r>
      <w:r>
        <w:rPr>
          <w:rStyle w:val="default"/>
          <w:rFonts w:cs="FrankRuehl"/>
          <w:rtl/>
        </w:rPr>
        <w:t>–</w:t>
      </w:r>
      <w:r>
        <w:rPr>
          <w:rStyle w:val="default"/>
          <w:rFonts w:cs="FrankRuehl" w:hint="cs"/>
          <w:rtl/>
        </w:rPr>
        <w:t xml:space="preserve"> המועצה הארצית, ועדה מחוזית, ועדה מקומית, וכן ועדת משנה של כל אחת מהן, ועדת משנה להתנגדויות של ועדה מחוזית או רשות רישוי מקומית;</w:t>
      </w:r>
    </w:p>
    <w:p w:rsidR="008605DB" w:rsidRDefault="008605DB">
      <w:pPr>
        <w:pStyle w:val="P00"/>
        <w:spacing w:before="72"/>
        <w:ind w:left="0" w:right="1134"/>
        <w:rPr>
          <w:rStyle w:val="default"/>
          <w:rFonts w:cs="FrankRuehl" w:hint="cs"/>
          <w:rtl/>
        </w:rPr>
      </w:pPr>
      <w:r>
        <w:rPr>
          <w:rStyle w:val="default"/>
          <w:rFonts w:cs="FrankRuehl" w:hint="cs"/>
          <w:rtl/>
        </w:rPr>
        <w:tab/>
        <w:t xml:space="preserve">"רשות רישוי מקומית" </w:t>
      </w:r>
      <w:r>
        <w:rPr>
          <w:rStyle w:val="default"/>
          <w:rFonts w:cs="FrankRuehl"/>
          <w:rtl/>
        </w:rPr>
        <w:t>–</w:t>
      </w:r>
      <w:r>
        <w:rPr>
          <w:rStyle w:val="default"/>
          <w:rFonts w:cs="FrankRuehl" w:hint="cs"/>
          <w:rtl/>
        </w:rPr>
        <w:t xml:space="preserve"> כמשמעה בסעיף 30 לחוק.</w:t>
      </w:r>
    </w:p>
    <w:p w:rsidR="008605DB" w:rsidRDefault="008605DB">
      <w:pPr>
        <w:pStyle w:val="P00"/>
        <w:spacing w:before="72"/>
        <w:ind w:left="0" w:right="1134"/>
        <w:rPr>
          <w:rStyle w:val="default"/>
          <w:rFonts w:cs="FrankRuehl" w:hint="cs"/>
          <w:rtl/>
        </w:rPr>
      </w:pPr>
      <w:bookmarkStart w:id="1" w:name="Seif2"/>
      <w:bookmarkEnd w:id="1"/>
      <w:r>
        <w:rPr>
          <w:rFonts w:cs="Miriam"/>
          <w:szCs w:val="32"/>
          <w:rtl/>
          <w:lang w:val="he-IL"/>
        </w:rPr>
        <w:pict>
          <v:shape id="_x0000_s1028" type="#_x0000_t202" style="position:absolute;left:0;text-align:left;margin-left:470.25pt;margin-top:4pt;width:1in;height:14.2pt;z-index:251654144" filled="f" stroked="f">
            <v:textbox inset="1mm,,1mm">
              <w:txbxContent>
                <w:p w:rsidR="008605DB" w:rsidRDefault="008605DB">
                  <w:pPr>
                    <w:spacing w:line="160" w:lineRule="exact"/>
                    <w:jc w:val="left"/>
                    <w:rPr>
                      <w:rFonts w:cs="Miriam" w:hint="cs"/>
                      <w:szCs w:val="18"/>
                      <w:rtl/>
                    </w:rPr>
                  </w:pPr>
                  <w:r>
                    <w:rPr>
                      <w:rFonts w:cs="Miriam" w:hint="cs"/>
                      <w:szCs w:val="18"/>
                      <w:rtl/>
                    </w:rPr>
                    <w:t>ישיבות מוסד תכנון</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מוסד תכנון יקיים ישיבות מן המנין וישיבות שלא מן המנין, הכל כמפורט בתקנות אלה.</w:t>
      </w:r>
    </w:p>
    <w:p w:rsidR="008605DB" w:rsidRDefault="008605DB">
      <w:pPr>
        <w:pStyle w:val="P00"/>
        <w:spacing w:before="72"/>
        <w:ind w:left="0" w:right="1134"/>
        <w:rPr>
          <w:rStyle w:val="default"/>
          <w:rFonts w:cs="FrankRuehl" w:hint="cs"/>
          <w:rtl/>
        </w:rPr>
      </w:pPr>
      <w:bookmarkStart w:id="2" w:name="Seif3"/>
      <w:bookmarkEnd w:id="2"/>
      <w:r>
        <w:rPr>
          <w:rFonts w:cs="Miriam"/>
          <w:szCs w:val="32"/>
          <w:rtl/>
          <w:lang w:val="he-IL"/>
        </w:rPr>
        <w:pict>
          <v:shape id="_x0000_s1029" type="#_x0000_t202" style="position:absolute;left:0;text-align:left;margin-left:470.25pt;margin-top:7.05pt;width:1in;height:24.8pt;z-index:251655168" filled="f" stroked="f">
            <v:textbox inset="1mm,,1mm">
              <w:txbxContent>
                <w:p w:rsidR="008605DB" w:rsidRDefault="008605DB">
                  <w:pPr>
                    <w:spacing w:line="160" w:lineRule="exact"/>
                    <w:jc w:val="left"/>
                    <w:rPr>
                      <w:rFonts w:cs="Miriam" w:hint="cs"/>
                      <w:szCs w:val="18"/>
                      <w:rtl/>
                    </w:rPr>
                  </w:pPr>
                  <w:r>
                    <w:rPr>
                      <w:rFonts w:cs="Miriam" w:hint="cs"/>
                      <w:szCs w:val="18"/>
                      <w:rtl/>
                    </w:rPr>
                    <w:t>מספר הישיבות של המועצה הארצית</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המועצה הארצית תקיים ישיבה מן המנין אחת לחודש לפחות, אך רשאית היא להחליט שלא לקיימה בשני חודשים של השנה, ובלבד שמנין ישיבותיה בשנה לא יפחת מ-11.</w:t>
      </w:r>
    </w:p>
    <w:p w:rsidR="008605DB" w:rsidRDefault="008605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משנה אחת לפחות של המועצה הארצית, תקיים בכל חודש שתי ישיבות מן המנין לפחות, אך רשאית היא להחליט שבשני חודשים של השנה תקיים ישיבה אחת בלבד.</w:t>
      </w:r>
    </w:p>
    <w:p w:rsidR="008605DB" w:rsidRDefault="008605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ועדת משנה נוספת של המועצה הארצית מלבד זאת שבתקנת משנה (ב), תקיים ישיבות במספר הקבוע בתקנת משנה (א) לפחות.</w:t>
      </w:r>
    </w:p>
    <w:p w:rsidR="008605DB" w:rsidRDefault="008605D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המועצה הארצית או יושב ראש ועדת המשנה של המועצה הארצית, לפי הענין, רשאי לכנס את המועצה הארצית או את ועדת המשנה לישיבות נוספות, שלא מן המנין, אם ראה כי קיים צורך בכך.</w:t>
      </w:r>
    </w:p>
    <w:p w:rsidR="008605DB" w:rsidRDefault="008605DB" w:rsidP="00CD03D5">
      <w:pPr>
        <w:pStyle w:val="P00"/>
        <w:spacing w:before="72"/>
        <w:ind w:left="0" w:right="1134"/>
        <w:rPr>
          <w:rStyle w:val="default"/>
          <w:rFonts w:cs="FrankRuehl" w:hint="cs"/>
          <w:rtl/>
        </w:rPr>
      </w:pPr>
      <w:bookmarkStart w:id="3" w:name="Seif4"/>
      <w:bookmarkEnd w:id="3"/>
      <w:r>
        <w:rPr>
          <w:rFonts w:cs="Miriam"/>
          <w:szCs w:val="32"/>
          <w:rtl/>
          <w:lang w:val="he-IL"/>
        </w:rPr>
        <w:pict>
          <v:shape id="_x0000_s1030" type="#_x0000_t202" style="position:absolute;left:0;text-align:left;margin-left:462pt;margin-top:7.1pt;width:80.25pt;height:34.95pt;z-index:251656192" filled="f" stroked="f">
            <v:textbox style="mso-next-textbox:#_x0000_s1030" inset="1mm,0,1mm,0">
              <w:txbxContent>
                <w:p w:rsidR="008605DB" w:rsidRDefault="008605DB">
                  <w:pPr>
                    <w:spacing w:line="160" w:lineRule="exact"/>
                    <w:jc w:val="left"/>
                    <w:rPr>
                      <w:rFonts w:cs="Miriam" w:hint="cs"/>
                      <w:szCs w:val="18"/>
                      <w:rtl/>
                    </w:rPr>
                  </w:pPr>
                  <w:r>
                    <w:rPr>
                      <w:rFonts w:cs="Miriam" w:hint="cs"/>
                      <w:szCs w:val="18"/>
                      <w:rtl/>
                    </w:rPr>
                    <w:t>מספר ישיבות של ועדה מחוזית</w:t>
                  </w:r>
                </w:p>
                <w:p w:rsidR="00B24D88" w:rsidRDefault="00B24D88">
                  <w:pPr>
                    <w:spacing w:line="160" w:lineRule="exact"/>
                    <w:jc w:val="left"/>
                    <w:rPr>
                      <w:rFonts w:cs="Miriam" w:hint="cs"/>
                      <w:szCs w:val="18"/>
                      <w:rtl/>
                    </w:rPr>
                  </w:pPr>
                  <w:r>
                    <w:rPr>
                      <w:rFonts w:cs="Miriam" w:hint="cs"/>
                      <w:szCs w:val="18"/>
                      <w:rtl/>
                    </w:rPr>
                    <w:t>(הוראת שעה) תשע"ד-2014</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 xml:space="preserve">ועדה מחוזית תקיים ישיבה מן המנין </w:t>
      </w:r>
      <w:r w:rsidR="00CD03D5">
        <w:rPr>
          <w:rStyle w:val="default"/>
          <w:rFonts w:cs="FrankRuehl" w:hint="cs"/>
          <w:rtl/>
        </w:rPr>
        <w:t>אחת ל</w:t>
      </w:r>
      <w:r w:rsidR="00B24D88">
        <w:rPr>
          <w:rStyle w:val="default"/>
          <w:rFonts w:cs="FrankRuehl" w:hint="cs"/>
          <w:rtl/>
        </w:rPr>
        <w:t>חודש</w:t>
      </w:r>
      <w:r>
        <w:rPr>
          <w:rStyle w:val="default"/>
          <w:rFonts w:cs="FrankRuehl" w:hint="cs"/>
          <w:rtl/>
        </w:rPr>
        <w:t xml:space="preserve"> לפחות, אך רשאית היא להחליט שלא לקיימה בחודש אחד בשנה, ובלבד שמנין ישיבותיה בשנה לא יפחת מ-</w:t>
      </w:r>
      <w:r w:rsidR="00CD03D5">
        <w:rPr>
          <w:rStyle w:val="default"/>
          <w:rFonts w:cs="FrankRuehl" w:hint="cs"/>
          <w:rtl/>
        </w:rPr>
        <w:t>12</w:t>
      </w:r>
      <w:r>
        <w:rPr>
          <w:rStyle w:val="default"/>
          <w:rFonts w:cs="FrankRuehl" w:hint="cs"/>
          <w:rtl/>
        </w:rPr>
        <w:t>.</w:t>
      </w:r>
    </w:p>
    <w:p w:rsidR="008605DB" w:rsidRDefault="008605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משנה להתנגדויות של ועדה מחוזית תקיים בכל חודש שלוש ישיבות מן המנין לפחות, אך רשאית היא להחליט בשני חודשים של השנה לקיים שתי ישיבות בלבד.</w:t>
      </w:r>
    </w:p>
    <w:p w:rsidR="008605DB" w:rsidRDefault="008605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משנה אחת נוספת של ועדה מחוזית תקיים לפחות את מספר הישיבות הקבוע בתקנת משנה (א).</w:t>
      </w:r>
    </w:p>
    <w:p w:rsidR="008605DB" w:rsidRDefault="008605D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ועדה מחוזית או יושב ראש ועדת משנה כאמור בתקנת משנה (ב) או (ג), לפי הענין, רשאי לכנס את הועדה המחוזית או את ועדת המשנה לישיבות נוספות, שלא מן המנין, אם ראה כי קיים צורך בכך וכן רשאי הוא להפחית במספר הישיבות של ועדת משנה, אם ראה כי אין בהן צורך.</w:t>
      </w:r>
    </w:p>
    <w:p w:rsidR="00B24D88" w:rsidRPr="00B24D88" w:rsidRDefault="00B24D88" w:rsidP="00CD03D5">
      <w:pPr>
        <w:pStyle w:val="P00"/>
        <w:spacing w:before="72"/>
        <w:ind w:left="0" w:right="1134"/>
        <w:rPr>
          <w:rStyle w:val="default"/>
          <w:rFonts w:cs="FrankRuehl" w:hint="cs"/>
          <w:rtl/>
        </w:rPr>
      </w:pPr>
      <w:r>
        <w:rPr>
          <w:rFonts w:cs="FrankRuehl" w:hint="cs"/>
          <w:sz w:val="26"/>
          <w:rtl/>
          <w:lang w:eastAsia="en-US"/>
        </w:rPr>
        <w:pict>
          <v:shape id="_x0000_s1044" type="#_x0000_t202" style="position:absolute;left:0;text-align:left;margin-left:470.35pt;margin-top:7.1pt;width:1in;height:21.6pt;z-index:251662336" filled="f" stroked="f">
            <v:textbox inset="1mm,0,1mm,0">
              <w:txbxContent>
                <w:p w:rsidR="00B24D88" w:rsidRDefault="00B24D88" w:rsidP="00B24D88">
                  <w:pPr>
                    <w:spacing w:line="160" w:lineRule="exact"/>
                    <w:jc w:val="left"/>
                    <w:rPr>
                      <w:rFonts w:cs="Miriam" w:hint="cs"/>
                      <w:szCs w:val="18"/>
                      <w:rtl/>
                    </w:rPr>
                  </w:pPr>
                  <w:r>
                    <w:rPr>
                      <w:rFonts w:cs="Miriam" w:hint="cs"/>
                      <w:szCs w:val="18"/>
                      <w:rtl/>
                    </w:rPr>
                    <w:t>(הוראת שעה) תשע"ד-2014</w:t>
                  </w:r>
                </w:p>
              </w:txbxContent>
            </v:textbox>
          </v:shape>
        </w:pict>
      </w:r>
      <w:r w:rsidRPr="00B24D88">
        <w:rPr>
          <w:rStyle w:val="default"/>
          <w:rFonts w:cs="FrankRuehl" w:hint="cs"/>
          <w:rtl/>
        </w:rPr>
        <w:tab/>
        <w:t>(ה)</w:t>
      </w:r>
      <w:r w:rsidRPr="00B24D88">
        <w:rPr>
          <w:rStyle w:val="default"/>
          <w:rFonts w:cs="FrankRuehl" w:hint="cs"/>
          <w:rtl/>
        </w:rPr>
        <w:tab/>
      </w:r>
      <w:r w:rsidR="00CD03D5">
        <w:rPr>
          <w:rStyle w:val="default"/>
          <w:rFonts w:cs="FrankRuehl" w:hint="cs"/>
          <w:rtl/>
        </w:rPr>
        <w:t>(פקעה)</w:t>
      </w:r>
      <w:r w:rsidRPr="00B24D88">
        <w:rPr>
          <w:rStyle w:val="default"/>
          <w:rFonts w:cs="FrankRuehl" w:hint="cs"/>
          <w:rtl/>
        </w:rPr>
        <w:t>.</w:t>
      </w:r>
    </w:p>
    <w:p w:rsidR="00B24D88" w:rsidRPr="00CD03D5" w:rsidRDefault="00B24D88" w:rsidP="00CD03D5">
      <w:pPr>
        <w:pStyle w:val="P00"/>
        <w:spacing w:before="0"/>
        <w:ind w:left="0" w:right="1134"/>
        <w:rPr>
          <w:rStyle w:val="default"/>
          <w:rFonts w:cs="FrankRuehl" w:hint="cs"/>
          <w:vanish/>
          <w:color w:val="FF0000"/>
          <w:sz w:val="20"/>
          <w:szCs w:val="20"/>
          <w:shd w:val="clear" w:color="auto" w:fill="FFFF99"/>
          <w:rtl/>
        </w:rPr>
      </w:pPr>
      <w:bookmarkStart w:id="4" w:name="Rov1"/>
      <w:r w:rsidRPr="00CD03D5">
        <w:rPr>
          <w:rStyle w:val="default"/>
          <w:rFonts w:cs="FrankRuehl" w:hint="cs"/>
          <w:vanish/>
          <w:color w:val="FF0000"/>
          <w:sz w:val="20"/>
          <w:szCs w:val="20"/>
          <w:shd w:val="clear" w:color="auto" w:fill="FFFF99"/>
          <w:rtl/>
        </w:rPr>
        <w:t xml:space="preserve">מיום 10.4.2014 עד יום </w:t>
      </w:r>
      <w:r w:rsidR="00CD03D5" w:rsidRPr="00CD03D5">
        <w:rPr>
          <w:rStyle w:val="default"/>
          <w:rFonts w:cs="FrankRuehl" w:hint="cs"/>
          <w:vanish/>
          <w:color w:val="FF0000"/>
          <w:sz w:val="20"/>
          <w:szCs w:val="20"/>
          <w:shd w:val="clear" w:color="auto" w:fill="FFFF99"/>
          <w:rtl/>
        </w:rPr>
        <w:t>10</w:t>
      </w:r>
      <w:r w:rsidRPr="00CD03D5">
        <w:rPr>
          <w:rStyle w:val="default"/>
          <w:rFonts w:cs="FrankRuehl" w:hint="cs"/>
          <w:vanish/>
          <w:color w:val="FF0000"/>
          <w:sz w:val="20"/>
          <w:szCs w:val="20"/>
          <w:shd w:val="clear" w:color="auto" w:fill="FFFF99"/>
          <w:rtl/>
        </w:rPr>
        <w:t>.4.2016</w:t>
      </w:r>
    </w:p>
    <w:p w:rsidR="00B24D88" w:rsidRPr="00CD03D5" w:rsidRDefault="00B24D88" w:rsidP="00B24D88">
      <w:pPr>
        <w:pStyle w:val="P00"/>
        <w:spacing w:before="0"/>
        <w:ind w:left="0" w:right="1134"/>
        <w:rPr>
          <w:rStyle w:val="default"/>
          <w:rFonts w:cs="FrankRuehl" w:hint="cs"/>
          <w:vanish/>
          <w:sz w:val="20"/>
          <w:szCs w:val="20"/>
          <w:shd w:val="clear" w:color="auto" w:fill="FFFF99"/>
          <w:rtl/>
        </w:rPr>
      </w:pPr>
      <w:r w:rsidRPr="00CD03D5">
        <w:rPr>
          <w:rStyle w:val="default"/>
          <w:rFonts w:cs="FrankRuehl" w:hint="cs"/>
          <w:b/>
          <w:bCs/>
          <w:vanish/>
          <w:sz w:val="20"/>
          <w:szCs w:val="20"/>
          <w:shd w:val="clear" w:color="auto" w:fill="FFFF99"/>
          <w:rtl/>
        </w:rPr>
        <w:t>הוראת שעה תשע"ד-2014</w:t>
      </w:r>
    </w:p>
    <w:p w:rsidR="00B24D88" w:rsidRPr="00CD03D5" w:rsidRDefault="00B24D88" w:rsidP="00B24D88">
      <w:pPr>
        <w:pStyle w:val="P00"/>
        <w:spacing w:before="0"/>
        <w:ind w:left="0" w:right="1134"/>
        <w:rPr>
          <w:rStyle w:val="default"/>
          <w:rFonts w:cs="FrankRuehl" w:hint="cs"/>
          <w:vanish/>
          <w:sz w:val="20"/>
          <w:szCs w:val="20"/>
          <w:shd w:val="clear" w:color="auto" w:fill="FFFF99"/>
          <w:rtl/>
        </w:rPr>
      </w:pPr>
      <w:hyperlink r:id="rId6" w:history="1">
        <w:r w:rsidRPr="00CD03D5">
          <w:rPr>
            <w:rStyle w:val="Hyperlink"/>
            <w:rFonts w:cs="FrankRuehl" w:hint="cs"/>
            <w:vanish/>
            <w:szCs w:val="20"/>
            <w:shd w:val="clear" w:color="auto" w:fill="FFFF99"/>
            <w:rtl/>
          </w:rPr>
          <w:t>ק"ת תשע"ד מס' 7368</w:t>
        </w:r>
      </w:hyperlink>
      <w:r w:rsidRPr="00CD03D5">
        <w:rPr>
          <w:rStyle w:val="default"/>
          <w:rFonts w:cs="FrankRuehl" w:hint="cs"/>
          <w:vanish/>
          <w:sz w:val="20"/>
          <w:szCs w:val="20"/>
          <w:shd w:val="clear" w:color="auto" w:fill="FFFF99"/>
          <w:rtl/>
        </w:rPr>
        <w:t xml:space="preserve"> מיום 10.4.2014 עמ' 1066</w:t>
      </w:r>
    </w:p>
    <w:p w:rsidR="00B24D88" w:rsidRPr="00CD03D5" w:rsidRDefault="00B24D88" w:rsidP="00B24D88">
      <w:pPr>
        <w:pStyle w:val="P00"/>
        <w:ind w:left="0" w:right="1134"/>
        <w:rPr>
          <w:rStyle w:val="default"/>
          <w:rFonts w:cs="FrankRuehl" w:hint="cs"/>
          <w:vanish/>
          <w:sz w:val="22"/>
          <w:szCs w:val="22"/>
          <w:shd w:val="clear" w:color="auto" w:fill="FFFF99"/>
          <w:rtl/>
        </w:rPr>
      </w:pPr>
      <w:r w:rsidRPr="00CD03D5">
        <w:rPr>
          <w:rStyle w:val="default"/>
          <w:rFonts w:cs="FrankRuehl" w:hint="cs"/>
          <w:vanish/>
          <w:sz w:val="22"/>
          <w:szCs w:val="22"/>
          <w:shd w:val="clear" w:color="auto" w:fill="FFFF99"/>
          <w:rtl/>
        </w:rPr>
        <w:t>4.</w:t>
      </w:r>
      <w:r w:rsidRPr="00CD03D5">
        <w:rPr>
          <w:rStyle w:val="default"/>
          <w:rFonts w:cs="FrankRuehl" w:hint="cs"/>
          <w:vanish/>
          <w:sz w:val="22"/>
          <w:szCs w:val="22"/>
          <w:shd w:val="clear" w:color="auto" w:fill="FFFF99"/>
          <w:rtl/>
        </w:rPr>
        <w:tab/>
        <w:t>(א)</w:t>
      </w:r>
      <w:r w:rsidRPr="00CD03D5">
        <w:rPr>
          <w:rStyle w:val="default"/>
          <w:rFonts w:cs="FrankRuehl" w:hint="cs"/>
          <w:vanish/>
          <w:sz w:val="22"/>
          <w:szCs w:val="22"/>
          <w:shd w:val="clear" w:color="auto" w:fill="FFFF99"/>
          <w:rtl/>
        </w:rPr>
        <w:tab/>
        <w:t xml:space="preserve">ועדה מחוזית תקיים ישיבה מן המנין </w:t>
      </w:r>
      <w:r w:rsidRPr="00CD03D5">
        <w:rPr>
          <w:rStyle w:val="default"/>
          <w:rFonts w:cs="FrankRuehl" w:hint="cs"/>
          <w:strike/>
          <w:vanish/>
          <w:sz w:val="22"/>
          <w:szCs w:val="22"/>
          <w:shd w:val="clear" w:color="auto" w:fill="FFFF99"/>
          <w:rtl/>
        </w:rPr>
        <w:t>אחת לחודש</w:t>
      </w:r>
      <w:r w:rsidRPr="00CD03D5">
        <w:rPr>
          <w:rStyle w:val="default"/>
          <w:rFonts w:cs="FrankRuehl" w:hint="cs"/>
          <w:vanish/>
          <w:sz w:val="22"/>
          <w:szCs w:val="22"/>
          <w:shd w:val="clear" w:color="auto" w:fill="FFFF99"/>
          <w:rtl/>
        </w:rPr>
        <w:t xml:space="preserve"> </w:t>
      </w:r>
      <w:r w:rsidRPr="00CD03D5">
        <w:rPr>
          <w:rStyle w:val="default"/>
          <w:rFonts w:cs="FrankRuehl" w:hint="cs"/>
          <w:vanish/>
          <w:sz w:val="22"/>
          <w:szCs w:val="22"/>
          <w:u w:val="single"/>
          <w:shd w:val="clear" w:color="auto" w:fill="FFFF99"/>
          <w:rtl/>
        </w:rPr>
        <w:t>פעמיים בחודש</w:t>
      </w:r>
      <w:r w:rsidRPr="00CD03D5">
        <w:rPr>
          <w:rStyle w:val="default"/>
          <w:rFonts w:cs="FrankRuehl" w:hint="cs"/>
          <w:vanish/>
          <w:sz w:val="22"/>
          <w:szCs w:val="22"/>
          <w:shd w:val="clear" w:color="auto" w:fill="FFFF99"/>
          <w:rtl/>
        </w:rPr>
        <w:t xml:space="preserve"> לפחות, אך רשאית היא להחליט שלא לקיימה בחודש אחד בשנה, ובלבד שמנין ישיבותיה בשנה לא יפחת מ-</w:t>
      </w:r>
      <w:r w:rsidRPr="00CD03D5">
        <w:rPr>
          <w:rStyle w:val="default"/>
          <w:rFonts w:cs="FrankRuehl" w:hint="cs"/>
          <w:strike/>
          <w:vanish/>
          <w:sz w:val="22"/>
          <w:szCs w:val="22"/>
          <w:shd w:val="clear" w:color="auto" w:fill="FFFF99"/>
          <w:rtl/>
        </w:rPr>
        <w:t>12</w:t>
      </w:r>
      <w:r w:rsidRPr="00CD03D5">
        <w:rPr>
          <w:rStyle w:val="default"/>
          <w:rFonts w:cs="FrankRuehl" w:hint="cs"/>
          <w:vanish/>
          <w:sz w:val="22"/>
          <w:szCs w:val="22"/>
          <w:shd w:val="clear" w:color="auto" w:fill="FFFF99"/>
          <w:rtl/>
        </w:rPr>
        <w:t xml:space="preserve"> </w:t>
      </w:r>
      <w:r w:rsidRPr="00CD03D5">
        <w:rPr>
          <w:rStyle w:val="default"/>
          <w:rFonts w:cs="FrankRuehl" w:hint="cs"/>
          <w:vanish/>
          <w:sz w:val="22"/>
          <w:szCs w:val="22"/>
          <w:u w:val="single"/>
          <w:shd w:val="clear" w:color="auto" w:fill="FFFF99"/>
          <w:rtl/>
        </w:rPr>
        <w:t>24</w:t>
      </w:r>
      <w:r w:rsidRPr="00CD03D5">
        <w:rPr>
          <w:rStyle w:val="default"/>
          <w:rFonts w:cs="FrankRuehl" w:hint="cs"/>
          <w:vanish/>
          <w:sz w:val="22"/>
          <w:szCs w:val="22"/>
          <w:shd w:val="clear" w:color="auto" w:fill="FFFF99"/>
          <w:rtl/>
        </w:rPr>
        <w:t>.</w:t>
      </w:r>
    </w:p>
    <w:p w:rsidR="00B24D88" w:rsidRPr="00CD03D5" w:rsidRDefault="00B24D88" w:rsidP="00B24D88">
      <w:pPr>
        <w:pStyle w:val="P00"/>
        <w:spacing w:before="0"/>
        <w:ind w:left="0" w:right="1134"/>
        <w:rPr>
          <w:rStyle w:val="default"/>
          <w:rFonts w:cs="FrankRuehl" w:hint="cs"/>
          <w:vanish/>
          <w:sz w:val="22"/>
          <w:szCs w:val="22"/>
          <w:shd w:val="clear" w:color="auto" w:fill="FFFF99"/>
          <w:rtl/>
        </w:rPr>
      </w:pPr>
      <w:r w:rsidRPr="00CD03D5">
        <w:rPr>
          <w:rStyle w:val="default"/>
          <w:rFonts w:cs="FrankRuehl" w:hint="cs"/>
          <w:vanish/>
          <w:sz w:val="22"/>
          <w:szCs w:val="22"/>
          <w:shd w:val="clear" w:color="auto" w:fill="FFFF99"/>
          <w:rtl/>
        </w:rPr>
        <w:tab/>
        <w:t>(ב)</w:t>
      </w:r>
      <w:r w:rsidRPr="00CD03D5">
        <w:rPr>
          <w:rStyle w:val="default"/>
          <w:rFonts w:cs="FrankRuehl" w:hint="cs"/>
          <w:vanish/>
          <w:sz w:val="22"/>
          <w:szCs w:val="22"/>
          <w:shd w:val="clear" w:color="auto" w:fill="FFFF99"/>
          <w:rtl/>
        </w:rPr>
        <w:tab/>
        <w:t>ועדת משנה להתנגדויות של ועדה מחוזית תקיים בכל חודש שלוש ישיבות מן המנין לפחות, אך רשאית היא להחליט בשני חודשים של השנה לקיים שתי ישיבות בלבד.</w:t>
      </w:r>
    </w:p>
    <w:p w:rsidR="00B24D88" w:rsidRPr="00CD03D5" w:rsidRDefault="00B24D88" w:rsidP="00B24D88">
      <w:pPr>
        <w:pStyle w:val="P00"/>
        <w:spacing w:before="0"/>
        <w:ind w:left="0" w:right="1134"/>
        <w:rPr>
          <w:rStyle w:val="default"/>
          <w:rFonts w:cs="FrankRuehl" w:hint="cs"/>
          <w:vanish/>
          <w:sz w:val="22"/>
          <w:szCs w:val="22"/>
          <w:shd w:val="clear" w:color="auto" w:fill="FFFF99"/>
          <w:rtl/>
        </w:rPr>
      </w:pPr>
      <w:r w:rsidRPr="00CD03D5">
        <w:rPr>
          <w:rStyle w:val="default"/>
          <w:rFonts w:cs="FrankRuehl" w:hint="cs"/>
          <w:vanish/>
          <w:sz w:val="22"/>
          <w:szCs w:val="22"/>
          <w:shd w:val="clear" w:color="auto" w:fill="FFFF99"/>
          <w:rtl/>
        </w:rPr>
        <w:tab/>
        <w:t>(ג)</w:t>
      </w:r>
      <w:r w:rsidRPr="00CD03D5">
        <w:rPr>
          <w:rStyle w:val="default"/>
          <w:rFonts w:cs="FrankRuehl" w:hint="cs"/>
          <w:vanish/>
          <w:sz w:val="22"/>
          <w:szCs w:val="22"/>
          <w:shd w:val="clear" w:color="auto" w:fill="FFFF99"/>
          <w:rtl/>
        </w:rPr>
        <w:tab/>
        <w:t>ועדת משנה אחת נוספת של ועדה מחוזית תקיים לפחות את מספר הישיבות הקבוע בתקנת משנה (א).</w:t>
      </w:r>
    </w:p>
    <w:p w:rsidR="00B24D88" w:rsidRPr="00CD03D5" w:rsidRDefault="00B24D88" w:rsidP="00B24D88">
      <w:pPr>
        <w:pStyle w:val="P00"/>
        <w:spacing w:before="0"/>
        <w:ind w:left="0" w:right="1134"/>
        <w:rPr>
          <w:rStyle w:val="default"/>
          <w:rFonts w:cs="FrankRuehl" w:hint="cs"/>
          <w:vanish/>
          <w:sz w:val="22"/>
          <w:szCs w:val="22"/>
          <w:shd w:val="clear" w:color="auto" w:fill="FFFF99"/>
          <w:rtl/>
        </w:rPr>
      </w:pPr>
      <w:r w:rsidRPr="00CD03D5">
        <w:rPr>
          <w:rStyle w:val="default"/>
          <w:rFonts w:cs="FrankRuehl" w:hint="cs"/>
          <w:vanish/>
          <w:sz w:val="22"/>
          <w:szCs w:val="22"/>
          <w:shd w:val="clear" w:color="auto" w:fill="FFFF99"/>
          <w:rtl/>
        </w:rPr>
        <w:tab/>
        <w:t>(ד)</w:t>
      </w:r>
      <w:r w:rsidRPr="00CD03D5">
        <w:rPr>
          <w:rStyle w:val="default"/>
          <w:rFonts w:cs="FrankRuehl" w:hint="cs"/>
          <w:vanish/>
          <w:sz w:val="22"/>
          <w:szCs w:val="22"/>
          <w:shd w:val="clear" w:color="auto" w:fill="FFFF99"/>
          <w:rtl/>
        </w:rPr>
        <w:tab/>
        <w:t>יושב ראש ועדה מחוזית או יושב ראש ועדת משנה כאמור בתקנת משנה (ב) או (ג), לפי הענין, רשאי לכנס את הועדה המחוזית או את ועדת המשנה לישיבות נוספות, שלא מן המנין, אם ראה כי קיים צורך בכך וכן רשאי הוא להפחית במספר הישיבות של ועדת משנה, אם ראה כי אין בהן צורך.</w:t>
      </w:r>
    </w:p>
    <w:p w:rsidR="00B24D88" w:rsidRPr="00B24D88" w:rsidRDefault="00B24D88" w:rsidP="00B24D88">
      <w:pPr>
        <w:pStyle w:val="P00"/>
        <w:spacing w:before="0"/>
        <w:ind w:left="0" w:right="1134"/>
        <w:rPr>
          <w:rStyle w:val="default"/>
          <w:rFonts w:cs="FrankRuehl" w:hint="cs"/>
          <w:sz w:val="2"/>
          <w:szCs w:val="2"/>
          <w:rtl/>
        </w:rPr>
      </w:pPr>
      <w:r w:rsidRPr="00CD03D5">
        <w:rPr>
          <w:rStyle w:val="default"/>
          <w:rFonts w:cs="FrankRuehl" w:hint="cs"/>
          <w:vanish/>
          <w:sz w:val="22"/>
          <w:szCs w:val="22"/>
          <w:shd w:val="clear" w:color="auto" w:fill="FFFF99"/>
          <w:rtl/>
        </w:rPr>
        <w:tab/>
      </w:r>
      <w:r w:rsidRPr="00CD03D5">
        <w:rPr>
          <w:rStyle w:val="default"/>
          <w:rFonts w:cs="FrankRuehl" w:hint="cs"/>
          <w:vanish/>
          <w:sz w:val="22"/>
          <w:szCs w:val="22"/>
          <w:u w:val="single"/>
          <w:shd w:val="clear" w:color="auto" w:fill="FFFF99"/>
          <w:rtl/>
        </w:rPr>
        <w:t>(ה)</w:t>
      </w:r>
      <w:r w:rsidRPr="00CD03D5">
        <w:rPr>
          <w:rStyle w:val="default"/>
          <w:rFonts w:cs="FrankRuehl" w:hint="cs"/>
          <w:vanish/>
          <w:sz w:val="22"/>
          <w:szCs w:val="22"/>
          <w:u w:val="single"/>
          <w:shd w:val="clear" w:color="auto" w:fill="FFFF99"/>
          <w:rtl/>
        </w:rPr>
        <w:tab/>
        <w:t>על אף האמור בתקנות משנה (א) עד (ג), רשאי השר, לבקשת יושב ראש ועדה מחוזית, לאחר שנוכח לדעת כי אין צורך שהוועדה המחוזית או ועדת המשנה שלה תקיים ישיבות מן המניין בתדירות הנדרשת לפי תקנות המשנה האמורות, להפחית את תדירות הישיבות ולהורות ליושב ראש הוועדה המחוזית על תדירות הישיבות הנדרשת מהוועדה האמורה.</w:t>
      </w:r>
      <w:bookmarkEnd w:id="4"/>
    </w:p>
    <w:p w:rsidR="008605DB" w:rsidRDefault="008605DB">
      <w:pPr>
        <w:pStyle w:val="P00"/>
        <w:spacing w:before="72"/>
        <w:ind w:left="0" w:right="1134"/>
        <w:rPr>
          <w:rStyle w:val="default"/>
          <w:rFonts w:cs="FrankRuehl" w:hint="cs"/>
          <w:rtl/>
        </w:rPr>
      </w:pPr>
      <w:bookmarkStart w:id="5" w:name="Seif5"/>
      <w:bookmarkEnd w:id="5"/>
      <w:r>
        <w:rPr>
          <w:rFonts w:cs="Miriam"/>
          <w:szCs w:val="32"/>
          <w:rtl/>
          <w:lang w:val="he-IL"/>
        </w:rPr>
        <w:pict>
          <v:shape id="_x0000_s1031" type="#_x0000_t202" style="position:absolute;left:0;text-align:left;margin-left:470.25pt;margin-top:4.95pt;width:1in;height:25.3pt;z-index:251657216" filled="f" stroked="f">
            <v:textbox inset="1mm,,1mm">
              <w:txbxContent>
                <w:p w:rsidR="008605DB" w:rsidRDefault="008605DB">
                  <w:pPr>
                    <w:spacing w:line="160" w:lineRule="exact"/>
                    <w:jc w:val="left"/>
                    <w:rPr>
                      <w:rFonts w:cs="Miriam" w:hint="cs"/>
                      <w:szCs w:val="18"/>
                      <w:rtl/>
                    </w:rPr>
                  </w:pPr>
                  <w:r>
                    <w:rPr>
                      <w:rFonts w:cs="Miriam" w:hint="cs"/>
                      <w:szCs w:val="18"/>
                      <w:rtl/>
                    </w:rPr>
                    <w:t>מספר ישיבות של ועדה מקומית</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(א)</w:t>
      </w:r>
      <w:r>
        <w:rPr>
          <w:rStyle w:val="default"/>
          <w:rFonts w:cs="FrankRuehl" w:hint="cs"/>
          <w:rtl/>
        </w:rPr>
        <w:tab/>
        <w:t xml:space="preserve">ועדה מקומית תקיים ישיבה מן המנין אחת לחודש לפחות, אך רשאית היא להחליט </w:t>
      </w:r>
      <w:r>
        <w:rPr>
          <w:rStyle w:val="default"/>
          <w:rFonts w:cs="FrankRuehl" w:hint="cs"/>
          <w:rtl/>
        </w:rPr>
        <w:lastRenderedPageBreak/>
        <w:t>שלא לקיימה בחודש אחד בשנה ובלבד שמנין ישיבותיה בשנה לא יפחת מ-12.</w:t>
      </w:r>
    </w:p>
    <w:p w:rsidR="008605DB" w:rsidRDefault="008605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תקנת משנה (א) יראו בישיבה של ועדת משנה לתכנון ולבניה כישיבה של הועדה המקומית שהקימה אותה, ובלבד שאם לפי סעיף 18(ז) לחוק נתקבלה דרישה בכתב של חבר ועדהמקומית או נציגה לקיים דיון במליאת הועדה בענין שנדון בועדת המשנה, הוא יתקיים בישיבתה הקרובה של הועדה המקומית ובתוך שלושים ימים ממועד הדרישה.</w:t>
      </w:r>
    </w:p>
    <w:p w:rsidR="008605DB" w:rsidRDefault="008605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ועדה מקומית או יושב ראש ועדת משנה לתכנון ולבניה, רשאי לכנס את הועדה המקומית או את ועדת המשנה, בהתאמה, לישיבות נוספות, שלא מן המנין, אם ראה כי קיים צורך בכך.</w:t>
      </w:r>
    </w:p>
    <w:p w:rsidR="008605DB" w:rsidRDefault="008605DB">
      <w:pPr>
        <w:pStyle w:val="P00"/>
        <w:spacing w:before="72"/>
        <w:ind w:left="0" w:right="1134"/>
        <w:rPr>
          <w:rStyle w:val="default"/>
          <w:rFonts w:cs="FrankRuehl" w:hint="cs"/>
          <w:rtl/>
        </w:rPr>
      </w:pPr>
      <w:bookmarkStart w:id="6" w:name="Seif6"/>
      <w:bookmarkEnd w:id="6"/>
      <w:r>
        <w:rPr>
          <w:rFonts w:cs="Miriam"/>
          <w:szCs w:val="32"/>
          <w:rtl/>
          <w:lang w:val="he-IL"/>
        </w:rPr>
        <w:pict>
          <v:shape id="_x0000_s1037" type="#_x0000_t202" style="position:absolute;left:0;text-align:left;margin-left:462pt;margin-top:3.55pt;width:80.25pt;height:22.4pt;z-index:251658240" filled="f" stroked="f">
            <v:textbox inset="1mm,,1mm">
              <w:txbxContent>
                <w:p w:rsidR="008605DB" w:rsidRDefault="008605DB">
                  <w:pPr>
                    <w:spacing w:line="160" w:lineRule="exact"/>
                    <w:jc w:val="left"/>
                    <w:rPr>
                      <w:rFonts w:cs="Miriam" w:hint="cs"/>
                      <w:szCs w:val="18"/>
                      <w:rtl/>
                    </w:rPr>
                  </w:pPr>
                  <w:r>
                    <w:rPr>
                      <w:rFonts w:cs="Miriam" w:hint="cs"/>
                      <w:szCs w:val="18"/>
                      <w:rtl/>
                    </w:rPr>
                    <w:t>מספר הישיבות של רשות רישוי מקומית</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רשות רישוי מקומית תקיים ישיבה מן המנין אחת לחודש לפחות.</w:t>
      </w:r>
    </w:p>
    <w:p w:rsidR="008605DB" w:rsidRDefault="008605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ועדה מקומית רשאי לכנס את רשות הרישוי המקומית לישיבות נוספות, שלא מן המנין, אם ראה כי קיים צורך בכך.</w:t>
      </w:r>
    </w:p>
    <w:p w:rsidR="008605DB" w:rsidRDefault="008605DB">
      <w:pPr>
        <w:pStyle w:val="P00"/>
        <w:spacing w:before="72"/>
        <w:ind w:left="0" w:right="1134"/>
        <w:rPr>
          <w:rStyle w:val="default"/>
          <w:rFonts w:cs="FrankRuehl" w:hint="cs"/>
          <w:rtl/>
        </w:rPr>
      </w:pPr>
      <w:bookmarkStart w:id="7" w:name="Seif7"/>
      <w:bookmarkEnd w:id="7"/>
      <w:r>
        <w:rPr>
          <w:rFonts w:cs="Miriam"/>
          <w:szCs w:val="32"/>
          <w:rtl/>
          <w:lang w:val="he-IL"/>
        </w:rPr>
        <w:pict>
          <v:shape id="_x0000_s1038" type="#_x0000_t202" style="position:absolute;left:0;text-align:left;margin-left:470.25pt;margin-top:4.4pt;width:1in;height:33.6pt;z-index:251659264" filled="f" stroked="f">
            <v:textbox inset="1mm,,1mm">
              <w:txbxContent>
                <w:p w:rsidR="008605DB" w:rsidRDefault="008605DB">
                  <w:pPr>
                    <w:spacing w:line="160" w:lineRule="exact"/>
                    <w:jc w:val="left"/>
                    <w:rPr>
                      <w:rFonts w:cs="Miriam" w:hint="cs"/>
                      <w:szCs w:val="18"/>
                      <w:rtl/>
                    </w:rPr>
                  </w:pPr>
                  <w:r>
                    <w:rPr>
                      <w:rFonts w:cs="Miriam" w:hint="cs"/>
                      <w:szCs w:val="18"/>
                      <w:rtl/>
                    </w:rPr>
                    <w:t>מתן הוראות לענין כינוס ישיבות נוספות מן המנין</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 xml:space="preserve">ראה השר כי יש צורך שהמועצה הארצית, ועדה מחוזית או ועדת משנה שלהן, תקיים ישיבות מן המנין בתדירות גבוהה מזו הקבועה בתקנות אלה </w:t>
      </w:r>
      <w:r>
        <w:rPr>
          <w:rStyle w:val="default"/>
          <w:rFonts w:cs="FrankRuehl"/>
          <w:rtl/>
        </w:rPr>
        <w:t>–</w:t>
      </w:r>
      <w:r>
        <w:rPr>
          <w:rStyle w:val="default"/>
          <w:rFonts w:cs="FrankRuehl" w:hint="cs"/>
          <w:rtl/>
        </w:rPr>
        <w:t xml:space="preserve"> יורה על כך ליושב ראש מוסד התכנון ויפרט בהוראתו את תדירות הישיבות הנדרשת.</w:t>
      </w:r>
    </w:p>
    <w:p w:rsidR="008605DB" w:rsidRDefault="008605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ראה יושב ראש ועדה מחוזית כי יש צורך שועדה מקומית, ועדת משנה לתכנון ולבניה או רשות רישוי מקומית, המצויה במרחב התכנון המחוזי שבתחום אחריותו, תקיים ישיבות מן המנין בתדירות גבוהה מזו הקבועה בתקנות אלה </w:t>
      </w:r>
      <w:r>
        <w:rPr>
          <w:rStyle w:val="default"/>
          <w:rFonts w:cs="FrankRuehl"/>
          <w:rtl/>
        </w:rPr>
        <w:t>–</w:t>
      </w:r>
      <w:r>
        <w:rPr>
          <w:rStyle w:val="default"/>
          <w:rFonts w:cs="FrankRuehl" w:hint="cs"/>
          <w:rtl/>
        </w:rPr>
        <w:t xml:space="preserve"> יורה על כך ליושב ראש מוסד התכנון ויפרט בהוראתו את תדירות הישיבות הנדרשת.</w:t>
      </w:r>
    </w:p>
    <w:p w:rsidR="008605DB" w:rsidRDefault="008605DB">
      <w:pPr>
        <w:pStyle w:val="P00"/>
        <w:spacing w:before="72"/>
        <w:ind w:left="0" w:right="1134"/>
        <w:rPr>
          <w:rStyle w:val="default"/>
          <w:rFonts w:cs="FrankRuehl" w:hint="cs"/>
          <w:rtl/>
        </w:rPr>
      </w:pPr>
      <w:bookmarkStart w:id="8" w:name="Seif8"/>
      <w:bookmarkEnd w:id="8"/>
      <w:r>
        <w:rPr>
          <w:rFonts w:cs="Miriam"/>
          <w:szCs w:val="32"/>
          <w:rtl/>
          <w:lang w:val="he-IL"/>
        </w:rPr>
        <w:pict>
          <v:shape id="_x0000_s1039" type="#_x0000_t202" style="position:absolute;left:0;text-align:left;margin-left:470.25pt;margin-top:3.7pt;width:1in;height:33.6pt;z-index:251660288" filled="f" stroked="f">
            <v:textbox inset="1mm,,1mm">
              <w:txbxContent>
                <w:p w:rsidR="008605DB" w:rsidRDefault="008605DB">
                  <w:pPr>
                    <w:spacing w:line="160" w:lineRule="exact"/>
                    <w:jc w:val="left"/>
                    <w:rPr>
                      <w:rFonts w:cs="Miriam" w:hint="cs"/>
                      <w:szCs w:val="18"/>
                      <w:rtl/>
                    </w:rPr>
                  </w:pPr>
                  <w:r>
                    <w:rPr>
                      <w:rFonts w:cs="Miriam" w:hint="cs"/>
                      <w:szCs w:val="18"/>
                      <w:rtl/>
                    </w:rPr>
                    <w:t>מתן הוראות לכינוס ישיבה שלא מן המנין</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(א)</w:t>
      </w:r>
      <w:r>
        <w:rPr>
          <w:rStyle w:val="default"/>
          <w:rFonts w:cs="FrankRuehl" w:hint="cs"/>
          <w:rtl/>
        </w:rPr>
        <w:tab/>
        <w:t>השר רשאי להורות למועצה הארצית, לועדה מחוזית או לועדות המשנה שלהן לקיים ישיבה שלא מן המנין, אם ראה כי יש בכך צורך.</w:t>
      </w:r>
    </w:p>
    <w:p w:rsidR="008605DB" w:rsidRDefault="008605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ועדה מחוזית רשאי להורות לועדה מקומית, לועדת משנה לתכנון ולבניה או לרשות רישוי מקומית, המצויה במרחב התכנון המחוזי שבתחום אחריותו, לקיים ישיבה שלא מן המנין, אם ראה כי יש בכך צורך.</w:t>
      </w:r>
    </w:p>
    <w:p w:rsidR="008605DB" w:rsidRDefault="008605DB">
      <w:pPr>
        <w:pStyle w:val="P00"/>
        <w:spacing w:before="72"/>
        <w:ind w:left="0" w:right="1134"/>
        <w:rPr>
          <w:rStyle w:val="default"/>
          <w:rFonts w:cs="FrankRuehl"/>
          <w:rtl/>
        </w:rPr>
      </w:pPr>
      <w:bookmarkStart w:id="9" w:name="Seif9"/>
      <w:bookmarkEnd w:id="9"/>
      <w:r>
        <w:rPr>
          <w:rFonts w:cs="Miriam"/>
          <w:szCs w:val="32"/>
          <w:rtl/>
          <w:lang w:val="he-IL"/>
        </w:rPr>
        <w:pict>
          <v:shape id="_x0000_s1040" type="#_x0000_t202" style="position:absolute;left:0;text-align:left;margin-left:470.25pt;margin-top:.95pt;width:1in;height:16.8pt;z-index:251661312" filled="f" stroked="f">
            <v:textbox inset="1mm,,1mm">
              <w:txbxContent>
                <w:p w:rsidR="008605DB" w:rsidRDefault="008605DB">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תחילתן של תקנות אלה ביום כ"ז בטבת התשס"ג (1 בינואר 2003).</w:t>
      </w:r>
    </w:p>
    <w:p w:rsidR="008605DB" w:rsidRDefault="008605DB">
      <w:pPr>
        <w:pStyle w:val="P00"/>
        <w:spacing w:before="72"/>
        <w:ind w:left="0" w:right="1134"/>
        <w:rPr>
          <w:rStyle w:val="default"/>
          <w:rFonts w:cs="FrankRuehl" w:hint="cs"/>
          <w:rtl/>
        </w:rPr>
      </w:pPr>
    </w:p>
    <w:p w:rsidR="00CD03D5" w:rsidRDefault="00CD03D5">
      <w:pPr>
        <w:pStyle w:val="P00"/>
        <w:spacing w:before="72"/>
        <w:ind w:left="0" w:right="1134"/>
        <w:rPr>
          <w:rStyle w:val="default"/>
          <w:rFonts w:cs="FrankRuehl" w:hint="cs"/>
          <w:rtl/>
        </w:rPr>
      </w:pPr>
    </w:p>
    <w:p w:rsidR="008605DB" w:rsidRDefault="008605DB" w:rsidP="00CD03D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ט"ו באדר ב' התשס"ג (19 במרס 2003)</w:t>
      </w:r>
      <w:r w:rsidR="00CD03D5">
        <w:rPr>
          <w:rStyle w:val="default"/>
          <w:rFonts w:cs="FrankRuehl" w:hint="cs"/>
          <w:rtl/>
        </w:rPr>
        <w:tab/>
      </w:r>
      <w:r>
        <w:rPr>
          <w:rStyle w:val="default"/>
          <w:rFonts w:cs="FrankRuehl" w:hint="cs"/>
          <w:rtl/>
        </w:rPr>
        <w:t>אברהם פורז</w:t>
      </w:r>
    </w:p>
    <w:p w:rsidR="008605DB" w:rsidRDefault="008605DB" w:rsidP="00CD03D5">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שר הפנים</w:t>
      </w:r>
    </w:p>
    <w:p w:rsidR="000371D5" w:rsidRPr="00CD03D5" w:rsidRDefault="000371D5" w:rsidP="00CD03D5">
      <w:pPr>
        <w:pStyle w:val="P00"/>
        <w:spacing w:before="72"/>
        <w:ind w:left="0" w:right="1134"/>
        <w:rPr>
          <w:rStyle w:val="default"/>
          <w:rFonts w:cs="FrankRuehl"/>
          <w:rtl/>
        </w:rPr>
      </w:pPr>
    </w:p>
    <w:p w:rsidR="000371D5" w:rsidRPr="00CD03D5" w:rsidRDefault="000371D5" w:rsidP="00CD03D5">
      <w:pPr>
        <w:pStyle w:val="P00"/>
        <w:spacing w:before="72"/>
        <w:ind w:left="0" w:right="1134"/>
        <w:rPr>
          <w:rStyle w:val="default"/>
          <w:rFonts w:cs="FrankRuehl"/>
          <w:rtl/>
        </w:rPr>
      </w:pPr>
    </w:p>
    <w:p w:rsidR="00E136FE" w:rsidRPr="00CD03D5" w:rsidRDefault="00E136FE" w:rsidP="00CD03D5">
      <w:pPr>
        <w:pStyle w:val="P00"/>
        <w:spacing w:before="72"/>
        <w:ind w:left="0" w:right="1134"/>
        <w:rPr>
          <w:rStyle w:val="default"/>
          <w:rFonts w:cs="FrankRuehl"/>
          <w:rtl/>
        </w:rPr>
      </w:pPr>
    </w:p>
    <w:p w:rsidR="00E136FE" w:rsidRDefault="00E136FE" w:rsidP="00E136FE">
      <w:pPr>
        <w:pStyle w:val="sig-1"/>
        <w:widowControl/>
        <w:ind w:left="0" w:right="1134"/>
        <w:jc w:val="center"/>
        <w:rPr>
          <w:rFonts w:cs="David"/>
          <w:color w:val="0000FF"/>
          <w:sz w:val="22"/>
          <w:szCs w:val="24"/>
          <w:u w:val="single"/>
          <w:rtl/>
        </w:rPr>
      </w:pPr>
      <w:hyperlink r:id="rId7" w:history="1">
        <w:r>
          <w:rPr>
            <w:rFonts w:cs="David"/>
            <w:color w:val="0000FF"/>
            <w:sz w:val="22"/>
            <w:szCs w:val="24"/>
            <w:u w:val="single"/>
            <w:rtl/>
          </w:rPr>
          <w:t>הודעה למנויים על עריכה ושינויים במסמכי פסיקה, חקיקה ועוד באתר נבו - הקש כאן</w:t>
        </w:r>
      </w:hyperlink>
    </w:p>
    <w:p w:rsidR="008605DB" w:rsidRPr="00E136FE" w:rsidRDefault="008605DB" w:rsidP="00E136FE">
      <w:pPr>
        <w:pStyle w:val="sig-1"/>
        <w:widowControl/>
        <w:ind w:left="0" w:right="1134"/>
        <w:jc w:val="center"/>
        <w:rPr>
          <w:rFonts w:cs="David"/>
          <w:color w:val="0000FF"/>
          <w:sz w:val="22"/>
          <w:szCs w:val="24"/>
          <w:u w:val="single"/>
          <w:rtl/>
        </w:rPr>
      </w:pPr>
    </w:p>
    <w:sectPr w:rsidR="008605DB" w:rsidRPr="00E136F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59DB" w:rsidRDefault="006C59DB">
      <w:r>
        <w:separator/>
      </w:r>
    </w:p>
  </w:endnote>
  <w:endnote w:type="continuationSeparator" w:id="0">
    <w:p w:rsidR="006C59DB" w:rsidRDefault="006C5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5DB" w:rsidRDefault="008605D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605DB" w:rsidRDefault="008605D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605DB" w:rsidRDefault="008605D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C:\Yael\hakika\Revadim\999_148.doc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5DB" w:rsidRDefault="008605D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03D5">
      <w:rPr>
        <w:rFonts w:hAnsi="FrankRuehl" w:cs="FrankRuehl"/>
        <w:noProof/>
        <w:sz w:val="24"/>
        <w:szCs w:val="24"/>
        <w:rtl/>
      </w:rPr>
      <w:t>3</w:t>
    </w:r>
    <w:r>
      <w:rPr>
        <w:rFonts w:hAnsi="FrankRuehl" w:cs="FrankRuehl"/>
        <w:sz w:val="24"/>
        <w:szCs w:val="24"/>
        <w:rtl/>
      </w:rPr>
      <w:fldChar w:fldCharType="end"/>
    </w:r>
  </w:p>
  <w:p w:rsidR="008605DB" w:rsidRDefault="008605D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605DB" w:rsidRDefault="008605D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C:\Yael\hakika\Revadim\999_148.doc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59DB" w:rsidRDefault="006C59DB">
      <w:pPr>
        <w:spacing w:before="60" w:line="240" w:lineRule="auto"/>
        <w:ind w:right="1134"/>
      </w:pPr>
      <w:r>
        <w:separator/>
      </w:r>
    </w:p>
  </w:footnote>
  <w:footnote w:type="continuationSeparator" w:id="0">
    <w:p w:rsidR="006C59DB" w:rsidRDefault="006C59DB">
      <w:r>
        <w:continuationSeparator/>
      </w:r>
    </w:p>
  </w:footnote>
  <w:footnote w:id="1">
    <w:p w:rsidR="008605DB" w:rsidRDefault="008605DB" w:rsidP="007829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w:t>
      </w:r>
      <w:r w:rsidR="00782987">
        <w:rPr>
          <w:rFonts w:cs="FrankRuehl" w:hint="cs"/>
          <w:rtl/>
        </w:rPr>
        <w:t>ו</w:t>
      </w:r>
      <w:r>
        <w:rPr>
          <w:rFonts w:cs="FrankRuehl" w:hint="cs"/>
          <w:rtl/>
        </w:rPr>
        <w:t xml:space="preserve"> </w:t>
      </w:r>
      <w:hyperlink r:id="rId1" w:history="1">
        <w:r>
          <w:rPr>
            <w:rStyle w:val="Hyperlink"/>
            <w:rFonts w:cs="FrankRuehl" w:hint="cs"/>
            <w:rtl/>
          </w:rPr>
          <w:t>ק"ת תשס"ג מס' 6238</w:t>
        </w:r>
      </w:hyperlink>
      <w:r>
        <w:rPr>
          <w:rFonts w:cs="FrankRuehl" w:hint="cs"/>
          <w:rtl/>
        </w:rPr>
        <w:t xml:space="preserve"> מיום 11.5.2003 עמ' 694.</w:t>
      </w:r>
    </w:p>
    <w:p w:rsidR="00B362EC" w:rsidRDefault="00782987" w:rsidP="00B362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B362EC">
          <w:rPr>
            <w:rStyle w:val="Hyperlink"/>
            <w:rFonts w:cs="FrankRuehl" w:hint="cs"/>
            <w:rtl/>
          </w:rPr>
          <w:t>ק"ת תשע"ד מס' 7368</w:t>
        </w:r>
      </w:hyperlink>
      <w:r>
        <w:rPr>
          <w:rFonts w:cs="FrankRuehl" w:hint="cs"/>
          <w:rtl/>
        </w:rPr>
        <w:t xml:space="preserve"> מיום 10.4.2014 עמ' 1066 </w:t>
      </w:r>
      <w:r>
        <w:rPr>
          <w:rFonts w:cs="FrankRuehl"/>
          <w:rtl/>
        </w:rPr>
        <w:t>–</w:t>
      </w:r>
      <w:r>
        <w:rPr>
          <w:rFonts w:cs="FrankRuehl" w:hint="cs"/>
          <w:rtl/>
        </w:rPr>
        <w:t xml:space="preserve"> הוראת שעה; תוקפה למשך שנתיים.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5DB" w:rsidRDefault="008605D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קביעת משרות שלא תחול עליהן חובת מכרז, תשס"א–2001</w:t>
    </w:r>
  </w:p>
  <w:p w:rsidR="008605DB" w:rsidRDefault="008605D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605DB" w:rsidRDefault="008605D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5DB" w:rsidRDefault="008605D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(תדירות דיוני מוסד תכנון), תשס"ג-2003</w:t>
    </w:r>
  </w:p>
  <w:p w:rsidR="008605DB" w:rsidRDefault="008605D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605DB" w:rsidRDefault="008605D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E84"/>
    <w:rsid w:val="000371D5"/>
    <w:rsid w:val="00282E84"/>
    <w:rsid w:val="003A3DE3"/>
    <w:rsid w:val="003B0562"/>
    <w:rsid w:val="006C59DB"/>
    <w:rsid w:val="00782987"/>
    <w:rsid w:val="008605DB"/>
    <w:rsid w:val="00930B7F"/>
    <w:rsid w:val="00B24D88"/>
    <w:rsid w:val="00B362EC"/>
    <w:rsid w:val="00CD03D5"/>
    <w:rsid w:val="00E136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1F3CBBE-40B4-4520-BC1D-176A99D7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368.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368.pdf" TargetMode="External"/><Relationship Id="rId1" Type="http://schemas.openxmlformats.org/officeDocument/2006/relationships/hyperlink" Target="http://www.nevo.co.il/Law_word/law06/TAK-62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6384</CharactersWithSpaces>
  <SharedDoc>false</SharedDoc>
  <HLinks>
    <vt:vector size="78" baseType="variant">
      <vt:variant>
        <vt:i4>393283</vt:i4>
      </vt:variant>
      <vt:variant>
        <vt:i4>57</vt:i4>
      </vt:variant>
      <vt:variant>
        <vt:i4>0</vt:i4>
      </vt:variant>
      <vt:variant>
        <vt:i4>5</vt:i4>
      </vt:variant>
      <vt:variant>
        <vt:lpwstr>http://www.nevo.co.il/advertisements/nevo-100.doc</vt:lpwstr>
      </vt:variant>
      <vt:variant>
        <vt:lpwstr/>
      </vt:variant>
      <vt:variant>
        <vt:i4>7864323</vt:i4>
      </vt:variant>
      <vt:variant>
        <vt:i4>54</vt:i4>
      </vt:variant>
      <vt:variant>
        <vt:i4>0</vt:i4>
      </vt:variant>
      <vt:variant>
        <vt:i4>5</vt:i4>
      </vt:variant>
      <vt:variant>
        <vt:lpwstr>http://www.nevo.co.il/Law_word/law06/tak-7368.pdf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7864323</vt:i4>
      </vt:variant>
      <vt:variant>
        <vt:i4>3</vt:i4>
      </vt:variant>
      <vt:variant>
        <vt:i4>0</vt:i4>
      </vt:variant>
      <vt:variant>
        <vt:i4>5</vt:i4>
      </vt:variant>
      <vt:variant>
        <vt:lpwstr>http://www.nevo.co.il/law_word/law06/tak-7368.pdf</vt:lpwstr>
      </vt:variant>
      <vt:variant>
        <vt:lpwstr/>
      </vt:variant>
      <vt:variant>
        <vt:i4>8126466</vt:i4>
      </vt:variant>
      <vt:variant>
        <vt:i4>0</vt:i4>
      </vt:variant>
      <vt:variant>
        <vt:i4>0</vt:i4>
      </vt:variant>
      <vt:variant>
        <vt:i4>5</vt:i4>
      </vt:variant>
      <vt:variant>
        <vt:lpwstr>http://www.nevo.co.il/Law_word/law06/TAK-6238.pdf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LAWNAME">
    <vt:lpwstr>תקנות התכנון והבניה (תדירות דיוני מוסד תכנון), תשס"ג-2003</vt:lpwstr>
  </property>
  <property fmtid="{D5CDD505-2E9C-101B-9397-08002B2CF9AE}" pid="4" name="LAWNUMBER">
    <vt:lpwstr>0148</vt:lpwstr>
  </property>
  <property fmtid="{D5CDD505-2E9C-101B-9397-08002B2CF9AE}" pid="5" name="TYPE">
    <vt:lpwstr>01</vt:lpwstr>
  </property>
  <property fmtid="{D5CDD505-2E9C-101B-9397-08002B2CF9AE}" pid="6" name="CHNAME">
    <vt:lpwstr>תכנון ובניה</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http://www.nevo.co.il/law_word/law06/tak-7368.pdf;‎רשומות - תקנות כלליות#תוקנו ק"ת תשע"ד מס' ‏‏7368 #מיום 10.4.2014 עמ' 1066 – הוראת שעה; תוקפה למשך שנתיים</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