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FE38EC" w:rsidP="00285397">
      <w:pPr>
        <w:pStyle w:val="big-header"/>
        <w:ind w:left="0" w:right="1134"/>
        <w:rPr>
          <w:rFonts w:hint="cs"/>
          <w:rtl/>
        </w:rPr>
      </w:pPr>
      <w:r>
        <w:rPr>
          <w:rFonts w:hint="cs"/>
          <w:rtl/>
        </w:rPr>
        <w:t xml:space="preserve">תקנות </w:t>
      </w:r>
      <w:r w:rsidR="00285397">
        <w:rPr>
          <w:rFonts w:hint="cs"/>
          <w:rtl/>
        </w:rPr>
        <w:t>התכנון והבנייה (סדרי הדין בוועדות ערר בעררים לפי סעיף 14 לתוספת השלישית לחוק</w:t>
      </w:r>
      <w:r w:rsidR="00F62FA4">
        <w:rPr>
          <w:rFonts w:hint="cs"/>
          <w:rtl/>
        </w:rPr>
        <w:t>)</w:t>
      </w:r>
      <w:r w:rsidR="00D123C0">
        <w:rPr>
          <w:rFonts w:hint="cs"/>
          <w:rtl/>
        </w:rPr>
        <w:t>, תשע"א</w:t>
      </w:r>
      <w:r w:rsidR="00547F55">
        <w:rPr>
          <w:rFonts w:hint="cs"/>
          <w:rtl/>
        </w:rPr>
        <w:t>-2010</w:t>
      </w:r>
    </w:p>
    <w:p w:rsidR="00285397" w:rsidRPr="00285397" w:rsidRDefault="00285397" w:rsidP="00285397">
      <w:pPr>
        <w:spacing w:line="320" w:lineRule="auto"/>
        <w:jc w:val="left"/>
        <w:rPr>
          <w:rFonts w:cs="FrankRuehl"/>
          <w:szCs w:val="26"/>
          <w:rtl/>
        </w:rPr>
      </w:pPr>
    </w:p>
    <w:p w:rsidR="00285397" w:rsidRDefault="00285397" w:rsidP="00285397">
      <w:pPr>
        <w:spacing w:line="320" w:lineRule="auto"/>
        <w:jc w:val="left"/>
        <w:rPr>
          <w:rtl/>
        </w:rPr>
      </w:pPr>
    </w:p>
    <w:p w:rsidR="00285397" w:rsidRPr="00285397" w:rsidRDefault="00285397" w:rsidP="00285397">
      <w:pPr>
        <w:spacing w:line="320" w:lineRule="auto"/>
        <w:jc w:val="left"/>
        <w:rPr>
          <w:rFonts w:cs="Miriam" w:hint="cs"/>
          <w:szCs w:val="22"/>
          <w:rtl/>
        </w:rPr>
      </w:pPr>
      <w:r w:rsidRPr="00285397">
        <w:rPr>
          <w:rFonts w:cs="Miriam"/>
          <w:szCs w:val="22"/>
          <w:rtl/>
        </w:rPr>
        <w:t>רשויות ומשפט מנהלי</w:t>
      </w:r>
      <w:r w:rsidRPr="00285397">
        <w:rPr>
          <w:rFonts w:cs="FrankRuehl"/>
          <w:szCs w:val="26"/>
          <w:rtl/>
        </w:rPr>
        <w:t xml:space="preserve"> – תכנון ובניה – ערעור וערר – סדרי דין</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הגדרות</w:t>
            </w:r>
          </w:p>
        </w:tc>
        <w:tc>
          <w:tcPr>
            <w:tcW w:w="567" w:type="dxa"/>
          </w:tcPr>
          <w:p w:rsidR="00D66C7F" w:rsidRPr="00D66C7F" w:rsidRDefault="00D66C7F" w:rsidP="00D66C7F">
            <w:pPr>
              <w:spacing w:line="240" w:lineRule="auto"/>
              <w:jc w:val="left"/>
              <w:rPr>
                <w:rStyle w:val="Hyperlink"/>
                <w:rtl/>
              </w:rPr>
            </w:pPr>
            <w:hyperlink w:anchor="Seif1" w:tooltip="הגדרות"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2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הגשת ערר</w:t>
            </w:r>
          </w:p>
        </w:tc>
        <w:tc>
          <w:tcPr>
            <w:tcW w:w="567" w:type="dxa"/>
          </w:tcPr>
          <w:p w:rsidR="00D66C7F" w:rsidRPr="00D66C7F" w:rsidRDefault="00D66C7F" w:rsidP="00D66C7F">
            <w:pPr>
              <w:spacing w:line="240" w:lineRule="auto"/>
              <w:jc w:val="left"/>
              <w:rPr>
                <w:rStyle w:val="Hyperlink"/>
                <w:rtl/>
              </w:rPr>
            </w:pPr>
            <w:hyperlink w:anchor="Seif2" w:tooltip="הגשת ערר"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3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פרטי הערר ומסמכים נלווים</w:t>
            </w:r>
          </w:p>
        </w:tc>
        <w:tc>
          <w:tcPr>
            <w:tcW w:w="567" w:type="dxa"/>
          </w:tcPr>
          <w:p w:rsidR="00D66C7F" w:rsidRPr="00D66C7F" w:rsidRDefault="00D66C7F" w:rsidP="00D66C7F">
            <w:pPr>
              <w:spacing w:line="240" w:lineRule="auto"/>
              <w:jc w:val="left"/>
              <w:rPr>
                <w:rStyle w:val="Hyperlink"/>
                <w:rtl/>
              </w:rPr>
            </w:pPr>
            <w:hyperlink w:anchor="Seif3" w:tooltip="פרטי הערר ומסמכים נלווים"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4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מסירת העתקי הערר למשיבה</w:t>
            </w:r>
          </w:p>
        </w:tc>
        <w:tc>
          <w:tcPr>
            <w:tcW w:w="567" w:type="dxa"/>
          </w:tcPr>
          <w:p w:rsidR="00D66C7F" w:rsidRPr="00D66C7F" w:rsidRDefault="00D66C7F" w:rsidP="00D66C7F">
            <w:pPr>
              <w:spacing w:line="240" w:lineRule="auto"/>
              <w:jc w:val="left"/>
              <w:rPr>
                <w:rStyle w:val="Hyperlink"/>
                <w:rtl/>
              </w:rPr>
            </w:pPr>
            <w:hyperlink w:anchor="Seif4" w:tooltip="מסירת העתקי הערר למשיבה"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5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המצאה באמצעי אלקטרוני</w:t>
            </w:r>
          </w:p>
        </w:tc>
        <w:tc>
          <w:tcPr>
            <w:tcW w:w="567" w:type="dxa"/>
          </w:tcPr>
          <w:p w:rsidR="00D66C7F" w:rsidRPr="00D66C7F" w:rsidRDefault="00D66C7F" w:rsidP="00D66C7F">
            <w:pPr>
              <w:spacing w:line="240" w:lineRule="auto"/>
              <w:jc w:val="left"/>
              <w:rPr>
                <w:rStyle w:val="Hyperlink"/>
                <w:rtl/>
              </w:rPr>
            </w:pPr>
            <w:hyperlink w:anchor="Seif5" w:tooltip="המצאה באמצעי אלקטרוני"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6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תשובה לערר</w:t>
            </w:r>
          </w:p>
        </w:tc>
        <w:tc>
          <w:tcPr>
            <w:tcW w:w="567" w:type="dxa"/>
          </w:tcPr>
          <w:p w:rsidR="00D66C7F" w:rsidRPr="00D66C7F" w:rsidRDefault="00D66C7F" w:rsidP="00D66C7F">
            <w:pPr>
              <w:spacing w:line="240" w:lineRule="auto"/>
              <w:jc w:val="left"/>
              <w:rPr>
                <w:rStyle w:val="Hyperlink"/>
                <w:rtl/>
              </w:rPr>
            </w:pPr>
            <w:hyperlink w:anchor="Seif6" w:tooltip="תשובה לערר"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7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דיון בהעדר תשובה בכתב</w:t>
            </w:r>
          </w:p>
        </w:tc>
        <w:tc>
          <w:tcPr>
            <w:tcW w:w="567" w:type="dxa"/>
          </w:tcPr>
          <w:p w:rsidR="00D66C7F" w:rsidRPr="00D66C7F" w:rsidRDefault="00D66C7F" w:rsidP="00D66C7F">
            <w:pPr>
              <w:spacing w:line="240" w:lineRule="auto"/>
              <w:jc w:val="left"/>
              <w:rPr>
                <w:rStyle w:val="Hyperlink"/>
                <w:rtl/>
              </w:rPr>
            </w:pPr>
            <w:hyperlink w:anchor="Seif7" w:tooltip="דיון בהעדר תשובה בכתב"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8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זימון לדיון בערר</w:t>
            </w:r>
          </w:p>
        </w:tc>
        <w:tc>
          <w:tcPr>
            <w:tcW w:w="567" w:type="dxa"/>
          </w:tcPr>
          <w:p w:rsidR="00D66C7F" w:rsidRPr="00D66C7F" w:rsidRDefault="00D66C7F" w:rsidP="00D66C7F">
            <w:pPr>
              <w:spacing w:line="240" w:lineRule="auto"/>
              <w:jc w:val="left"/>
              <w:rPr>
                <w:rStyle w:val="Hyperlink"/>
                <w:rtl/>
              </w:rPr>
            </w:pPr>
            <w:hyperlink w:anchor="Seif8" w:tooltip="זימון לדיון בערר"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9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דיון בהעדר צד</w:t>
            </w:r>
          </w:p>
        </w:tc>
        <w:tc>
          <w:tcPr>
            <w:tcW w:w="567" w:type="dxa"/>
          </w:tcPr>
          <w:p w:rsidR="00D66C7F" w:rsidRPr="00D66C7F" w:rsidRDefault="00D66C7F" w:rsidP="00D66C7F">
            <w:pPr>
              <w:spacing w:line="240" w:lineRule="auto"/>
              <w:jc w:val="left"/>
              <w:rPr>
                <w:rStyle w:val="Hyperlink"/>
                <w:rtl/>
              </w:rPr>
            </w:pPr>
            <w:hyperlink w:anchor="Seif9" w:tooltip="דיון בהעדר צד"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10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איחוד עררים ותשובות</w:t>
            </w:r>
          </w:p>
        </w:tc>
        <w:tc>
          <w:tcPr>
            <w:tcW w:w="567" w:type="dxa"/>
          </w:tcPr>
          <w:p w:rsidR="00D66C7F" w:rsidRPr="00D66C7F" w:rsidRDefault="00D66C7F" w:rsidP="00D66C7F">
            <w:pPr>
              <w:spacing w:line="240" w:lineRule="auto"/>
              <w:jc w:val="left"/>
              <w:rPr>
                <w:rStyle w:val="Hyperlink"/>
                <w:rtl/>
              </w:rPr>
            </w:pPr>
            <w:hyperlink w:anchor="Seif10" w:tooltip="איחוד עררים ותשובות"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11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סדר הדין בערר</w:t>
            </w:r>
          </w:p>
        </w:tc>
        <w:tc>
          <w:tcPr>
            <w:tcW w:w="567" w:type="dxa"/>
          </w:tcPr>
          <w:p w:rsidR="00D66C7F" w:rsidRPr="00D66C7F" w:rsidRDefault="00D66C7F" w:rsidP="00D66C7F">
            <w:pPr>
              <w:spacing w:line="240" w:lineRule="auto"/>
              <w:jc w:val="left"/>
              <w:rPr>
                <w:rStyle w:val="Hyperlink"/>
                <w:rtl/>
              </w:rPr>
            </w:pPr>
            <w:hyperlink w:anchor="Seif11" w:tooltip="סדר הדין בערר"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12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הפסקת טיעון</w:t>
            </w:r>
          </w:p>
        </w:tc>
        <w:tc>
          <w:tcPr>
            <w:tcW w:w="567" w:type="dxa"/>
          </w:tcPr>
          <w:p w:rsidR="00D66C7F" w:rsidRPr="00D66C7F" w:rsidRDefault="00D66C7F" w:rsidP="00D66C7F">
            <w:pPr>
              <w:spacing w:line="240" w:lineRule="auto"/>
              <w:jc w:val="left"/>
              <w:rPr>
                <w:rStyle w:val="Hyperlink"/>
                <w:rtl/>
              </w:rPr>
            </w:pPr>
            <w:hyperlink w:anchor="Seif12" w:tooltip="הפסקת טיעון"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13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צירוף צד</w:t>
            </w:r>
          </w:p>
        </w:tc>
        <w:tc>
          <w:tcPr>
            <w:tcW w:w="567" w:type="dxa"/>
          </w:tcPr>
          <w:p w:rsidR="00D66C7F" w:rsidRPr="00D66C7F" w:rsidRDefault="00D66C7F" w:rsidP="00D66C7F">
            <w:pPr>
              <w:spacing w:line="240" w:lineRule="auto"/>
              <w:jc w:val="left"/>
              <w:rPr>
                <w:rStyle w:val="Hyperlink"/>
                <w:rtl/>
              </w:rPr>
            </w:pPr>
            <w:hyperlink w:anchor="Seif13" w:tooltip="צירוף צד"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14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המצאת מסמכים וידיעות נוספות</w:t>
            </w:r>
          </w:p>
        </w:tc>
        <w:tc>
          <w:tcPr>
            <w:tcW w:w="567" w:type="dxa"/>
          </w:tcPr>
          <w:p w:rsidR="00D66C7F" w:rsidRPr="00D66C7F" w:rsidRDefault="00D66C7F" w:rsidP="00D66C7F">
            <w:pPr>
              <w:spacing w:line="240" w:lineRule="auto"/>
              <w:jc w:val="left"/>
              <w:rPr>
                <w:rStyle w:val="Hyperlink"/>
                <w:rtl/>
              </w:rPr>
            </w:pPr>
            <w:hyperlink w:anchor="Seif14" w:tooltip="המצאת מסמכים וידיעות נוספות"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15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שאלות לשמאי מכריע והתייצבותו לדיון</w:t>
            </w:r>
          </w:p>
        </w:tc>
        <w:tc>
          <w:tcPr>
            <w:tcW w:w="567" w:type="dxa"/>
          </w:tcPr>
          <w:p w:rsidR="00D66C7F" w:rsidRPr="00D66C7F" w:rsidRDefault="00D66C7F" w:rsidP="00D66C7F">
            <w:pPr>
              <w:spacing w:line="240" w:lineRule="auto"/>
              <w:jc w:val="left"/>
              <w:rPr>
                <w:rStyle w:val="Hyperlink"/>
                <w:rtl/>
              </w:rPr>
            </w:pPr>
            <w:hyperlink w:anchor="Seif15" w:tooltip="שאלות לשמאי מכריע והתייצבותו לדיון"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16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מינוי שמאי מייעץ</w:t>
            </w:r>
          </w:p>
        </w:tc>
        <w:tc>
          <w:tcPr>
            <w:tcW w:w="567" w:type="dxa"/>
          </w:tcPr>
          <w:p w:rsidR="00D66C7F" w:rsidRPr="00D66C7F" w:rsidRDefault="00D66C7F" w:rsidP="00D66C7F">
            <w:pPr>
              <w:spacing w:line="240" w:lineRule="auto"/>
              <w:jc w:val="left"/>
              <w:rPr>
                <w:rStyle w:val="Hyperlink"/>
                <w:rtl/>
              </w:rPr>
            </w:pPr>
            <w:hyperlink w:anchor="Seif16" w:tooltip="מינוי שמאי מייעץ"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17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שאלות לשמאי מייעץ והתייצבותו לדיון</w:t>
            </w:r>
          </w:p>
        </w:tc>
        <w:tc>
          <w:tcPr>
            <w:tcW w:w="567" w:type="dxa"/>
          </w:tcPr>
          <w:p w:rsidR="00D66C7F" w:rsidRPr="00D66C7F" w:rsidRDefault="00D66C7F" w:rsidP="00D66C7F">
            <w:pPr>
              <w:spacing w:line="240" w:lineRule="auto"/>
              <w:jc w:val="left"/>
              <w:rPr>
                <w:rStyle w:val="Hyperlink"/>
                <w:rtl/>
              </w:rPr>
            </w:pPr>
            <w:hyperlink w:anchor="Seif17" w:tooltip="שאלות לשמאי מייעץ והתייצבותו לדיון"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18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סמכות יושב ראש הוועדה</w:t>
            </w:r>
          </w:p>
        </w:tc>
        <w:tc>
          <w:tcPr>
            <w:tcW w:w="567" w:type="dxa"/>
          </w:tcPr>
          <w:p w:rsidR="00D66C7F" w:rsidRPr="00D66C7F" w:rsidRDefault="00D66C7F" w:rsidP="00D66C7F">
            <w:pPr>
              <w:spacing w:line="240" w:lineRule="auto"/>
              <w:jc w:val="left"/>
              <w:rPr>
                <w:rStyle w:val="Hyperlink"/>
                <w:rtl/>
              </w:rPr>
            </w:pPr>
            <w:hyperlink w:anchor="Seif18" w:tooltip="סמכות יושב ראש הוועדה"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19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פרוטוקול</w:t>
            </w:r>
          </w:p>
        </w:tc>
        <w:tc>
          <w:tcPr>
            <w:tcW w:w="567" w:type="dxa"/>
          </w:tcPr>
          <w:p w:rsidR="00D66C7F" w:rsidRPr="00D66C7F" w:rsidRDefault="00D66C7F" w:rsidP="00D66C7F">
            <w:pPr>
              <w:spacing w:line="240" w:lineRule="auto"/>
              <w:jc w:val="left"/>
              <w:rPr>
                <w:rStyle w:val="Hyperlink"/>
                <w:rtl/>
              </w:rPr>
            </w:pPr>
            <w:hyperlink w:anchor="Seif19" w:tooltip="פרוטוקול"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20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מועד מתן החלטה</w:t>
            </w:r>
          </w:p>
        </w:tc>
        <w:tc>
          <w:tcPr>
            <w:tcW w:w="567" w:type="dxa"/>
          </w:tcPr>
          <w:p w:rsidR="00D66C7F" w:rsidRPr="00D66C7F" w:rsidRDefault="00D66C7F" w:rsidP="00D66C7F">
            <w:pPr>
              <w:spacing w:line="240" w:lineRule="auto"/>
              <w:jc w:val="left"/>
              <w:rPr>
                <w:rStyle w:val="Hyperlink"/>
                <w:rtl/>
              </w:rPr>
            </w:pPr>
            <w:hyperlink w:anchor="Seif20" w:tooltip="מועד מתן החלטה"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21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החלטה</w:t>
            </w:r>
          </w:p>
        </w:tc>
        <w:tc>
          <w:tcPr>
            <w:tcW w:w="567" w:type="dxa"/>
          </w:tcPr>
          <w:p w:rsidR="00D66C7F" w:rsidRPr="00D66C7F" w:rsidRDefault="00D66C7F" w:rsidP="00D66C7F">
            <w:pPr>
              <w:spacing w:line="240" w:lineRule="auto"/>
              <w:jc w:val="left"/>
              <w:rPr>
                <w:rStyle w:val="Hyperlink"/>
                <w:rtl/>
              </w:rPr>
            </w:pPr>
            <w:hyperlink w:anchor="Seif21" w:tooltip="החלטה"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66C7F" w:rsidRPr="00D66C7F">
        <w:tblPrEx>
          <w:tblCellMar>
            <w:top w:w="0" w:type="dxa"/>
            <w:bottom w:w="0" w:type="dxa"/>
          </w:tblCellMar>
        </w:tblPrEx>
        <w:tc>
          <w:tcPr>
            <w:tcW w:w="1247" w:type="dxa"/>
          </w:tcPr>
          <w:p w:rsidR="00D66C7F" w:rsidRPr="00D66C7F" w:rsidRDefault="00D66C7F" w:rsidP="00D66C7F">
            <w:pPr>
              <w:spacing w:line="240" w:lineRule="auto"/>
              <w:jc w:val="left"/>
              <w:rPr>
                <w:rFonts w:cs="Frankruhel"/>
                <w:sz w:val="24"/>
                <w:rtl/>
              </w:rPr>
            </w:pPr>
            <w:r>
              <w:rPr>
                <w:rFonts w:cs="Times New Roman"/>
                <w:sz w:val="24"/>
                <w:rtl/>
              </w:rPr>
              <w:t xml:space="preserve">סעיף 22 </w:t>
            </w:r>
          </w:p>
        </w:tc>
        <w:tc>
          <w:tcPr>
            <w:tcW w:w="5669" w:type="dxa"/>
          </w:tcPr>
          <w:p w:rsidR="00D66C7F" w:rsidRPr="00D66C7F" w:rsidRDefault="00D66C7F" w:rsidP="00D66C7F">
            <w:pPr>
              <w:spacing w:line="240" w:lineRule="auto"/>
              <w:jc w:val="left"/>
              <w:rPr>
                <w:rFonts w:cs="Frankruhel"/>
                <w:sz w:val="24"/>
                <w:rtl/>
              </w:rPr>
            </w:pPr>
            <w:r>
              <w:rPr>
                <w:rFonts w:cs="Times New Roman"/>
                <w:sz w:val="24"/>
                <w:rtl/>
              </w:rPr>
              <w:t>הארכת מועדים</w:t>
            </w:r>
          </w:p>
        </w:tc>
        <w:tc>
          <w:tcPr>
            <w:tcW w:w="567" w:type="dxa"/>
          </w:tcPr>
          <w:p w:rsidR="00D66C7F" w:rsidRPr="00D66C7F" w:rsidRDefault="00D66C7F" w:rsidP="00D66C7F">
            <w:pPr>
              <w:spacing w:line="240" w:lineRule="auto"/>
              <w:jc w:val="left"/>
              <w:rPr>
                <w:rStyle w:val="Hyperlink"/>
                <w:rtl/>
              </w:rPr>
            </w:pPr>
            <w:hyperlink w:anchor="Seif22" w:tooltip="הארכת מועדים" w:history="1">
              <w:r w:rsidRPr="00D66C7F">
                <w:rPr>
                  <w:rStyle w:val="Hyperlink"/>
                </w:rPr>
                <w:t>Go</w:t>
              </w:r>
            </w:hyperlink>
          </w:p>
        </w:tc>
        <w:tc>
          <w:tcPr>
            <w:tcW w:w="850" w:type="dxa"/>
          </w:tcPr>
          <w:p w:rsidR="00D66C7F" w:rsidRPr="00D66C7F" w:rsidRDefault="00D66C7F" w:rsidP="00D66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B8081D" w:rsidRDefault="00B8081D">
      <w:pPr>
        <w:pStyle w:val="big-header"/>
        <w:ind w:left="0" w:right="1134"/>
        <w:rPr>
          <w:rtl/>
        </w:rPr>
      </w:pPr>
    </w:p>
    <w:p w:rsidR="00B8081D" w:rsidRDefault="00B8081D" w:rsidP="00285397">
      <w:pPr>
        <w:pStyle w:val="big-header"/>
        <w:ind w:left="0" w:right="1134"/>
        <w:rPr>
          <w:rFonts w:hint="cs"/>
          <w:rtl/>
        </w:rPr>
      </w:pPr>
      <w:r>
        <w:rPr>
          <w:rtl/>
        </w:rPr>
        <w:br w:type="page"/>
      </w:r>
      <w:r w:rsidR="00285397">
        <w:rPr>
          <w:rFonts w:hint="cs"/>
          <w:rtl/>
        </w:rPr>
        <w:lastRenderedPageBreak/>
        <w:t>תקנות התכנון והבנייה (סדרי הדין בוועדות ערר בעררים לפי סעיף 14 לתוספת השלישית לחוק), תשע"א-2010</w:t>
      </w:r>
      <w:r w:rsidR="00690184">
        <w:rPr>
          <w:rStyle w:val="a6"/>
          <w:rtl/>
        </w:rPr>
        <w:footnoteReference w:customMarkFollows="1" w:id="1"/>
        <w:t>*</w:t>
      </w:r>
    </w:p>
    <w:p w:rsidR="00F62FA4" w:rsidRDefault="002B74DD" w:rsidP="009747D2">
      <w:pPr>
        <w:pStyle w:val="P00"/>
        <w:spacing w:before="72"/>
        <w:ind w:left="0" w:right="1134"/>
        <w:rPr>
          <w:rStyle w:val="default"/>
          <w:rFonts w:cs="FrankRuehl" w:hint="cs"/>
          <w:rtl/>
        </w:rPr>
      </w:pPr>
      <w:r>
        <w:rPr>
          <w:rStyle w:val="default"/>
          <w:rFonts w:cs="FrankRuehl" w:hint="cs"/>
          <w:rtl/>
        </w:rPr>
        <w:tab/>
        <w:t xml:space="preserve">בתוקף סמכותי לפי </w:t>
      </w:r>
      <w:r w:rsidR="009747D2">
        <w:rPr>
          <w:rStyle w:val="default"/>
          <w:rFonts w:cs="FrankRuehl" w:hint="cs"/>
          <w:rtl/>
        </w:rPr>
        <w:t xml:space="preserve">סעיף 12ד לחוק התכנון והבנייה, התשכ"ה-1965 (להלן </w:t>
      </w:r>
      <w:r w:rsidR="009747D2">
        <w:rPr>
          <w:rStyle w:val="default"/>
          <w:rFonts w:cs="FrankRuehl"/>
          <w:rtl/>
        </w:rPr>
        <w:t>–</w:t>
      </w:r>
      <w:r w:rsidR="009747D2">
        <w:rPr>
          <w:rStyle w:val="default"/>
          <w:rFonts w:cs="FrankRuehl" w:hint="cs"/>
          <w:rtl/>
        </w:rPr>
        <w:t xml:space="preserve"> החוק), בהסכמת שר הפנים,</w:t>
      </w:r>
      <w:r w:rsidR="007D7E27">
        <w:rPr>
          <w:rStyle w:val="default"/>
          <w:rFonts w:cs="FrankRuehl" w:hint="cs"/>
          <w:rtl/>
        </w:rPr>
        <w:t xml:space="preserve"> אני מתקין תקנות אלה</w:t>
      </w:r>
      <w:r>
        <w:rPr>
          <w:rStyle w:val="default"/>
          <w:rFonts w:cs="FrankRuehl" w:hint="cs"/>
          <w:rtl/>
        </w:rPr>
        <w:t>:</w:t>
      </w:r>
    </w:p>
    <w:p w:rsidR="00B8081D" w:rsidRDefault="00B8081D" w:rsidP="008277E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05pt;z-index:251646976" o:allowincell="f" filled="f" stroked="f" strokecolor="lime" strokeweight=".25pt">
            <v:textbox style="mso-next-textbox:#_x0000_s1026" inset="0,0,0,0">
              <w:txbxContent>
                <w:p w:rsidR="004E0A88" w:rsidRDefault="004E0A88" w:rsidP="002B156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8277EF">
        <w:rPr>
          <w:rStyle w:val="default"/>
          <w:rFonts w:cs="FrankRuehl" w:hint="cs"/>
          <w:rtl/>
        </w:rPr>
        <w:t xml:space="preserve">בתקנות אלה </w:t>
      </w:r>
      <w:r w:rsidR="008277EF">
        <w:rPr>
          <w:rStyle w:val="default"/>
          <w:rFonts w:cs="FrankRuehl"/>
          <w:rtl/>
        </w:rPr>
        <w:t>–</w:t>
      </w:r>
    </w:p>
    <w:p w:rsidR="009747D2" w:rsidRDefault="009747D2" w:rsidP="008277EF">
      <w:pPr>
        <w:pStyle w:val="P00"/>
        <w:spacing w:before="72"/>
        <w:ind w:left="0" w:right="1134"/>
        <w:rPr>
          <w:rStyle w:val="default"/>
          <w:rFonts w:cs="FrankRuehl" w:hint="cs"/>
          <w:rtl/>
        </w:rPr>
      </w:pPr>
      <w:r>
        <w:rPr>
          <w:rStyle w:val="default"/>
          <w:rFonts w:cs="FrankRuehl" w:hint="cs"/>
          <w:rtl/>
        </w:rPr>
        <w:tab/>
        <w:t xml:space="preserve">"אמצעי אלקטרוני" </w:t>
      </w:r>
      <w:r>
        <w:rPr>
          <w:rStyle w:val="default"/>
          <w:rFonts w:cs="FrankRuehl"/>
          <w:rtl/>
        </w:rPr>
        <w:t>–</w:t>
      </w:r>
      <w:r>
        <w:rPr>
          <w:rStyle w:val="default"/>
          <w:rFonts w:cs="FrankRuehl" w:hint="cs"/>
          <w:rtl/>
        </w:rPr>
        <w:t xml:space="preserve"> תקשורת בין מחשבים, דיסקט מגנטי או אופטי או התקן אחר שבאמצעותו ניתן להעביר מסמכים אל מערכת ממוכנת או ממנה;</w:t>
      </w:r>
    </w:p>
    <w:p w:rsidR="009747D2" w:rsidRDefault="009747D2" w:rsidP="008277EF">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ערר לפי סעיף 12ו לחוק;</w:t>
      </w:r>
    </w:p>
    <w:p w:rsidR="009747D2" w:rsidRDefault="009747D2" w:rsidP="008277EF">
      <w:pPr>
        <w:pStyle w:val="P00"/>
        <w:spacing w:before="72"/>
        <w:ind w:left="0" w:right="1134"/>
        <w:rPr>
          <w:rStyle w:val="default"/>
          <w:rFonts w:cs="FrankRuehl" w:hint="cs"/>
          <w:rtl/>
        </w:rPr>
      </w:pPr>
      <w:r>
        <w:rPr>
          <w:rStyle w:val="default"/>
          <w:rFonts w:cs="FrankRuehl" w:hint="cs"/>
          <w:rtl/>
        </w:rPr>
        <w:tab/>
        <w:t xml:space="preserve">"המשיבה" </w:t>
      </w:r>
      <w:r>
        <w:rPr>
          <w:rStyle w:val="default"/>
          <w:rFonts w:cs="FrankRuehl"/>
          <w:rtl/>
        </w:rPr>
        <w:t>–</w:t>
      </w:r>
      <w:r>
        <w:rPr>
          <w:rStyle w:val="default"/>
          <w:rFonts w:cs="FrankRuehl" w:hint="cs"/>
          <w:rtl/>
        </w:rPr>
        <w:t xml:space="preserve"> הוועדה המקומית שקבעה את שומת ההשבחה לפי סעיף 4 לתוספת השלישית לחוק או שקבעה את לוח השומה לפי סעיף 5 לתוספת השלישית לחוק;</w:t>
      </w:r>
    </w:p>
    <w:p w:rsidR="009747D2" w:rsidRDefault="009747D2" w:rsidP="008277EF">
      <w:pPr>
        <w:pStyle w:val="P00"/>
        <w:spacing w:before="72"/>
        <w:ind w:left="0" w:right="1134"/>
        <w:rPr>
          <w:rStyle w:val="default"/>
          <w:rFonts w:cs="FrankRuehl" w:hint="cs"/>
          <w:rtl/>
        </w:rPr>
      </w:pPr>
      <w:r>
        <w:rPr>
          <w:rStyle w:val="default"/>
          <w:rFonts w:cs="FrankRuehl" w:hint="cs"/>
          <w:rtl/>
        </w:rPr>
        <w:tab/>
        <w:t xml:space="preserve">"ערר" </w:t>
      </w:r>
      <w:r>
        <w:rPr>
          <w:rStyle w:val="default"/>
          <w:rFonts w:cs="FrankRuehl"/>
          <w:rtl/>
        </w:rPr>
        <w:t>–</w:t>
      </w:r>
      <w:r>
        <w:rPr>
          <w:rStyle w:val="default"/>
          <w:rFonts w:cs="FrankRuehl" w:hint="cs"/>
          <w:rtl/>
        </w:rPr>
        <w:t xml:space="preserve"> ערר על שומה או על לוח שומה לפי סעיף 14(א) לתוספת השלישית לחוק או ערר על החלטה של שמאי מכריע לפי סעיף 14(ב)(4) לתוספת השלישית לחוק, לפי העניין.</w:t>
      </w:r>
    </w:p>
    <w:p w:rsidR="002B1569" w:rsidRDefault="002B1569" w:rsidP="009747D2">
      <w:pPr>
        <w:pStyle w:val="P00"/>
        <w:spacing w:before="72"/>
        <w:ind w:left="0" w:right="1134"/>
        <w:rPr>
          <w:rStyle w:val="default"/>
          <w:rFonts w:cs="FrankRuehl" w:hint="cs"/>
          <w:rtl/>
        </w:rPr>
      </w:pPr>
      <w:bookmarkStart w:id="1" w:name="Seif2"/>
      <w:bookmarkEnd w:id="1"/>
      <w:r>
        <w:rPr>
          <w:lang w:val="he-IL"/>
        </w:rPr>
        <w:pict>
          <v:rect id="_x0000_s1148" style="position:absolute;left:0;text-align:left;margin-left:464.5pt;margin-top:8.05pt;width:75.05pt;height:11.7pt;z-index:251648000" o:allowincell="f" filled="f" stroked="f" strokecolor="lime" strokeweight=".25pt">
            <v:textbox style="mso-next-textbox:#_x0000_s1148" inset="0,0,0,0">
              <w:txbxContent>
                <w:p w:rsidR="004E0A88" w:rsidRDefault="009747D2" w:rsidP="002B1569">
                  <w:pPr>
                    <w:spacing w:line="160" w:lineRule="exact"/>
                    <w:jc w:val="left"/>
                    <w:rPr>
                      <w:rFonts w:cs="Miriam" w:hint="cs"/>
                      <w:noProof/>
                      <w:szCs w:val="18"/>
                      <w:rtl/>
                    </w:rPr>
                  </w:pPr>
                  <w:r>
                    <w:rPr>
                      <w:rFonts w:cs="Miriam" w:hint="cs"/>
                      <w:szCs w:val="18"/>
                      <w:rtl/>
                    </w:rPr>
                    <w:t>הגשת ערר</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9747D2">
        <w:rPr>
          <w:rStyle w:val="default"/>
          <w:rFonts w:cs="FrankRuehl" w:hint="cs"/>
          <w:rtl/>
        </w:rPr>
        <w:t>ערר יוגש בידי העורר למזכירות הוועדה, בכתב, בחמישה עותקים; מזכיר הוועדה או עובד מטעמו, יאשר, בכתב, את קבלת הערר; בכתב האישור יצוין תאריך ההגשה ומספר תיק הערר</w:t>
      </w:r>
      <w:r w:rsidR="004F6E5A">
        <w:rPr>
          <w:rStyle w:val="default"/>
          <w:rFonts w:cs="FrankRuehl" w:hint="cs"/>
          <w:rtl/>
        </w:rPr>
        <w:t>.</w:t>
      </w:r>
    </w:p>
    <w:p w:rsidR="002B1569" w:rsidRDefault="002B1569" w:rsidP="009747D2">
      <w:pPr>
        <w:pStyle w:val="P00"/>
        <w:spacing w:before="72"/>
        <w:ind w:left="0" w:right="1134"/>
        <w:rPr>
          <w:rStyle w:val="default"/>
          <w:rFonts w:cs="FrankRuehl" w:hint="cs"/>
          <w:rtl/>
        </w:rPr>
      </w:pPr>
      <w:bookmarkStart w:id="2" w:name="Seif3"/>
      <w:bookmarkEnd w:id="2"/>
      <w:r>
        <w:rPr>
          <w:lang w:val="he-IL"/>
        </w:rPr>
        <w:pict>
          <v:rect id="_x0000_s1149" style="position:absolute;left:0;text-align:left;margin-left:464.5pt;margin-top:8.05pt;width:75.05pt;height:20.95pt;z-index:251649024" o:allowincell="f" filled="f" stroked="f" strokecolor="lime" strokeweight=".25pt">
            <v:textbox style="mso-next-textbox:#_x0000_s1149" inset="0,0,0,0">
              <w:txbxContent>
                <w:p w:rsidR="004E0A88" w:rsidRDefault="009747D2" w:rsidP="00F62FA4">
                  <w:pPr>
                    <w:spacing w:line="160" w:lineRule="exact"/>
                    <w:jc w:val="left"/>
                    <w:rPr>
                      <w:rFonts w:cs="Miriam" w:hint="cs"/>
                      <w:noProof/>
                      <w:szCs w:val="18"/>
                      <w:rtl/>
                    </w:rPr>
                  </w:pPr>
                  <w:r>
                    <w:rPr>
                      <w:rFonts w:cs="Miriam" w:hint="cs"/>
                      <w:szCs w:val="18"/>
                      <w:rtl/>
                    </w:rPr>
                    <w:t>פרטי הערר ומסמכים נלווים</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C52CD7">
        <w:rPr>
          <w:rStyle w:val="default"/>
          <w:rFonts w:cs="FrankRuehl" w:hint="cs"/>
          <w:rtl/>
        </w:rPr>
        <w:t>(א)</w:t>
      </w:r>
      <w:r w:rsidR="00C52CD7">
        <w:rPr>
          <w:rStyle w:val="default"/>
          <w:rFonts w:cs="FrankRuehl" w:hint="cs"/>
          <w:rtl/>
        </w:rPr>
        <w:tab/>
      </w:r>
      <w:r w:rsidR="009747D2">
        <w:rPr>
          <w:rStyle w:val="default"/>
          <w:rFonts w:cs="FrankRuehl" w:hint="cs"/>
          <w:rtl/>
        </w:rPr>
        <w:t>כתב ערר יכלול את כל אלה:</w:t>
      </w:r>
    </w:p>
    <w:p w:rsidR="009747D2" w:rsidRDefault="009747D2" w:rsidP="009747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העורר, מענו, מספר הטלפון שלו ומספר הפקסמילה שלו וכן דואר אלקטרוני ככל שהוא מעוניין להתקשר בדרך זו;</w:t>
      </w:r>
    </w:p>
    <w:p w:rsidR="009747D2" w:rsidRDefault="009747D2" w:rsidP="009747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השמאי שמטעם העורר, או בא כוחו, מען להמצאת מסמכים בעבורו, מספר הטלפון ומספר הפקסמילה שלו, וכן דואר אלקטרוני, ככל שהוא מעוניין להתקשר בדרך זו;</w:t>
      </w:r>
    </w:p>
    <w:p w:rsidR="009747D2" w:rsidRDefault="009747D2" w:rsidP="009747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 התכנית או הבקשה להקלה או לשימוש חורג שלגביה נקבעה השומה;</w:t>
      </w:r>
    </w:p>
    <w:p w:rsidR="009747D2" w:rsidRDefault="009747D2" w:rsidP="009747D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 המשיבה הכוללים מען להמצאת מסמכים, טלפון ופקסמילה, וכן דואר אלקטרוני, ככל שאלו ידועים לעורר;</w:t>
      </w:r>
    </w:p>
    <w:p w:rsidR="009747D2" w:rsidRDefault="009747D2" w:rsidP="009747D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נימוקי הערר;</w:t>
      </w:r>
    </w:p>
    <w:p w:rsidR="009747D2" w:rsidRDefault="009747D2" w:rsidP="009747D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נסח רישום בפנקסי המקרקעין, או מסמך אחר המעיד על הזכות בנכס, אם הזכות איננה רשומה בפנקסי המקרקעין;</w:t>
      </w:r>
    </w:p>
    <w:p w:rsidR="009747D2" w:rsidRDefault="009747D2" w:rsidP="009747D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שומת הוועדה המקומית והמסמכים הנלווים לה; לערר על החלטת שמאי מכריע לפי סעיף 14(ב)(4) לתוספת השלישית לחוק, תצורף גם השומה המכרעת שערך השמאי המכריע;</w:t>
      </w:r>
    </w:p>
    <w:p w:rsidR="009747D2" w:rsidRDefault="009747D2" w:rsidP="009747D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שומה שנערכה מטעם העורר; ואולם יושב ראש הוועדה רשאי, לבקשה העורר, לפטור אותו מהגשת שומה כאמור, אם ראה כי איננה נדרשת לצורך הכרעה בערר;</w:t>
      </w:r>
    </w:p>
    <w:p w:rsidR="009747D2" w:rsidRDefault="009747D2" w:rsidP="009747D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 מסמך אחר הנוגע לעניין שהעורר מבקש להציג לפני הוועדה.</w:t>
      </w:r>
    </w:p>
    <w:p w:rsidR="009747D2" w:rsidRDefault="009747D2" w:rsidP="009747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ימסור העורר את המסמכים המפורטים בתקנת משנה (א), לאחר חלוף המועד הקבוע בסעיף 14(א) לתוספת השלישית לחוק, או בסעיף 14(ב)(4) לתוספת השלישית לחוק, לפי העניין (להלן </w:t>
      </w:r>
      <w:r>
        <w:rPr>
          <w:rStyle w:val="default"/>
          <w:rFonts w:cs="FrankRuehl"/>
          <w:rtl/>
        </w:rPr>
        <w:t>–</w:t>
      </w:r>
      <w:r>
        <w:rPr>
          <w:rStyle w:val="default"/>
          <w:rFonts w:cs="FrankRuehl" w:hint="cs"/>
          <w:rtl/>
        </w:rPr>
        <w:t xml:space="preserve"> המועד שנקבע בחוק), אלא באישור הוועדה.</w:t>
      </w:r>
    </w:p>
    <w:p w:rsidR="009747D2" w:rsidRDefault="009747D2" w:rsidP="00DC26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המציא העורר את המסמכים המפורטים בתקנת משנה (א)</w:t>
      </w:r>
      <w:r w:rsidR="00DC2687">
        <w:rPr>
          <w:rStyle w:val="default"/>
          <w:rFonts w:cs="FrankRuehl" w:hint="cs"/>
          <w:rtl/>
        </w:rPr>
        <w:t xml:space="preserve"> במועד שנקבע בחוק או במועד שקבעה הוועדה לפי תקנת משנה (ב), יראו את העורר כאילו חזר בו מהערר</w:t>
      </w:r>
      <w:r>
        <w:rPr>
          <w:rStyle w:val="default"/>
          <w:rFonts w:cs="FrankRuehl" w:hint="cs"/>
          <w:rtl/>
        </w:rPr>
        <w:t>.</w:t>
      </w:r>
    </w:p>
    <w:p w:rsidR="003B0720" w:rsidRDefault="003B0720" w:rsidP="00DC2687">
      <w:pPr>
        <w:pStyle w:val="P00"/>
        <w:spacing w:before="72"/>
        <w:ind w:left="0" w:right="1134"/>
        <w:rPr>
          <w:rStyle w:val="default"/>
          <w:rFonts w:cs="FrankRuehl" w:hint="cs"/>
          <w:rtl/>
        </w:rPr>
      </w:pPr>
      <w:bookmarkStart w:id="3" w:name="Seif4"/>
      <w:bookmarkEnd w:id="3"/>
      <w:r>
        <w:rPr>
          <w:lang w:val="he-IL"/>
        </w:rPr>
        <w:pict>
          <v:rect id="_x0000_s1159" style="position:absolute;left:0;text-align:left;margin-left:464.5pt;margin-top:8.05pt;width:75.05pt;height:17.05pt;z-index:251650048" o:allowincell="f" filled="f" stroked="f" strokecolor="lime" strokeweight=".25pt">
            <v:textbox style="mso-next-textbox:#_x0000_s1159" inset="0,0,0,0">
              <w:txbxContent>
                <w:p w:rsidR="004E0A88" w:rsidRDefault="00DC2687" w:rsidP="003B0720">
                  <w:pPr>
                    <w:spacing w:line="160" w:lineRule="exact"/>
                    <w:jc w:val="left"/>
                    <w:rPr>
                      <w:rFonts w:cs="Miriam" w:hint="cs"/>
                      <w:noProof/>
                      <w:szCs w:val="18"/>
                      <w:rtl/>
                    </w:rPr>
                  </w:pPr>
                  <w:r>
                    <w:rPr>
                      <w:rFonts w:cs="Miriam" w:hint="cs"/>
                      <w:szCs w:val="18"/>
                      <w:rtl/>
                    </w:rPr>
                    <w:t>מסירת העתקי הערר למשיבה</w:t>
                  </w:r>
                </w:p>
              </w:txbxContent>
            </v:textbox>
            <w10:anchorlock/>
          </v:rect>
        </w:pict>
      </w:r>
      <w:r w:rsidR="00301567">
        <w:rPr>
          <w:rStyle w:val="big-number"/>
          <w:rFonts w:cs="Miriam" w:hint="cs"/>
          <w:rtl/>
        </w:rPr>
        <w:t>4</w:t>
      </w:r>
      <w:r w:rsidRPr="00547F55">
        <w:rPr>
          <w:rStyle w:val="default"/>
          <w:rFonts w:cs="FrankRuehl"/>
          <w:rtl/>
        </w:rPr>
        <w:t>.</w:t>
      </w:r>
      <w:r w:rsidRPr="00547F55">
        <w:rPr>
          <w:rStyle w:val="default"/>
          <w:rFonts w:cs="FrankRuehl"/>
          <w:rtl/>
        </w:rPr>
        <w:tab/>
      </w:r>
      <w:r w:rsidR="00DC2687">
        <w:rPr>
          <w:rStyle w:val="default"/>
          <w:rFonts w:cs="FrankRuehl" w:hint="cs"/>
          <w:rtl/>
        </w:rPr>
        <w:t>מזכיר הוועדה ישלח למשיבה, בתוך חמישה ימים מיום קבלת הערר, העתק של הערר בצירוף המסמכים הנלווים לו.</w:t>
      </w:r>
    </w:p>
    <w:p w:rsidR="003B0720" w:rsidRDefault="003B0720" w:rsidP="00DC2687">
      <w:pPr>
        <w:pStyle w:val="P00"/>
        <w:spacing w:before="72"/>
        <w:ind w:left="0" w:right="1134"/>
        <w:rPr>
          <w:rStyle w:val="default"/>
          <w:rFonts w:cs="FrankRuehl" w:hint="cs"/>
          <w:rtl/>
        </w:rPr>
      </w:pPr>
      <w:bookmarkStart w:id="4" w:name="Seif5"/>
      <w:bookmarkEnd w:id="4"/>
      <w:r>
        <w:rPr>
          <w:lang w:val="he-IL"/>
        </w:rPr>
        <w:pict>
          <v:rect id="_x0000_s1160" style="position:absolute;left:0;text-align:left;margin-left:464.5pt;margin-top:8.05pt;width:75.05pt;height:17.7pt;z-index:251651072" o:allowincell="f" filled="f" stroked="f" strokecolor="lime" strokeweight=".25pt">
            <v:textbox style="mso-next-textbox:#_x0000_s1160" inset="0,0,0,0">
              <w:txbxContent>
                <w:p w:rsidR="004E0A88" w:rsidRDefault="00DC2687" w:rsidP="003B0720">
                  <w:pPr>
                    <w:spacing w:line="160" w:lineRule="exact"/>
                    <w:jc w:val="left"/>
                    <w:rPr>
                      <w:rFonts w:cs="Miriam" w:hint="cs"/>
                      <w:noProof/>
                      <w:szCs w:val="18"/>
                      <w:rtl/>
                    </w:rPr>
                  </w:pPr>
                  <w:r>
                    <w:rPr>
                      <w:rFonts w:cs="Miriam" w:hint="cs"/>
                      <w:szCs w:val="18"/>
                      <w:rtl/>
                    </w:rPr>
                    <w:t>המצאה באמצעי אלקטרוני</w:t>
                  </w:r>
                </w:p>
              </w:txbxContent>
            </v:textbox>
            <w10:anchorlock/>
          </v:rect>
        </w:pict>
      </w:r>
      <w:r w:rsidR="00033231">
        <w:rPr>
          <w:rStyle w:val="big-number"/>
          <w:rFonts w:cs="Miriam" w:hint="cs"/>
          <w:rtl/>
        </w:rPr>
        <w:t>5</w:t>
      </w:r>
      <w:r w:rsidRPr="00547F55">
        <w:rPr>
          <w:rStyle w:val="default"/>
          <w:rFonts w:cs="FrankRuehl"/>
          <w:rtl/>
        </w:rPr>
        <w:t>.</w:t>
      </w:r>
      <w:r w:rsidRPr="00547F55">
        <w:rPr>
          <w:rStyle w:val="default"/>
          <w:rFonts w:cs="FrankRuehl"/>
          <w:rtl/>
        </w:rPr>
        <w:tab/>
      </w:r>
      <w:r w:rsidR="00DC2687">
        <w:rPr>
          <w:rStyle w:val="default"/>
          <w:rFonts w:cs="FrankRuehl" w:hint="cs"/>
          <w:rtl/>
        </w:rPr>
        <w:t xml:space="preserve">בכל מקום בתקנות אלה שבו נדרשת המצאת מסמכים, הגשת בקשה, הגשת תשובה, פנייה </w:t>
      </w:r>
      <w:r w:rsidR="00DC2687">
        <w:rPr>
          <w:rStyle w:val="default"/>
          <w:rFonts w:cs="FrankRuehl" w:hint="cs"/>
          <w:rtl/>
        </w:rPr>
        <w:lastRenderedPageBreak/>
        <w:t>או הודעה, ניתן להמציא את המסמכים כאמור באמצעי אלקטרוני.</w:t>
      </w:r>
    </w:p>
    <w:p w:rsidR="003B0720" w:rsidRDefault="003B0720" w:rsidP="00DC2687">
      <w:pPr>
        <w:pStyle w:val="P00"/>
        <w:spacing w:before="72"/>
        <w:ind w:left="0" w:right="1134"/>
        <w:rPr>
          <w:rStyle w:val="default"/>
          <w:rFonts w:cs="FrankRuehl" w:hint="cs"/>
          <w:rtl/>
        </w:rPr>
      </w:pPr>
      <w:bookmarkStart w:id="5" w:name="Seif6"/>
      <w:bookmarkEnd w:id="5"/>
      <w:r>
        <w:rPr>
          <w:lang w:val="he-IL"/>
        </w:rPr>
        <w:pict>
          <v:rect id="_x0000_s1161" style="position:absolute;left:0;text-align:left;margin-left:464.5pt;margin-top:8.05pt;width:75.05pt;height:14.15pt;z-index:251652096" o:allowincell="f" filled="f" stroked="f" strokecolor="lime" strokeweight=".25pt">
            <v:textbox style="mso-next-textbox:#_x0000_s1161" inset="0,0,0,0">
              <w:txbxContent>
                <w:p w:rsidR="004E0A88" w:rsidRDefault="00DC2687" w:rsidP="003B0720">
                  <w:pPr>
                    <w:spacing w:line="160" w:lineRule="exact"/>
                    <w:jc w:val="left"/>
                    <w:rPr>
                      <w:rFonts w:cs="Miriam" w:hint="cs"/>
                      <w:noProof/>
                      <w:szCs w:val="18"/>
                      <w:rtl/>
                    </w:rPr>
                  </w:pPr>
                  <w:r>
                    <w:rPr>
                      <w:rFonts w:cs="Miriam" w:hint="cs"/>
                      <w:szCs w:val="18"/>
                      <w:rtl/>
                    </w:rPr>
                    <w:t>תשובה לערר</w:t>
                  </w:r>
                </w:p>
              </w:txbxContent>
            </v:textbox>
            <w10:anchorlock/>
          </v:rect>
        </w:pict>
      </w:r>
      <w:r w:rsidR="00614C15">
        <w:rPr>
          <w:rStyle w:val="big-number"/>
          <w:rFonts w:cs="Miriam" w:hint="cs"/>
          <w:rtl/>
        </w:rPr>
        <w:t>6</w:t>
      </w:r>
      <w:r w:rsidRPr="00547F55">
        <w:rPr>
          <w:rStyle w:val="default"/>
          <w:rFonts w:cs="FrankRuehl"/>
          <w:rtl/>
        </w:rPr>
        <w:t>.</w:t>
      </w:r>
      <w:r w:rsidRPr="00547F55">
        <w:rPr>
          <w:rStyle w:val="default"/>
          <w:rFonts w:cs="FrankRuehl"/>
          <w:rtl/>
        </w:rPr>
        <w:tab/>
      </w:r>
      <w:r w:rsidR="00DC2687">
        <w:rPr>
          <w:rStyle w:val="default"/>
          <w:rFonts w:cs="FrankRuehl" w:hint="cs"/>
          <w:rtl/>
        </w:rPr>
        <w:t>(א)</w:t>
      </w:r>
      <w:r w:rsidR="00DC2687">
        <w:rPr>
          <w:rStyle w:val="default"/>
          <w:rFonts w:cs="FrankRuehl" w:hint="cs"/>
          <w:rtl/>
        </w:rPr>
        <w:tab/>
        <w:t>המשיבה תגיש את תשובתה לערר, בתוך 30 ימים מיום שהומצא לה הערר כאמור בתקנה 4, ובצירוף כל המסמכים שהיא מבקשת להציג לפני הוועדה; לא יוגשו מסמכים כאמור לאחר המועד הקבוע בתקנה זו, אלא באישור יושב ראש הוועדה.</w:t>
      </w:r>
    </w:p>
    <w:p w:rsidR="00DC2687" w:rsidRDefault="00DC2687" w:rsidP="00DC26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רשאית לבקש מהמשיבה לצרף לתשובתה העתק מהתקנון או מהתשריט של התכנית או העתק מההיתר, לפי העניין, שבשלם חויב העורר בהיטל השבחה, כולם או חלקם.</w:t>
      </w:r>
    </w:p>
    <w:p w:rsidR="00DC2687" w:rsidRDefault="00DC2687" w:rsidP="00DC26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המשיבה תמציא העתק מתשובתה ומכל מסמך שהוגש לוועדת הערר לעורר וזאת במועד שבו הוגש המסמך לוועדת הערר.</w:t>
      </w:r>
    </w:p>
    <w:p w:rsidR="003B0720" w:rsidRDefault="003B0720" w:rsidP="00DC2687">
      <w:pPr>
        <w:pStyle w:val="P00"/>
        <w:spacing w:before="72"/>
        <w:ind w:left="0" w:right="1134"/>
        <w:rPr>
          <w:rStyle w:val="default"/>
          <w:rFonts w:cs="FrankRuehl" w:hint="cs"/>
          <w:rtl/>
        </w:rPr>
      </w:pPr>
      <w:bookmarkStart w:id="6" w:name="Seif7"/>
      <w:bookmarkEnd w:id="6"/>
      <w:r>
        <w:rPr>
          <w:lang w:val="he-IL"/>
        </w:rPr>
        <w:pict>
          <v:rect id="_x0000_s1162" style="position:absolute;left:0;text-align:left;margin-left:464.5pt;margin-top:8.05pt;width:75.05pt;height:21.9pt;z-index:251653120" o:allowincell="f" filled="f" stroked="f" strokecolor="lime" strokeweight=".25pt">
            <v:textbox style="mso-next-textbox:#_x0000_s1162" inset="0,0,0,0">
              <w:txbxContent>
                <w:p w:rsidR="004E0A88" w:rsidRDefault="00DC2687" w:rsidP="003B0720">
                  <w:pPr>
                    <w:spacing w:line="160" w:lineRule="exact"/>
                    <w:jc w:val="left"/>
                    <w:rPr>
                      <w:rFonts w:cs="Miriam" w:hint="cs"/>
                      <w:noProof/>
                      <w:szCs w:val="18"/>
                      <w:rtl/>
                    </w:rPr>
                  </w:pPr>
                  <w:r>
                    <w:rPr>
                      <w:rFonts w:cs="Miriam" w:hint="cs"/>
                      <w:szCs w:val="18"/>
                      <w:rtl/>
                    </w:rPr>
                    <w:t>דיון בהעדר תשובה בכתב</w:t>
                  </w:r>
                </w:p>
              </w:txbxContent>
            </v:textbox>
            <w10:anchorlock/>
          </v:rect>
        </w:pict>
      </w:r>
      <w:r w:rsidR="00614C15">
        <w:rPr>
          <w:rStyle w:val="big-number"/>
          <w:rFonts w:cs="Miriam" w:hint="cs"/>
          <w:rtl/>
        </w:rPr>
        <w:t>7</w:t>
      </w:r>
      <w:r w:rsidRPr="00547F55">
        <w:rPr>
          <w:rStyle w:val="default"/>
          <w:rFonts w:cs="FrankRuehl"/>
          <w:rtl/>
        </w:rPr>
        <w:t>.</w:t>
      </w:r>
      <w:r w:rsidRPr="00547F55">
        <w:rPr>
          <w:rStyle w:val="default"/>
          <w:rFonts w:cs="FrankRuehl"/>
          <w:rtl/>
        </w:rPr>
        <w:tab/>
      </w:r>
      <w:r w:rsidR="00DC2687">
        <w:rPr>
          <w:rStyle w:val="default"/>
          <w:rFonts w:cs="FrankRuehl" w:hint="cs"/>
          <w:rtl/>
        </w:rPr>
        <w:t>עבר המועד להגשת תשובה בעררף תדון הוועדה בערר, אף אם המשיבה לא הגישה תשובה לערר, ובלבד שהוכח, להנחת דעתה של הוועדה, כי ניתנה לה הזדמנות נאותה להשיב לערר</w:t>
      </w:r>
      <w:r w:rsidR="00614C15">
        <w:rPr>
          <w:rStyle w:val="default"/>
          <w:rFonts w:cs="FrankRuehl" w:hint="cs"/>
          <w:rtl/>
        </w:rPr>
        <w:t>.</w:t>
      </w:r>
    </w:p>
    <w:p w:rsidR="003B0720" w:rsidRDefault="003B0720" w:rsidP="00DC2687">
      <w:pPr>
        <w:pStyle w:val="P00"/>
        <w:spacing w:before="72"/>
        <w:ind w:left="0" w:right="1134"/>
        <w:rPr>
          <w:rStyle w:val="default"/>
          <w:rFonts w:cs="FrankRuehl" w:hint="cs"/>
          <w:rtl/>
        </w:rPr>
      </w:pPr>
      <w:bookmarkStart w:id="7" w:name="Seif8"/>
      <w:bookmarkEnd w:id="7"/>
      <w:r>
        <w:rPr>
          <w:lang w:val="he-IL"/>
        </w:rPr>
        <w:pict>
          <v:rect id="_x0000_s1163" style="position:absolute;left:0;text-align:left;margin-left:464.5pt;margin-top:8.05pt;width:75.05pt;height:14.15pt;z-index:251654144" o:allowincell="f" filled="f" stroked="f" strokecolor="lime" strokeweight=".25pt">
            <v:textbox style="mso-next-textbox:#_x0000_s1163" inset="0,0,0,0">
              <w:txbxContent>
                <w:p w:rsidR="004E0A88" w:rsidRDefault="00DC2687" w:rsidP="003B0720">
                  <w:pPr>
                    <w:spacing w:line="160" w:lineRule="exact"/>
                    <w:jc w:val="left"/>
                    <w:rPr>
                      <w:rFonts w:cs="Miriam" w:hint="cs"/>
                      <w:noProof/>
                      <w:szCs w:val="18"/>
                      <w:rtl/>
                    </w:rPr>
                  </w:pPr>
                  <w:r>
                    <w:rPr>
                      <w:rFonts w:cs="Miriam" w:hint="cs"/>
                      <w:szCs w:val="18"/>
                      <w:rtl/>
                    </w:rPr>
                    <w:t>זימון לדיון בערר</w:t>
                  </w:r>
                </w:p>
              </w:txbxContent>
            </v:textbox>
            <w10:anchorlock/>
          </v:rect>
        </w:pict>
      </w:r>
      <w:r w:rsidR="00614C15">
        <w:rPr>
          <w:rStyle w:val="big-number"/>
          <w:rFonts w:cs="Miriam" w:hint="cs"/>
          <w:rtl/>
        </w:rPr>
        <w:t>8</w:t>
      </w:r>
      <w:r w:rsidRPr="00547F55">
        <w:rPr>
          <w:rStyle w:val="default"/>
          <w:rFonts w:cs="FrankRuehl"/>
          <w:rtl/>
        </w:rPr>
        <w:t>.</w:t>
      </w:r>
      <w:r w:rsidRPr="00547F55">
        <w:rPr>
          <w:rStyle w:val="default"/>
          <w:rFonts w:cs="FrankRuehl"/>
          <w:rtl/>
        </w:rPr>
        <w:tab/>
      </w:r>
      <w:r w:rsidR="00DC2687">
        <w:rPr>
          <w:rStyle w:val="default"/>
          <w:rFonts w:cs="FrankRuehl" w:hint="cs"/>
          <w:rtl/>
        </w:rPr>
        <w:t>מזכיר הוועדה יזמן את הצדדים לדיון בערר 7 ימים לפחות לפני היום שנקבע לדיון; הזמנה כאמור יכול שתיעשה גם באמצעות טלפון, פקסמילה או דואר אלקטרוני.</w:t>
      </w:r>
    </w:p>
    <w:p w:rsidR="003B0720" w:rsidRDefault="003B0720" w:rsidP="00DC2687">
      <w:pPr>
        <w:pStyle w:val="P00"/>
        <w:spacing w:before="72"/>
        <w:ind w:left="0" w:right="1134"/>
        <w:rPr>
          <w:rStyle w:val="default"/>
          <w:rFonts w:cs="FrankRuehl" w:hint="cs"/>
          <w:rtl/>
        </w:rPr>
      </w:pPr>
      <w:bookmarkStart w:id="8" w:name="Seif9"/>
      <w:bookmarkEnd w:id="8"/>
      <w:r>
        <w:rPr>
          <w:lang w:val="he-IL"/>
        </w:rPr>
        <w:pict>
          <v:rect id="_x0000_s1164" style="position:absolute;left:0;text-align:left;margin-left:464.5pt;margin-top:8.05pt;width:75.05pt;height:10.25pt;z-index:251655168" o:allowincell="f" filled="f" stroked="f" strokecolor="lime" strokeweight=".25pt">
            <v:textbox style="mso-next-textbox:#_x0000_s1164" inset="0,0,0,0">
              <w:txbxContent>
                <w:p w:rsidR="004E0A88" w:rsidRDefault="00DC2687" w:rsidP="003B0720">
                  <w:pPr>
                    <w:spacing w:line="160" w:lineRule="exact"/>
                    <w:jc w:val="left"/>
                    <w:rPr>
                      <w:rFonts w:cs="Miriam" w:hint="cs"/>
                      <w:noProof/>
                      <w:szCs w:val="18"/>
                      <w:rtl/>
                    </w:rPr>
                  </w:pPr>
                  <w:r>
                    <w:rPr>
                      <w:rFonts w:cs="Miriam" w:hint="cs"/>
                      <w:szCs w:val="18"/>
                      <w:rtl/>
                    </w:rPr>
                    <w:t>דיון בהעדר צד</w:t>
                  </w:r>
                </w:p>
              </w:txbxContent>
            </v:textbox>
            <w10:anchorlock/>
          </v:rect>
        </w:pict>
      </w:r>
      <w:r w:rsidR="00771690">
        <w:rPr>
          <w:rStyle w:val="big-number"/>
          <w:rFonts w:cs="Miriam" w:hint="cs"/>
          <w:rtl/>
        </w:rPr>
        <w:t>9</w:t>
      </w:r>
      <w:r w:rsidRPr="00547F55">
        <w:rPr>
          <w:rStyle w:val="default"/>
          <w:rFonts w:cs="FrankRuehl"/>
          <w:rtl/>
        </w:rPr>
        <w:t>.</w:t>
      </w:r>
      <w:r w:rsidRPr="00547F55">
        <w:rPr>
          <w:rStyle w:val="default"/>
          <w:rFonts w:cs="FrankRuehl"/>
          <w:rtl/>
        </w:rPr>
        <w:tab/>
      </w:r>
      <w:r w:rsidR="00DC2687">
        <w:rPr>
          <w:rStyle w:val="default"/>
          <w:rFonts w:cs="FrankRuehl" w:hint="cs"/>
          <w:rtl/>
        </w:rPr>
        <w:t>הוזמנו הצדדים לדיון ואחד מהם לא התייצב לדיון, רשאית ועדת הערר לדון בערר גם בהעדרו ובלבד שהוכח להנחת דעתה שהומצאה לו הזמנה כאמור בתקנה 8, כדין.</w:t>
      </w:r>
    </w:p>
    <w:p w:rsidR="003B0720" w:rsidRDefault="003B0720" w:rsidP="00DC2687">
      <w:pPr>
        <w:pStyle w:val="P00"/>
        <w:spacing w:before="72"/>
        <w:ind w:left="0" w:right="1134"/>
        <w:rPr>
          <w:rStyle w:val="default"/>
          <w:rFonts w:cs="FrankRuehl" w:hint="cs"/>
          <w:rtl/>
        </w:rPr>
      </w:pPr>
      <w:bookmarkStart w:id="9" w:name="Seif10"/>
      <w:bookmarkEnd w:id="9"/>
      <w:r>
        <w:rPr>
          <w:lang w:val="he-IL"/>
        </w:rPr>
        <w:pict>
          <v:rect id="_x0000_s1165" style="position:absolute;left:0;text-align:left;margin-left:464.5pt;margin-top:8.05pt;width:75.05pt;height:16.5pt;z-index:251656192" o:allowincell="f" filled="f" stroked="f" strokecolor="lime" strokeweight=".25pt">
            <v:textbox style="mso-next-textbox:#_x0000_s1165" inset="0,0,0,0">
              <w:txbxContent>
                <w:p w:rsidR="004E0A88" w:rsidRDefault="00DC2687" w:rsidP="003B0720">
                  <w:pPr>
                    <w:spacing w:line="160" w:lineRule="exact"/>
                    <w:jc w:val="left"/>
                    <w:rPr>
                      <w:rFonts w:cs="Miriam" w:hint="cs"/>
                      <w:noProof/>
                      <w:szCs w:val="18"/>
                      <w:rtl/>
                    </w:rPr>
                  </w:pPr>
                  <w:r>
                    <w:rPr>
                      <w:rFonts w:cs="Miriam" w:hint="cs"/>
                      <w:szCs w:val="18"/>
                      <w:rtl/>
                    </w:rPr>
                    <w:t>איחוד עררים ותשובות</w:t>
                  </w:r>
                </w:p>
              </w:txbxContent>
            </v:textbox>
            <w10:anchorlock/>
          </v:rect>
        </w:pict>
      </w:r>
      <w:r>
        <w:rPr>
          <w:rStyle w:val="big-number"/>
          <w:rFonts w:cs="Miriam" w:hint="cs"/>
          <w:rtl/>
        </w:rPr>
        <w:t>10</w:t>
      </w:r>
      <w:r w:rsidRPr="00547F55">
        <w:rPr>
          <w:rStyle w:val="default"/>
          <w:rFonts w:cs="FrankRuehl"/>
          <w:rtl/>
        </w:rPr>
        <w:t>.</w:t>
      </w:r>
      <w:r w:rsidRPr="00547F55">
        <w:rPr>
          <w:rStyle w:val="default"/>
          <w:rFonts w:cs="FrankRuehl"/>
          <w:rtl/>
        </w:rPr>
        <w:tab/>
      </w:r>
      <w:r w:rsidR="00DC2687">
        <w:rPr>
          <w:rStyle w:val="default"/>
          <w:rFonts w:cs="FrankRuehl" w:hint="cs"/>
          <w:rtl/>
        </w:rPr>
        <w:t>ועדת הערר הדנה בערר רשאית לאחד עררים אם מצאה כי עניינם דומה מבחינה משפטית או עובדתית, לאחר שהודיעה לצדדים על איחוד העררים וקיבלה את הערותיהם בכתב או בעל פה</w:t>
      </w:r>
      <w:r w:rsidR="00771690">
        <w:rPr>
          <w:rStyle w:val="default"/>
          <w:rFonts w:cs="FrankRuehl" w:hint="cs"/>
          <w:rtl/>
        </w:rPr>
        <w:t>.</w:t>
      </w:r>
    </w:p>
    <w:p w:rsidR="003B0720" w:rsidRDefault="003B0720" w:rsidP="00DC2687">
      <w:pPr>
        <w:pStyle w:val="P00"/>
        <w:spacing w:before="72"/>
        <w:ind w:left="0" w:right="1134"/>
        <w:rPr>
          <w:rStyle w:val="default"/>
          <w:rFonts w:cs="FrankRuehl" w:hint="cs"/>
          <w:rtl/>
        </w:rPr>
      </w:pPr>
      <w:bookmarkStart w:id="10" w:name="Seif11"/>
      <w:bookmarkEnd w:id="10"/>
      <w:r>
        <w:rPr>
          <w:lang w:val="he-IL"/>
        </w:rPr>
        <w:pict>
          <v:rect id="_x0000_s1166" style="position:absolute;left:0;text-align:left;margin-left:464.5pt;margin-top:8.05pt;width:75.05pt;height:11.6pt;z-index:251657216" o:allowincell="f" filled="f" stroked="f" strokecolor="lime" strokeweight=".25pt">
            <v:textbox style="mso-next-textbox:#_x0000_s1166" inset="0,0,0,0">
              <w:txbxContent>
                <w:p w:rsidR="004E0A88" w:rsidRDefault="00DC2687" w:rsidP="003B0720">
                  <w:pPr>
                    <w:spacing w:line="160" w:lineRule="exact"/>
                    <w:jc w:val="left"/>
                    <w:rPr>
                      <w:rFonts w:cs="Miriam" w:hint="cs"/>
                      <w:noProof/>
                      <w:szCs w:val="18"/>
                      <w:rtl/>
                    </w:rPr>
                  </w:pPr>
                  <w:r>
                    <w:rPr>
                      <w:rFonts w:cs="Miriam" w:hint="cs"/>
                      <w:szCs w:val="18"/>
                      <w:rtl/>
                    </w:rPr>
                    <w:t>סדר הדין בערר</w:t>
                  </w:r>
                </w:p>
              </w:txbxContent>
            </v:textbox>
            <w10:anchorlock/>
          </v:rect>
        </w:pict>
      </w:r>
      <w:r>
        <w:rPr>
          <w:rStyle w:val="big-number"/>
          <w:rFonts w:cs="Miriam" w:hint="cs"/>
          <w:rtl/>
        </w:rPr>
        <w:t>1</w:t>
      </w:r>
      <w:r w:rsidR="001913F6">
        <w:rPr>
          <w:rStyle w:val="big-number"/>
          <w:rFonts w:cs="Miriam" w:hint="cs"/>
          <w:rtl/>
        </w:rPr>
        <w:t>1</w:t>
      </w:r>
      <w:r w:rsidRPr="00547F55">
        <w:rPr>
          <w:rStyle w:val="default"/>
          <w:rFonts w:cs="FrankRuehl"/>
          <w:rtl/>
        </w:rPr>
        <w:t>.</w:t>
      </w:r>
      <w:r w:rsidRPr="00547F55">
        <w:rPr>
          <w:rStyle w:val="default"/>
          <w:rFonts w:cs="FrankRuehl"/>
          <w:rtl/>
        </w:rPr>
        <w:tab/>
      </w:r>
      <w:r w:rsidR="001913F6">
        <w:rPr>
          <w:rStyle w:val="default"/>
          <w:rFonts w:cs="FrankRuehl" w:hint="cs"/>
          <w:rtl/>
        </w:rPr>
        <w:t>(א)</w:t>
      </w:r>
      <w:r w:rsidR="001913F6">
        <w:rPr>
          <w:rStyle w:val="default"/>
          <w:rFonts w:cs="FrankRuehl" w:hint="cs"/>
          <w:rtl/>
        </w:rPr>
        <w:tab/>
      </w:r>
      <w:r w:rsidR="00DC2687">
        <w:rPr>
          <w:rStyle w:val="default"/>
          <w:rFonts w:cs="FrankRuehl" w:hint="cs"/>
          <w:rtl/>
        </w:rPr>
        <w:t>יושב ראש הוועדה או מזכיר הוועדה יורה על פתיחת הדיון בציון ההחלטה שעליה מוגש הערר ויקצוב את פרק הזמן לכל טוען.</w:t>
      </w:r>
    </w:p>
    <w:p w:rsidR="00DC2687" w:rsidRDefault="00DC2687" w:rsidP="00DC26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העורר, שמאי מטעמו, או בא כוחו, יציג את הערר, נימוקיו ואת המסמכים שצירף לערר.</w:t>
      </w:r>
    </w:p>
    <w:p w:rsidR="00DC2687" w:rsidRDefault="00DC2687" w:rsidP="00DC26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המשיבה, שמאי מטעמה או בא כוחה, תציג את תשובתה, נימוקיה ואת המסמכים שצירפה לתשובה, לפי הסדר שיקבע יושב ראש ועדת הערר.</w:t>
      </w:r>
    </w:p>
    <w:p w:rsidR="00DC2687" w:rsidRDefault="00DC2687" w:rsidP="00DC26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בתום שמיעת טענות המשיבה רשאי העורר להגיב לטענות.</w:t>
      </w:r>
    </w:p>
    <w:p w:rsidR="00DC2687" w:rsidRDefault="00DC2687" w:rsidP="00DC268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יישמע עורר במהלך הדיון אלא לעניין טענות שהעלה בערר ולא תישמע משיבה אלא לעניין טענות שהעלתה בתשובתה או שהועלו בערר, ואולם הוועדה רשאית, בכל שלב, לאשר בקשה לתיקון כתב ערר או כתב תשובה או להוספת טענות בעל פה, ובלבד שניתנה לצד שכנגד הזדמנות לטעון נגד הבקשה האמורה.</w:t>
      </w:r>
    </w:p>
    <w:p w:rsidR="003B0720" w:rsidRDefault="003B0720" w:rsidP="00DC2687">
      <w:pPr>
        <w:pStyle w:val="P00"/>
        <w:spacing w:before="72"/>
        <w:ind w:left="0" w:right="1134"/>
        <w:rPr>
          <w:rStyle w:val="default"/>
          <w:rFonts w:cs="FrankRuehl" w:hint="cs"/>
          <w:rtl/>
        </w:rPr>
      </w:pPr>
      <w:bookmarkStart w:id="11" w:name="Seif12"/>
      <w:bookmarkEnd w:id="11"/>
      <w:r>
        <w:rPr>
          <w:lang w:val="he-IL"/>
        </w:rPr>
        <w:pict>
          <v:rect id="_x0000_s1167" style="position:absolute;left:0;text-align:left;margin-left:464.5pt;margin-top:8.05pt;width:75.05pt;height:9.7pt;z-index:251658240" o:allowincell="f" filled="f" stroked="f" strokecolor="lime" strokeweight=".25pt">
            <v:textbox style="mso-next-textbox:#_x0000_s1167" inset="0,0,0,0">
              <w:txbxContent>
                <w:p w:rsidR="004E0A88" w:rsidRDefault="00DC2687" w:rsidP="003B0720">
                  <w:pPr>
                    <w:spacing w:line="160" w:lineRule="exact"/>
                    <w:jc w:val="left"/>
                    <w:rPr>
                      <w:rFonts w:cs="Miriam" w:hint="cs"/>
                      <w:noProof/>
                      <w:szCs w:val="18"/>
                      <w:rtl/>
                    </w:rPr>
                  </w:pPr>
                  <w:r>
                    <w:rPr>
                      <w:rFonts w:cs="Miriam" w:hint="cs"/>
                      <w:szCs w:val="18"/>
                      <w:rtl/>
                    </w:rPr>
                    <w:t>הפסקת טיעון</w:t>
                  </w:r>
                </w:p>
              </w:txbxContent>
            </v:textbox>
            <w10:anchorlock/>
          </v:rect>
        </w:pict>
      </w:r>
      <w:r>
        <w:rPr>
          <w:rStyle w:val="big-number"/>
          <w:rFonts w:cs="Miriam" w:hint="cs"/>
          <w:rtl/>
        </w:rPr>
        <w:t>1</w:t>
      </w:r>
      <w:r w:rsidR="006B5BC2">
        <w:rPr>
          <w:rStyle w:val="big-number"/>
          <w:rFonts w:cs="Miriam" w:hint="cs"/>
          <w:rtl/>
        </w:rPr>
        <w:t>2</w:t>
      </w:r>
      <w:r w:rsidRPr="00547F55">
        <w:rPr>
          <w:rStyle w:val="default"/>
          <w:rFonts w:cs="FrankRuehl"/>
          <w:rtl/>
        </w:rPr>
        <w:t>.</w:t>
      </w:r>
      <w:r w:rsidRPr="00547F55">
        <w:rPr>
          <w:rStyle w:val="default"/>
          <w:rFonts w:cs="FrankRuehl"/>
          <w:rtl/>
        </w:rPr>
        <w:tab/>
      </w:r>
      <w:r w:rsidR="00DC2687">
        <w:rPr>
          <w:rStyle w:val="default"/>
          <w:rFonts w:cs="FrankRuehl" w:hint="cs"/>
          <w:rtl/>
        </w:rPr>
        <w:t>יושב ראש הוועדה רשאי, לאחר התייעצות עם חברי הוועדה, להורות לצד בערר להפסיק לטעון את טענותיו או למנוע ממנו להגיש מסמכים, אם ראה שאינם נוגעים לעניין או שיש בהם כדי לפגוע בצד שלישי שאינו מיוצג בדיון בערר</w:t>
      </w:r>
      <w:r w:rsidR="00FC56D4">
        <w:rPr>
          <w:rStyle w:val="default"/>
          <w:rFonts w:cs="FrankRuehl" w:hint="cs"/>
          <w:rtl/>
        </w:rPr>
        <w:t>.</w:t>
      </w:r>
    </w:p>
    <w:p w:rsidR="003B0720" w:rsidRDefault="003B0720" w:rsidP="00DC2687">
      <w:pPr>
        <w:pStyle w:val="P00"/>
        <w:spacing w:before="72"/>
        <w:ind w:left="0" w:right="1134"/>
        <w:rPr>
          <w:rStyle w:val="default"/>
          <w:rFonts w:cs="FrankRuehl" w:hint="cs"/>
          <w:rtl/>
        </w:rPr>
      </w:pPr>
      <w:bookmarkStart w:id="12" w:name="Seif13"/>
      <w:bookmarkEnd w:id="12"/>
      <w:r>
        <w:rPr>
          <w:lang w:val="he-IL"/>
        </w:rPr>
        <w:pict>
          <v:rect id="_x0000_s1168" style="position:absolute;left:0;text-align:left;margin-left:464.5pt;margin-top:8.05pt;width:75.05pt;height:14.15pt;z-index:251659264" o:allowincell="f" filled="f" stroked="f" strokecolor="lime" strokeweight=".25pt">
            <v:textbox style="mso-next-textbox:#_x0000_s1168" inset="0,0,0,0">
              <w:txbxContent>
                <w:p w:rsidR="004E0A88" w:rsidRDefault="00DC2687" w:rsidP="003B0720">
                  <w:pPr>
                    <w:spacing w:line="160" w:lineRule="exact"/>
                    <w:jc w:val="left"/>
                    <w:rPr>
                      <w:rFonts w:cs="Miriam" w:hint="cs"/>
                      <w:noProof/>
                      <w:szCs w:val="18"/>
                      <w:rtl/>
                    </w:rPr>
                  </w:pPr>
                  <w:r>
                    <w:rPr>
                      <w:rFonts w:cs="Miriam" w:hint="cs"/>
                      <w:szCs w:val="18"/>
                      <w:rtl/>
                    </w:rPr>
                    <w:t>צירוף צד</w:t>
                  </w:r>
                </w:p>
              </w:txbxContent>
            </v:textbox>
            <w10:anchorlock/>
          </v:rect>
        </w:pict>
      </w:r>
      <w:r>
        <w:rPr>
          <w:rStyle w:val="big-number"/>
          <w:rFonts w:cs="Miriam" w:hint="cs"/>
          <w:rtl/>
        </w:rPr>
        <w:t>1</w:t>
      </w:r>
      <w:r w:rsidR="004E0A88">
        <w:rPr>
          <w:rStyle w:val="big-number"/>
          <w:rFonts w:cs="Miriam" w:hint="cs"/>
          <w:rtl/>
        </w:rPr>
        <w:t>3</w:t>
      </w:r>
      <w:r w:rsidRPr="00547F55">
        <w:rPr>
          <w:rStyle w:val="default"/>
          <w:rFonts w:cs="FrankRuehl"/>
          <w:rtl/>
        </w:rPr>
        <w:t>.</w:t>
      </w:r>
      <w:r w:rsidRPr="00547F55">
        <w:rPr>
          <w:rStyle w:val="default"/>
          <w:rFonts w:cs="FrankRuehl"/>
          <w:rtl/>
        </w:rPr>
        <w:tab/>
      </w:r>
      <w:r w:rsidR="00DC2687">
        <w:rPr>
          <w:rStyle w:val="default"/>
          <w:rFonts w:cs="FrankRuehl" w:hint="cs"/>
          <w:rtl/>
        </w:rPr>
        <w:t>ראתה הוועדה כי יש מקום לצרף משיב נוסף לערר, רשאית היא, בכל שלב, להפסיק את הדיון בערר עד לצירופו, ולתת לו הזדמנות נאותה להגיש תשובה בכתב ולהופיע לפני הוועדה.</w:t>
      </w:r>
    </w:p>
    <w:p w:rsidR="003B0720" w:rsidRDefault="003B0720" w:rsidP="00DC2687">
      <w:pPr>
        <w:pStyle w:val="P00"/>
        <w:spacing w:before="72"/>
        <w:ind w:left="0" w:right="1134"/>
        <w:rPr>
          <w:rStyle w:val="default"/>
          <w:rFonts w:cs="FrankRuehl" w:hint="cs"/>
          <w:rtl/>
        </w:rPr>
      </w:pPr>
      <w:bookmarkStart w:id="13" w:name="Seif14"/>
      <w:bookmarkEnd w:id="13"/>
      <w:r>
        <w:rPr>
          <w:lang w:val="he-IL"/>
        </w:rPr>
        <w:pict>
          <v:rect id="_x0000_s1169" style="position:absolute;left:0;text-align:left;margin-left:464.5pt;margin-top:8.05pt;width:75.05pt;height:21pt;z-index:251660288" o:allowincell="f" filled="f" stroked="f" strokecolor="lime" strokeweight=".25pt">
            <v:textbox style="mso-next-textbox:#_x0000_s1169" inset="0,0,0,0">
              <w:txbxContent>
                <w:p w:rsidR="004E0A88" w:rsidRDefault="00DC2687" w:rsidP="003B0720">
                  <w:pPr>
                    <w:spacing w:line="160" w:lineRule="exact"/>
                    <w:jc w:val="left"/>
                    <w:rPr>
                      <w:rFonts w:cs="Miriam" w:hint="cs"/>
                      <w:noProof/>
                      <w:szCs w:val="18"/>
                      <w:rtl/>
                    </w:rPr>
                  </w:pPr>
                  <w:r>
                    <w:rPr>
                      <w:rFonts w:cs="Miriam" w:hint="cs"/>
                      <w:szCs w:val="18"/>
                      <w:rtl/>
                    </w:rPr>
                    <w:t>המצאת מסמכים וידיעות נוספות</w:t>
                  </w:r>
                </w:p>
              </w:txbxContent>
            </v:textbox>
            <w10:anchorlock/>
          </v:rect>
        </w:pict>
      </w:r>
      <w:r>
        <w:rPr>
          <w:rStyle w:val="big-number"/>
          <w:rFonts w:cs="Miriam" w:hint="cs"/>
          <w:rtl/>
        </w:rPr>
        <w:t>1</w:t>
      </w:r>
      <w:r w:rsidR="004E0A88">
        <w:rPr>
          <w:rStyle w:val="big-number"/>
          <w:rFonts w:cs="Miriam" w:hint="cs"/>
          <w:rtl/>
        </w:rPr>
        <w:t>4</w:t>
      </w:r>
      <w:r w:rsidRPr="00547F55">
        <w:rPr>
          <w:rStyle w:val="default"/>
          <w:rFonts w:cs="FrankRuehl"/>
          <w:rtl/>
        </w:rPr>
        <w:t>.</w:t>
      </w:r>
      <w:r w:rsidRPr="00547F55">
        <w:rPr>
          <w:rStyle w:val="default"/>
          <w:rFonts w:cs="FrankRuehl"/>
          <w:rtl/>
        </w:rPr>
        <w:tab/>
      </w:r>
      <w:r w:rsidR="00DC2687">
        <w:rPr>
          <w:rStyle w:val="default"/>
          <w:rFonts w:cs="FrankRuehl" w:hint="cs"/>
          <w:rtl/>
        </w:rPr>
        <w:t>ועדת הערר רשאית לדרוש מעורר או ממשיב להמציא לה, בתוך מועד שתקבע, מסמכים או ידיעות הדרושים לדעתה, לבירור הערר, ולקבל חוות דעת מומחה, ככל שתראה לנכון; ידיעות כאמור יוגשו לוועדת הערר בתצהיר</w:t>
      </w:r>
      <w:r w:rsidR="0004173F">
        <w:rPr>
          <w:rStyle w:val="default"/>
          <w:rFonts w:cs="FrankRuehl" w:hint="cs"/>
          <w:rtl/>
        </w:rPr>
        <w:t>.</w:t>
      </w:r>
    </w:p>
    <w:p w:rsidR="003B0720" w:rsidRDefault="003B0720" w:rsidP="00DC2687">
      <w:pPr>
        <w:pStyle w:val="P00"/>
        <w:spacing w:before="72"/>
        <w:ind w:left="0" w:right="1134"/>
        <w:rPr>
          <w:rStyle w:val="default"/>
          <w:rFonts w:cs="FrankRuehl" w:hint="cs"/>
          <w:rtl/>
        </w:rPr>
      </w:pPr>
      <w:bookmarkStart w:id="14" w:name="Seif15"/>
      <w:bookmarkEnd w:id="14"/>
      <w:r>
        <w:rPr>
          <w:lang w:val="he-IL"/>
        </w:rPr>
        <w:pict>
          <v:rect id="_x0000_s1170" style="position:absolute;left:0;text-align:left;margin-left:464.5pt;margin-top:8.05pt;width:75.05pt;height:18.1pt;z-index:251661312" o:allowincell="f" filled="f" stroked="f" strokecolor="lime" strokeweight=".25pt">
            <v:textbox style="mso-next-textbox:#_x0000_s1170" inset="0,0,0,0">
              <w:txbxContent>
                <w:p w:rsidR="004E0A88" w:rsidRDefault="00DC2687" w:rsidP="003B0720">
                  <w:pPr>
                    <w:spacing w:line="160" w:lineRule="exact"/>
                    <w:jc w:val="left"/>
                    <w:rPr>
                      <w:rFonts w:cs="Miriam" w:hint="cs"/>
                      <w:noProof/>
                      <w:szCs w:val="18"/>
                      <w:rtl/>
                    </w:rPr>
                  </w:pPr>
                  <w:r>
                    <w:rPr>
                      <w:rFonts w:cs="Miriam" w:hint="cs"/>
                      <w:szCs w:val="18"/>
                      <w:rtl/>
                    </w:rPr>
                    <w:t>שאלות לשמאי מכריע והתייצבותו לדיון</w:t>
                  </w:r>
                </w:p>
              </w:txbxContent>
            </v:textbox>
            <w10:anchorlock/>
          </v:rect>
        </w:pict>
      </w:r>
      <w:r>
        <w:rPr>
          <w:rStyle w:val="big-number"/>
          <w:rFonts w:cs="Miriam" w:hint="cs"/>
          <w:rtl/>
        </w:rPr>
        <w:t>1</w:t>
      </w:r>
      <w:r w:rsidR="0004173F">
        <w:rPr>
          <w:rStyle w:val="big-number"/>
          <w:rFonts w:cs="Miriam" w:hint="cs"/>
          <w:rtl/>
        </w:rPr>
        <w:t>5</w:t>
      </w:r>
      <w:r w:rsidRPr="00547F55">
        <w:rPr>
          <w:rStyle w:val="default"/>
          <w:rFonts w:cs="FrankRuehl"/>
          <w:rtl/>
        </w:rPr>
        <w:t>.</w:t>
      </w:r>
      <w:r w:rsidRPr="00547F55">
        <w:rPr>
          <w:rStyle w:val="default"/>
          <w:rFonts w:cs="FrankRuehl"/>
          <w:rtl/>
        </w:rPr>
        <w:tab/>
      </w:r>
      <w:r w:rsidR="00701EEF">
        <w:rPr>
          <w:rStyle w:val="default"/>
          <w:rFonts w:cs="FrankRuehl" w:hint="cs"/>
          <w:rtl/>
        </w:rPr>
        <w:t>(א)</w:t>
      </w:r>
      <w:r w:rsidR="00701EEF">
        <w:rPr>
          <w:rStyle w:val="default"/>
          <w:rFonts w:cs="FrankRuehl" w:hint="cs"/>
          <w:rtl/>
        </w:rPr>
        <w:tab/>
      </w:r>
      <w:r w:rsidR="00DC2687">
        <w:rPr>
          <w:rStyle w:val="default"/>
          <w:rFonts w:cs="FrankRuehl" w:hint="cs"/>
          <w:rtl/>
        </w:rPr>
        <w:t>בערר על החלטה של שמאי מכריע לפי סעיף 14(ב)(4) לתוספת השלישית לחוק, רשאית הוועדה להגיש לשמאי המכריע שאלות בכתב והשמאי המכריע ישיב עליהן בכתב בתוך 14 ימים מיום שקיבל אותן</w:t>
      </w:r>
      <w:r w:rsidR="00701EEF">
        <w:rPr>
          <w:rStyle w:val="default"/>
          <w:rFonts w:cs="FrankRuehl" w:hint="cs"/>
          <w:rtl/>
        </w:rPr>
        <w:t>.</w:t>
      </w:r>
    </w:p>
    <w:p w:rsidR="00DC2687" w:rsidRDefault="00DC2687" w:rsidP="00DC26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סברה הוועדה כי לצורך בירור הערר יש צורך בהצגת השומה המכרעת לפניה בידי השמאי המכריע, תזמן את השמאי המכריע לדיון בערר כדי שיציג את השומה המכרעת שערך.</w:t>
      </w:r>
    </w:p>
    <w:p w:rsidR="003B0720" w:rsidRDefault="003B0720" w:rsidP="00DC2687">
      <w:pPr>
        <w:pStyle w:val="P00"/>
        <w:spacing w:before="72"/>
        <w:ind w:left="0" w:right="1134"/>
        <w:rPr>
          <w:rStyle w:val="default"/>
          <w:rFonts w:cs="FrankRuehl" w:hint="cs"/>
          <w:rtl/>
        </w:rPr>
      </w:pPr>
      <w:bookmarkStart w:id="15" w:name="Seif16"/>
      <w:bookmarkEnd w:id="15"/>
      <w:r>
        <w:rPr>
          <w:lang w:val="he-IL"/>
        </w:rPr>
        <w:pict>
          <v:rect id="_x0000_s1171" style="position:absolute;left:0;text-align:left;margin-left:464.5pt;margin-top:8.05pt;width:75.05pt;height:14.15pt;z-index:251662336" o:allowincell="f" filled="f" stroked="f" strokecolor="lime" strokeweight=".25pt">
            <v:textbox style="mso-next-textbox:#_x0000_s1171" inset="0,0,0,0">
              <w:txbxContent>
                <w:p w:rsidR="004E0A88" w:rsidRDefault="00DC2687" w:rsidP="003B0720">
                  <w:pPr>
                    <w:spacing w:line="160" w:lineRule="exact"/>
                    <w:jc w:val="left"/>
                    <w:rPr>
                      <w:rFonts w:cs="Miriam" w:hint="cs"/>
                      <w:noProof/>
                      <w:szCs w:val="18"/>
                      <w:rtl/>
                    </w:rPr>
                  </w:pPr>
                  <w:r>
                    <w:rPr>
                      <w:rFonts w:cs="Miriam" w:hint="cs"/>
                      <w:szCs w:val="18"/>
                      <w:rtl/>
                    </w:rPr>
                    <w:t>מינוי שמאי מייעץ</w:t>
                  </w:r>
                </w:p>
              </w:txbxContent>
            </v:textbox>
            <w10:anchorlock/>
          </v:rect>
        </w:pict>
      </w:r>
      <w:r>
        <w:rPr>
          <w:rStyle w:val="big-number"/>
          <w:rFonts w:cs="Miriam" w:hint="cs"/>
          <w:rtl/>
        </w:rPr>
        <w:t>1</w:t>
      </w:r>
      <w:r w:rsidR="00CB3643">
        <w:rPr>
          <w:rStyle w:val="big-number"/>
          <w:rFonts w:cs="Miriam" w:hint="cs"/>
          <w:rtl/>
        </w:rPr>
        <w:t>6</w:t>
      </w:r>
      <w:r w:rsidRPr="00547F55">
        <w:rPr>
          <w:rStyle w:val="default"/>
          <w:rFonts w:cs="FrankRuehl"/>
          <w:rtl/>
        </w:rPr>
        <w:t>.</w:t>
      </w:r>
      <w:r w:rsidRPr="00547F55">
        <w:rPr>
          <w:rStyle w:val="default"/>
          <w:rFonts w:cs="FrankRuehl"/>
          <w:rtl/>
        </w:rPr>
        <w:tab/>
      </w:r>
      <w:r w:rsidR="00DC2687">
        <w:rPr>
          <w:rStyle w:val="default"/>
          <w:rFonts w:cs="FrankRuehl" w:hint="cs"/>
          <w:rtl/>
        </w:rPr>
        <w:t>(א)</w:t>
      </w:r>
      <w:r w:rsidR="00DC2687">
        <w:rPr>
          <w:rStyle w:val="default"/>
          <w:rFonts w:cs="FrankRuehl" w:hint="cs"/>
          <w:rtl/>
        </w:rPr>
        <w:tab/>
        <w:t>סברה ועדת הערר כי יש מקום לכאורה למנות שמאי מייעץ כאמור בסעיף 14(ג)(2) לתוספת השלישית לחוק לשם בירור הסוגיות הטעונות הכרעה בערר, רשאית היא לפנות ליושב ראש מועצת שמאי המקרקעין בבקשה שימנה שמאי מייעץ כאמור, אף בלי שקיימה דיון בעניין זה בנוכחות הצדדים בערר, ובלבד שקודם לפנייתה תודיע על כך לצדדים ותאפשר להם להגיש את טענותיהם בכתב בעניין זה</w:t>
      </w:r>
      <w:r w:rsidR="00CB3643">
        <w:rPr>
          <w:rStyle w:val="default"/>
          <w:rFonts w:cs="FrankRuehl" w:hint="cs"/>
          <w:rtl/>
        </w:rPr>
        <w:t>.</w:t>
      </w:r>
    </w:p>
    <w:p w:rsidR="00DC2687" w:rsidRDefault="00DC2687" w:rsidP="00DC26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F313B">
        <w:rPr>
          <w:rStyle w:val="default"/>
          <w:rFonts w:cs="FrankRuehl" w:hint="cs"/>
          <w:rtl/>
        </w:rPr>
        <w:t>פניית יושב ראש הוועדה ליושב ראש מועצת שמאי המקרקעין בבקשה שימנה שמאי מייעץ תוגש לפי הטופס שבתוספת השנייה לתקנות התכנון והבנייה (סדרי דין בבקשה להכרעה לפני שמאי מכריע או שמאי מייעץ), התשס"ט-2008, בשינויים המחויבים.</w:t>
      </w:r>
    </w:p>
    <w:p w:rsidR="003B0720" w:rsidRDefault="003B0720" w:rsidP="00FF313B">
      <w:pPr>
        <w:pStyle w:val="P00"/>
        <w:spacing w:before="72"/>
        <w:ind w:left="0" w:right="1134"/>
        <w:rPr>
          <w:rStyle w:val="default"/>
          <w:rFonts w:cs="FrankRuehl" w:hint="cs"/>
          <w:rtl/>
        </w:rPr>
      </w:pPr>
      <w:bookmarkStart w:id="16" w:name="Seif17"/>
      <w:bookmarkEnd w:id="16"/>
      <w:r>
        <w:rPr>
          <w:lang w:val="he-IL"/>
        </w:rPr>
        <w:pict>
          <v:rect id="_x0000_s1172" style="position:absolute;left:0;text-align:left;margin-left:464.5pt;margin-top:8.05pt;width:75.05pt;height:17.45pt;z-index:251663360" o:allowincell="f" filled="f" stroked="f" strokecolor="lime" strokeweight=".25pt">
            <v:textbox style="mso-next-textbox:#_x0000_s1172" inset="0,0,0,0">
              <w:txbxContent>
                <w:p w:rsidR="004E0A88" w:rsidRDefault="00FF313B" w:rsidP="003B0720">
                  <w:pPr>
                    <w:spacing w:line="160" w:lineRule="exact"/>
                    <w:jc w:val="left"/>
                    <w:rPr>
                      <w:rFonts w:cs="Miriam" w:hint="cs"/>
                      <w:noProof/>
                      <w:szCs w:val="18"/>
                      <w:rtl/>
                    </w:rPr>
                  </w:pPr>
                  <w:r>
                    <w:rPr>
                      <w:rFonts w:cs="Miriam" w:hint="cs"/>
                      <w:szCs w:val="18"/>
                      <w:rtl/>
                    </w:rPr>
                    <w:t>שאלות לשמאי מייעץ והתייצבותו לדיון</w:t>
                  </w:r>
                </w:p>
              </w:txbxContent>
            </v:textbox>
            <w10:anchorlock/>
          </v:rect>
        </w:pict>
      </w:r>
      <w:r>
        <w:rPr>
          <w:rStyle w:val="big-number"/>
          <w:rFonts w:cs="Miriam" w:hint="cs"/>
          <w:rtl/>
        </w:rPr>
        <w:t>1</w:t>
      </w:r>
      <w:r w:rsidR="00CB3643">
        <w:rPr>
          <w:rStyle w:val="big-number"/>
          <w:rFonts w:cs="Miriam" w:hint="cs"/>
          <w:rtl/>
        </w:rPr>
        <w:t>7</w:t>
      </w:r>
      <w:r w:rsidRPr="00547F55">
        <w:rPr>
          <w:rStyle w:val="default"/>
          <w:rFonts w:cs="FrankRuehl"/>
          <w:rtl/>
        </w:rPr>
        <w:t>.</w:t>
      </w:r>
      <w:r w:rsidRPr="00547F55">
        <w:rPr>
          <w:rStyle w:val="default"/>
          <w:rFonts w:cs="FrankRuehl"/>
          <w:rtl/>
        </w:rPr>
        <w:tab/>
      </w:r>
      <w:r w:rsidR="00FF313B">
        <w:rPr>
          <w:rStyle w:val="default"/>
          <w:rFonts w:cs="FrankRuehl" w:hint="cs"/>
          <w:rtl/>
        </w:rPr>
        <w:t>(א)</w:t>
      </w:r>
      <w:r w:rsidR="00FF313B">
        <w:rPr>
          <w:rStyle w:val="default"/>
          <w:rFonts w:cs="FrankRuehl" w:hint="cs"/>
          <w:rtl/>
        </w:rPr>
        <w:tab/>
        <w:t>הגיש שמאי מייעץ את חוות דעתו לוועדה, רשאית הוועדה להגיש לשמאי המייעץ, ולאפשר לצדדים להגיש לו באמצעותה, שאלות בכתב, והשמאי המייעץ ישיב עליהן בכתב בתוך 14 ימים מיום שקיבל אותן; סברה הוועדה שאין להציג שאלה מסוימת לשמאי המייעץ, לא תועבר השאלה לעיונו.</w:t>
      </w:r>
    </w:p>
    <w:p w:rsidR="00FF313B" w:rsidRDefault="00FF313B" w:rsidP="00FF31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סברה הוועדה כי לצורך בירור הערר יש צורך בהצגת חוות הדעת לפניה בידי השמאי המייעץ, תזמן את השמאי המייעץ לדיון בערר כדי שיציג את חוות הדעת שערך; לא יציגו הצדדים שאלות לשמאי המייעץ, אלא בהתאם לתקנת משנה (א).</w:t>
      </w:r>
    </w:p>
    <w:p w:rsidR="003B0720" w:rsidRDefault="003B0720" w:rsidP="00FF313B">
      <w:pPr>
        <w:pStyle w:val="P00"/>
        <w:spacing w:before="72"/>
        <w:ind w:left="0" w:right="1134"/>
        <w:rPr>
          <w:rStyle w:val="default"/>
          <w:rFonts w:cs="FrankRuehl" w:hint="cs"/>
          <w:rtl/>
        </w:rPr>
      </w:pPr>
      <w:bookmarkStart w:id="17" w:name="Seif18"/>
      <w:bookmarkEnd w:id="17"/>
      <w:r>
        <w:rPr>
          <w:lang w:val="he-IL"/>
        </w:rPr>
        <w:pict>
          <v:rect id="_x0000_s1173" style="position:absolute;left:0;text-align:left;margin-left:464.5pt;margin-top:8.05pt;width:75.05pt;height:22.5pt;z-index:251664384" o:allowincell="f" filled="f" stroked="f" strokecolor="lime" strokeweight=".25pt">
            <v:textbox style="mso-next-textbox:#_x0000_s1173" inset="0,0,0,0">
              <w:txbxContent>
                <w:p w:rsidR="004E0A88" w:rsidRDefault="00FF313B" w:rsidP="003B0720">
                  <w:pPr>
                    <w:spacing w:line="160" w:lineRule="exact"/>
                    <w:jc w:val="left"/>
                    <w:rPr>
                      <w:rFonts w:cs="Miriam" w:hint="cs"/>
                      <w:noProof/>
                      <w:szCs w:val="18"/>
                      <w:rtl/>
                    </w:rPr>
                  </w:pPr>
                  <w:r>
                    <w:rPr>
                      <w:rFonts w:cs="Miriam" w:hint="cs"/>
                      <w:szCs w:val="18"/>
                      <w:rtl/>
                    </w:rPr>
                    <w:t>סמכות יושב ראש הוועדה</w:t>
                  </w:r>
                </w:p>
              </w:txbxContent>
            </v:textbox>
            <w10:anchorlock/>
          </v:rect>
        </w:pict>
      </w:r>
      <w:r>
        <w:rPr>
          <w:rStyle w:val="big-number"/>
          <w:rFonts w:cs="Miriam" w:hint="cs"/>
          <w:rtl/>
        </w:rPr>
        <w:t>1</w:t>
      </w:r>
      <w:r w:rsidR="00CB3643">
        <w:rPr>
          <w:rStyle w:val="big-number"/>
          <w:rFonts w:cs="Miriam" w:hint="cs"/>
          <w:rtl/>
        </w:rPr>
        <w:t>8</w:t>
      </w:r>
      <w:r w:rsidRPr="00547F55">
        <w:rPr>
          <w:rStyle w:val="default"/>
          <w:rFonts w:cs="FrankRuehl"/>
          <w:rtl/>
        </w:rPr>
        <w:t>.</w:t>
      </w:r>
      <w:r w:rsidRPr="00547F55">
        <w:rPr>
          <w:rStyle w:val="default"/>
          <w:rFonts w:cs="FrankRuehl"/>
          <w:rtl/>
        </w:rPr>
        <w:tab/>
      </w:r>
      <w:r w:rsidR="00FF313B">
        <w:rPr>
          <w:rStyle w:val="default"/>
          <w:rFonts w:cs="FrankRuehl" w:hint="cs"/>
          <w:rtl/>
        </w:rPr>
        <w:t>כל עניין הנוגע לסדרי הדין בערר שלגביו לא נקבעה הוראה מפורשת בחוק או בתקנות אלה, רשאי יושב ראש הוועדה לתת הוראות לגביו.</w:t>
      </w:r>
    </w:p>
    <w:p w:rsidR="003B0720" w:rsidRDefault="003B0720" w:rsidP="00FF313B">
      <w:pPr>
        <w:pStyle w:val="P00"/>
        <w:spacing w:before="72"/>
        <w:ind w:left="0" w:right="1134"/>
        <w:rPr>
          <w:rStyle w:val="default"/>
          <w:rFonts w:cs="FrankRuehl" w:hint="cs"/>
          <w:rtl/>
        </w:rPr>
      </w:pPr>
      <w:bookmarkStart w:id="18" w:name="Seif19"/>
      <w:bookmarkEnd w:id="18"/>
      <w:r>
        <w:rPr>
          <w:lang w:val="he-IL"/>
        </w:rPr>
        <w:pict>
          <v:rect id="_x0000_s1174" style="position:absolute;left:0;text-align:left;margin-left:464.5pt;margin-top:8.05pt;width:75.05pt;height:14.15pt;z-index:251665408" o:allowincell="f" filled="f" stroked="f" strokecolor="lime" strokeweight=".25pt">
            <v:textbox style="mso-next-textbox:#_x0000_s1174" inset="0,0,0,0">
              <w:txbxContent>
                <w:p w:rsidR="004E0A88" w:rsidRDefault="00FF313B" w:rsidP="003B0720">
                  <w:pPr>
                    <w:spacing w:line="160" w:lineRule="exact"/>
                    <w:jc w:val="left"/>
                    <w:rPr>
                      <w:rFonts w:cs="Miriam" w:hint="cs"/>
                      <w:noProof/>
                      <w:szCs w:val="18"/>
                      <w:rtl/>
                    </w:rPr>
                  </w:pPr>
                  <w:r>
                    <w:rPr>
                      <w:rFonts w:cs="Miriam" w:hint="cs"/>
                      <w:szCs w:val="18"/>
                      <w:rtl/>
                    </w:rPr>
                    <w:t>פרוטוקול</w:t>
                  </w:r>
                </w:p>
              </w:txbxContent>
            </v:textbox>
            <w10:anchorlock/>
          </v:rect>
        </w:pict>
      </w:r>
      <w:r>
        <w:rPr>
          <w:rStyle w:val="big-number"/>
          <w:rFonts w:cs="Miriam" w:hint="cs"/>
          <w:rtl/>
        </w:rPr>
        <w:t>1</w:t>
      </w:r>
      <w:r w:rsidR="00CB3643">
        <w:rPr>
          <w:rStyle w:val="big-number"/>
          <w:rFonts w:cs="Miriam" w:hint="cs"/>
          <w:rtl/>
        </w:rPr>
        <w:t>9</w:t>
      </w:r>
      <w:r w:rsidRPr="00547F55">
        <w:rPr>
          <w:rStyle w:val="default"/>
          <w:rFonts w:cs="FrankRuehl"/>
          <w:rtl/>
        </w:rPr>
        <w:t>.</w:t>
      </w:r>
      <w:r w:rsidRPr="00547F55">
        <w:rPr>
          <w:rStyle w:val="default"/>
          <w:rFonts w:cs="FrankRuehl"/>
          <w:rtl/>
        </w:rPr>
        <w:tab/>
      </w:r>
      <w:r w:rsidR="00FF313B">
        <w:rPr>
          <w:rStyle w:val="default"/>
          <w:rFonts w:cs="FrankRuehl" w:hint="cs"/>
          <w:rtl/>
        </w:rPr>
        <w:t>יושב ראש הוועדה או מי שהוא מינה לכך ינהל פרוטוקול של הדיון; הפרוטוקול ייחתם בידי יושב ראש הוועדה ובידי מזכיר הוועדה או עובד אחר שקבע היושב ראש, והחלטות הוועדה יצורפו לפרוטוקול ויהיו חלק ממנו</w:t>
      </w:r>
      <w:r w:rsidR="00CB3643">
        <w:rPr>
          <w:rStyle w:val="default"/>
          <w:rFonts w:cs="FrankRuehl" w:hint="cs"/>
          <w:rtl/>
        </w:rPr>
        <w:t>.</w:t>
      </w:r>
    </w:p>
    <w:p w:rsidR="003B0720" w:rsidRDefault="003B0720" w:rsidP="00FF313B">
      <w:pPr>
        <w:pStyle w:val="P00"/>
        <w:spacing w:before="72"/>
        <w:ind w:left="0" w:right="1134"/>
        <w:rPr>
          <w:rStyle w:val="default"/>
          <w:rFonts w:cs="FrankRuehl" w:hint="cs"/>
          <w:rtl/>
        </w:rPr>
      </w:pPr>
      <w:bookmarkStart w:id="19" w:name="Seif20"/>
      <w:bookmarkEnd w:id="19"/>
      <w:r>
        <w:rPr>
          <w:lang w:val="he-IL"/>
        </w:rPr>
        <w:pict>
          <v:rect id="_x0000_s1175" style="position:absolute;left:0;text-align:left;margin-left:464.5pt;margin-top:8.05pt;width:75.05pt;height:14.25pt;z-index:251666432" o:allowincell="f" filled="f" stroked="f" strokecolor="lime" strokeweight=".25pt">
            <v:textbox style="mso-next-textbox:#_x0000_s1175" inset="0,0,0,0">
              <w:txbxContent>
                <w:p w:rsidR="004E0A88" w:rsidRDefault="00FF313B" w:rsidP="003B0720">
                  <w:pPr>
                    <w:spacing w:line="160" w:lineRule="exact"/>
                    <w:jc w:val="left"/>
                    <w:rPr>
                      <w:rFonts w:cs="Miriam" w:hint="cs"/>
                      <w:noProof/>
                      <w:szCs w:val="18"/>
                      <w:rtl/>
                    </w:rPr>
                  </w:pPr>
                  <w:r>
                    <w:rPr>
                      <w:rFonts w:cs="Miriam" w:hint="cs"/>
                      <w:szCs w:val="18"/>
                      <w:rtl/>
                    </w:rPr>
                    <w:t>מועד מתן החלטה</w:t>
                  </w:r>
                </w:p>
              </w:txbxContent>
            </v:textbox>
            <w10:anchorlock/>
          </v:rect>
        </w:pict>
      </w:r>
      <w:r>
        <w:rPr>
          <w:rStyle w:val="big-number"/>
          <w:rFonts w:cs="Miriam" w:hint="cs"/>
          <w:rtl/>
        </w:rPr>
        <w:t>20</w:t>
      </w:r>
      <w:r w:rsidRPr="00547F55">
        <w:rPr>
          <w:rStyle w:val="default"/>
          <w:rFonts w:cs="FrankRuehl"/>
          <w:rtl/>
        </w:rPr>
        <w:t>.</w:t>
      </w:r>
      <w:r w:rsidRPr="00547F55">
        <w:rPr>
          <w:rStyle w:val="default"/>
          <w:rFonts w:cs="FrankRuehl"/>
          <w:rtl/>
        </w:rPr>
        <w:tab/>
      </w:r>
      <w:r w:rsidR="00FF313B">
        <w:rPr>
          <w:rStyle w:val="default"/>
          <w:rFonts w:cs="FrankRuehl" w:hint="cs"/>
          <w:rtl/>
        </w:rPr>
        <w:t>הוועדה תהא רשאית ליתן החלטה בערר מיד בתום הדיון; לא ניתנה החלטה בתום הדיון, ההחלטה בערר תינתן בתוך 60 ימים מיום סיום הדיון בערר</w:t>
      </w:r>
      <w:r w:rsidR="00734DED">
        <w:rPr>
          <w:rStyle w:val="default"/>
          <w:rFonts w:cs="FrankRuehl" w:hint="cs"/>
          <w:rtl/>
        </w:rPr>
        <w:t>.</w:t>
      </w:r>
    </w:p>
    <w:p w:rsidR="003B0720" w:rsidRDefault="003B0720" w:rsidP="00FF313B">
      <w:pPr>
        <w:pStyle w:val="P00"/>
        <w:spacing w:before="72"/>
        <w:ind w:left="0" w:right="1134"/>
        <w:rPr>
          <w:rStyle w:val="default"/>
          <w:rFonts w:cs="FrankRuehl" w:hint="cs"/>
          <w:rtl/>
        </w:rPr>
      </w:pPr>
      <w:bookmarkStart w:id="20" w:name="Seif21"/>
      <w:bookmarkEnd w:id="20"/>
      <w:r>
        <w:rPr>
          <w:lang w:val="he-IL"/>
        </w:rPr>
        <w:pict>
          <v:rect id="_x0000_s1176" style="position:absolute;left:0;text-align:left;margin-left:464.5pt;margin-top:8.05pt;width:75.05pt;height:14.15pt;z-index:251667456" o:allowincell="f" filled="f" stroked="f" strokecolor="lime" strokeweight=".25pt">
            <v:textbox style="mso-next-textbox:#_x0000_s1176" inset="0,0,0,0">
              <w:txbxContent>
                <w:p w:rsidR="004E0A88" w:rsidRDefault="00FF313B" w:rsidP="003B0720">
                  <w:pPr>
                    <w:spacing w:line="160" w:lineRule="exact"/>
                    <w:jc w:val="left"/>
                    <w:rPr>
                      <w:rFonts w:cs="Miriam" w:hint="cs"/>
                      <w:noProof/>
                      <w:szCs w:val="18"/>
                      <w:rtl/>
                    </w:rPr>
                  </w:pPr>
                  <w:r>
                    <w:rPr>
                      <w:rFonts w:cs="Miriam" w:hint="cs"/>
                      <w:szCs w:val="18"/>
                      <w:rtl/>
                    </w:rPr>
                    <w:t>החלטה</w:t>
                  </w:r>
                </w:p>
              </w:txbxContent>
            </v:textbox>
            <w10:anchorlock/>
          </v:rect>
        </w:pict>
      </w:r>
      <w:r>
        <w:rPr>
          <w:rStyle w:val="big-number"/>
          <w:rFonts w:cs="Miriam" w:hint="cs"/>
          <w:rtl/>
        </w:rPr>
        <w:t>2</w:t>
      </w:r>
      <w:r w:rsidR="00734DED">
        <w:rPr>
          <w:rStyle w:val="big-number"/>
          <w:rFonts w:cs="Miriam" w:hint="cs"/>
          <w:rtl/>
        </w:rPr>
        <w:t>1</w:t>
      </w:r>
      <w:r w:rsidRPr="00547F55">
        <w:rPr>
          <w:rStyle w:val="default"/>
          <w:rFonts w:cs="FrankRuehl"/>
          <w:rtl/>
        </w:rPr>
        <w:t>.</w:t>
      </w:r>
      <w:r w:rsidRPr="00547F55">
        <w:rPr>
          <w:rStyle w:val="default"/>
          <w:rFonts w:cs="FrankRuehl"/>
          <w:rtl/>
        </w:rPr>
        <w:tab/>
      </w:r>
      <w:r w:rsidR="00734DED">
        <w:rPr>
          <w:rStyle w:val="default"/>
          <w:rFonts w:cs="FrankRuehl" w:hint="cs"/>
          <w:rtl/>
        </w:rPr>
        <w:t>(א)</w:t>
      </w:r>
      <w:r w:rsidR="00734DED">
        <w:rPr>
          <w:rStyle w:val="default"/>
          <w:rFonts w:cs="FrankRuehl" w:hint="cs"/>
          <w:rtl/>
        </w:rPr>
        <w:tab/>
      </w:r>
      <w:r w:rsidR="00FF313B">
        <w:rPr>
          <w:rStyle w:val="default"/>
          <w:rFonts w:cs="FrankRuehl" w:hint="cs"/>
          <w:rtl/>
        </w:rPr>
        <w:t>החלטת הוועדה תיערך בכתב ותיחתם בידי יושב ראש הוועדה ובידי עובד אחר שקבע היושב ראש.</w:t>
      </w:r>
    </w:p>
    <w:p w:rsidR="00FF313B" w:rsidRDefault="00FF313B" w:rsidP="00FF31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 ההחלטה יישלח בידי מזכיר הוועדה, בתוך שבעה ימים מיום קבלתה, לכל עורר ומשיב ולחברי הוועדה.</w:t>
      </w:r>
    </w:p>
    <w:p w:rsidR="003B0720" w:rsidRDefault="003B0720" w:rsidP="00FF313B">
      <w:pPr>
        <w:pStyle w:val="P00"/>
        <w:spacing w:before="72"/>
        <w:ind w:left="0" w:right="1134"/>
        <w:rPr>
          <w:rStyle w:val="default"/>
          <w:rFonts w:cs="FrankRuehl" w:hint="cs"/>
          <w:rtl/>
        </w:rPr>
      </w:pPr>
      <w:bookmarkStart w:id="21" w:name="Seif22"/>
      <w:bookmarkEnd w:id="21"/>
      <w:r>
        <w:rPr>
          <w:lang w:val="he-IL"/>
        </w:rPr>
        <w:pict>
          <v:rect id="_x0000_s1177" style="position:absolute;left:0;text-align:left;margin-left:464.5pt;margin-top:8.05pt;width:75.05pt;height:14.15pt;z-index:251668480" o:allowincell="f" filled="f" stroked="f" strokecolor="lime" strokeweight=".25pt">
            <v:textbox style="mso-next-textbox:#_x0000_s1177" inset="0,0,0,0">
              <w:txbxContent>
                <w:p w:rsidR="004E0A88" w:rsidRDefault="00FF313B" w:rsidP="003B0720">
                  <w:pPr>
                    <w:spacing w:line="160" w:lineRule="exact"/>
                    <w:jc w:val="left"/>
                    <w:rPr>
                      <w:rFonts w:cs="Miriam" w:hint="cs"/>
                      <w:noProof/>
                      <w:szCs w:val="18"/>
                      <w:rtl/>
                    </w:rPr>
                  </w:pPr>
                  <w:r>
                    <w:rPr>
                      <w:rFonts w:cs="Miriam" w:hint="cs"/>
                      <w:szCs w:val="18"/>
                      <w:rtl/>
                    </w:rPr>
                    <w:t>הארכת מועדים</w:t>
                  </w:r>
                </w:p>
              </w:txbxContent>
            </v:textbox>
            <w10:anchorlock/>
          </v:rect>
        </w:pict>
      </w:r>
      <w:r>
        <w:rPr>
          <w:rStyle w:val="big-number"/>
          <w:rFonts w:cs="Miriam" w:hint="cs"/>
          <w:rtl/>
        </w:rPr>
        <w:t>2</w:t>
      </w:r>
      <w:r w:rsidR="00734DED">
        <w:rPr>
          <w:rStyle w:val="big-number"/>
          <w:rFonts w:cs="Miriam" w:hint="cs"/>
          <w:rtl/>
        </w:rPr>
        <w:t>2</w:t>
      </w:r>
      <w:r w:rsidRPr="00547F55">
        <w:rPr>
          <w:rStyle w:val="default"/>
          <w:rFonts w:cs="FrankRuehl"/>
          <w:rtl/>
        </w:rPr>
        <w:t>.</w:t>
      </w:r>
      <w:r w:rsidRPr="00547F55">
        <w:rPr>
          <w:rStyle w:val="default"/>
          <w:rFonts w:cs="FrankRuehl"/>
          <w:rtl/>
        </w:rPr>
        <w:tab/>
      </w:r>
      <w:r w:rsidR="00FF313B">
        <w:rPr>
          <w:rStyle w:val="default"/>
          <w:rFonts w:cs="FrankRuehl" w:hint="cs"/>
          <w:rtl/>
        </w:rPr>
        <w:t>יושב ראש הוועדה רשאי, מנימוקים שיירשמו בכתב, להאריך כל מועד הקבוע בתקנות אלה</w:t>
      </w:r>
      <w:r w:rsidR="008E02C7">
        <w:rPr>
          <w:rStyle w:val="default"/>
          <w:rFonts w:cs="FrankRuehl" w:hint="cs"/>
          <w:rtl/>
        </w:rPr>
        <w:t>.</w:t>
      </w:r>
    </w:p>
    <w:p w:rsidR="007C4CD0" w:rsidRDefault="007C4CD0">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DB6859" w:rsidRDefault="00FF313B" w:rsidP="00FF313B">
      <w:pPr>
        <w:pStyle w:val="sig-0"/>
        <w:tabs>
          <w:tab w:val="clear" w:pos="4820"/>
          <w:tab w:val="center" w:pos="5103"/>
        </w:tabs>
        <w:spacing w:before="72"/>
        <w:ind w:left="0" w:right="1134"/>
        <w:rPr>
          <w:rtl/>
        </w:rPr>
      </w:pPr>
      <w:r>
        <w:rPr>
          <w:rFonts w:hint="cs"/>
          <w:rtl/>
        </w:rPr>
        <w:t>כ"ח באלול התש"ע (7 בספטמבר</w:t>
      </w:r>
      <w:r w:rsidR="00464DF5">
        <w:rPr>
          <w:rFonts w:hint="cs"/>
          <w:rtl/>
        </w:rPr>
        <w:t xml:space="preserve"> 2010)</w:t>
      </w:r>
      <w:r w:rsidR="00464DF5">
        <w:rPr>
          <w:rFonts w:hint="cs"/>
          <w:rtl/>
        </w:rPr>
        <w:tab/>
      </w:r>
      <w:r>
        <w:rPr>
          <w:rFonts w:hint="cs"/>
          <w:rtl/>
        </w:rPr>
        <w:t>יעקב נאמן</w:t>
      </w:r>
    </w:p>
    <w:p w:rsidR="00DB6859" w:rsidRDefault="00DB6859" w:rsidP="00FF313B">
      <w:pPr>
        <w:pStyle w:val="sig-0"/>
        <w:tabs>
          <w:tab w:val="clear" w:pos="4820"/>
          <w:tab w:val="center" w:pos="5103"/>
        </w:tabs>
        <w:spacing w:before="0"/>
        <w:ind w:left="0" w:right="1134"/>
        <w:rPr>
          <w:rFonts w:hint="cs"/>
          <w:sz w:val="22"/>
          <w:szCs w:val="22"/>
          <w:rtl/>
        </w:rPr>
      </w:pPr>
      <w:r>
        <w:rPr>
          <w:rFonts w:hint="cs"/>
          <w:sz w:val="22"/>
          <w:szCs w:val="22"/>
          <w:rtl/>
        </w:rPr>
        <w:tab/>
      </w:r>
      <w:r w:rsidR="003F3AA7">
        <w:rPr>
          <w:rFonts w:hint="cs"/>
          <w:sz w:val="22"/>
          <w:szCs w:val="22"/>
          <w:rtl/>
        </w:rPr>
        <w:t xml:space="preserve">שר </w:t>
      </w:r>
      <w:r w:rsidR="00FF313B">
        <w:rPr>
          <w:rFonts w:hint="cs"/>
          <w:sz w:val="22"/>
          <w:szCs w:val="22"/>
          <w:rtl/>
        </w:rPr>
        <w:t>המשפטים</w:t>
      </w:r>
    </w:p>
    <w:p w:rsidR="00365962" w:rsidRPr="00690184" w:rsidRDefault="00365962"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22" w:name="LawPartEnd"/>
    </w:p>
    <w:bookmarkEnd w:id="22"/>
    <w:p w:rsidR="00D66C7F" w:rsidRDefault="00D66C7F" w:rsidP="00690184">
      <w:pPr>
        <w:pStyle w:val="P00"/>
        <w:spacing w:before="72"/>
        <w:ind w:left="0" w:right="1134"/>
        <w:rPr>
          <w:rStyle w:val="default"/>
          <w:rFonts w:cs="FrankRuehl"/>
          <w:rtl/>
        </w:rPr>
      </w:pPr>
    </w:p>
    <w:p w:rsidR="00D66C7F" w:rsidRDefault="00D66C7F" w:rsidP="00690184">
      <w:pPr>
        <w:pStyle w:val="P00"/>
        <w:spacing w:before="72"/>
        <w:ind w:left="0" w:right="1134"/>
        <w:rPr>
          <w:rStyle w:val="default"/>
          <w:rFonts w:cs="FrankRuehl"/>
          <w:rtl/>
        </w:rPr>
      </w:pPr>
    </w:p>
    <w:p w:rsidR="00D66C7F" w:rsidRDefault="00D66C7F" w:rsidP="00D66C7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B8081D" w:rsidRPr="00D66C7F" w:rsidRDefault="00B8081D" w:rsidP="00D66C7F">
      <w:pPr>
        <w:pStyle w:val="P00"/>
        <w:spacing w:before="72"/>
        <w:ind w:left="0" w:right="1134"/>
        <w:jc w:val="center"/>
        <w:rPr>
          <w:rStyle w:val="default"/>
          <w:rFonts w:cs="David"/>
          <w:color w:val="0000FF"/>
          <w:szCs w:val="24"/>
          <w:u w:val="single"/>
          <w:rtl/>
        </w:rPr>
      </w:pPr>
    </w:p>
    <w:sectPr w:rsidR="00B8081D" w:rsidRPr="00D66C7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7581" w:rsidRDefault="008E7581">
      <w:r>
        <w:separator/>
      </w:r>
    </w:p>
  </w:endnote>
  <w:endnote w:type="continuationSeparator" w:id="0">
    <w:p w:rsidR="008E7581" w:rsidRDefault="008E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6C7F">
      <w:rPr>
        <w:rFonts w:cs="TopType Jerushalmi"/>
        <w:noProof/>
        <w:color w:val="000000"/>
        <w:sz w:val="14"/>
        <w:szCs w:val="14"/>
      </w:rPr>
      <w:t>Z:\000-law\yael\10-11-24\tav\500_402.doc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6C7F">
      <w:rPr>
        <w:rFonts w:hAnsi="FrankRuehl" w:cs="FrankRuehl"/>
        <w:noProof/>
        <w:sz w:val="24"/>
        <w:szCs w:val="24"/>
        <w:rtl/>
      </w:rPr>
      <w:t>4</w:t>
    </w:r>
    <w:r>
      <w:rPr>
        <w:rFonts w:hAnsi="FrankRuehl" w:cs="FrankRuehl"/>
        <w:sz w:val="24"/>
        <w:szCs w:val="24"/>
        <w:rtl/>
      </w:rPr>
      <w:fldChar w:fldCharType="end"/>
    </w:r>
  </w:p>
  <w:p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6C7F">
      <w:rPr>
        <w:rFonts w:cs="TopType Jerushalmi"/>
        <w:noProof/>
        <w:color w:val="000000"/>
        <w:sz w:val="14"/>
        <w:szCs w:val="14"/>
      </w:rPr>
      <w:t>Z:\000-law\yael\10-11-24\tav\500_402.doc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7581" w:rsidRDefault="008E7581" w:rsidP="00690184">
      <w:pPr>
        <w:spacing w:before="60" w:line="240" w:lineRule="auto"/>
        <w:ind w:right="1134"/>
      </w:pPr>
      <w:r>
        <w:separator/>
      </w:r>
    </w:p>
  </w:footnote>
  <w:footnote w:type="continuationSeparator" w:id="0">
    <w:p w:rsidR="008E7581" w:rsidRDefault="008E7581">
      <w:r>
        <w:continuationSeparator/>
      </w:r>
    </w:p>
  </w:footnote>
  <w:footnote w:id="1">
    <w:p w:rsidR="00B700A3" w:rsidRPr="00690184" w:rsidRDefault="004E0A88" w:rsidP="001C6E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690184">
        <w:rPr>
          <w:sz w:val="20"/>
          <w:rtl/>
        </w:rPr>
        <w:t xml:space="preserve">* </w:t>
      </w:r>
      <w:r>
        <w:rPr>
          <w:sz w:val="20"/>
          <w:rtl/>
        </w:rPr>
        <w:t>פ</w:t>
      </w:r>
      <w:r>
        <w:rPr>
          <w:rFonts w:hint="cs"/>
          <w:sz w:val="20"/>
          <w:rtl/>
        </w:rPr>
        <w:t xml:space="preserve">ורסמו </w:t>
      </w:r>
      <w:hyperlink r:id="rId1" w:history="1">
        <w:r w:rsidRPr="00B700A3">
          <w:rPr>
            <w:rStyle w:val="Hyperlink"/>
            <w:rFonts w:hint="cs"/>
            <w:sz w:val="20"/>
            <w:rtl/>
          </w:rPr>
          <w:t>ק"ת תשע"א מס' 694</w:t>
        </w:r>
        <w:r w:rsidR="00285397" w:rsidRPr="00B700A3">
          <w:rPr>
            <w:rStyle w:val="Hyperlink"/>
            <w:rFonts w:hint="cs"/>
            <w:sz w:val="20"/>
            <w:rtl/>
          </w:rPr>
          <w:t>2</w:t>
        </w:r>
      </w:hyperlink>
      <w:r>
        <w:rPr>
          <w:rFonts w:hint="cs"/>
          <w:sz w:val="20"/>
          <w:rtl/>
        </w:rPr>
        <w:t xml:space="preserve"> מיום </w:t>
      </w:r>
      <w:r w:rsidR="00285397">
        <w:rPr>
          <w:rFonts w:hint="cs"/>
          <w:sz w:val="20"/>
          <w:rtl/>
        </w:rPr>
        <w:t>21</w:t>
      </w:r>
      <w:r>
        <w:rPr>
          <w:rFonts w:hint="cs"/>
          <w:sz w:val="20"/>
          <w:rtl/>
        </w:rPr>
        <w:t xml:space="preserve">.11.2010 עמ' </w:t>
      </w:r>
      <w:r w:rsidR="00285397">
        <w:rPr>
          <w:rFonts w:hint="cs"/>
          <w:sz w:val="20"/>
          <w:rtl/>
        </w:rPr>
        <w:t>166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rsidP="0028539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285397">
      <w:rPr>
        <w:rFonts w:hAnsi="FrankRuehl" w:cs="FrankRuehl" w:hint="cs"/>
        <w:color w:val="000000"/>
        <w:sz w:val="28"/>
        <w:szCs w:val="28"/>
        <w:rtl/>
      </w:rPr>
      <w:t>התכנון והבנייה (סדרי הדין בוועדות ערר בעררים לפי סעיף 14 לתוספת השלישית לחוק</w:t>
    </w:r>
    <w:r>
      <w:rPr>
        <w:rFonts w:hAnsi="FrankRuehl" w:cs="FrankRuehl" w:hint="cs"/>
        <w:color w:val="000000"/>
        <w:sz w:val="28"/>
        <w:szCs w:val="28"/>
        <w:rtl/>
      </w:rPr>
      <w:t>), תשע"א-2010</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33231"/>
    <w:rsid w:val="0004173F"/>
    <w:rsid w:val="000663A0"/>
    <w:rsid w:val="000728BA"/>
    <w:rsid w:val="000916DF"/>
    <w:rsid w:val="000A0156"/>
    <w:rsid w:val="000C1BAA"/>
    <w:rsid w:val="000C5444"/>
    <w:rsid w:val="000E270B"/>
    <w:rsid w:val="000F09AC"/>
    <w:rsid w:val="00110378"/>
    <w:rsid w:val="00112E27"/>
    <w:rsid w:val="00134000"/>
    <w:rsid w:val="001464CE"/>
    <w:rsid w:val="00155D53"/>
    <w:rsid w:val="0015712C"/>
    <w:rsid w:val="00187036"/>
    <w:rsid w:val="001913F6"/>
    <w:rsid w:val="00191538"/>
    <w:rsid w:val="001A4318"/>
    <w:rsid w:val="001B0AF8"/>
    <w:rsid w:val="001B6C22"/>
    <w:rsid w:val="001C6E20"/>
    <w:rsid w:val="001D3F8D"/>
    <w:rsid w:val="00203C08"/>
    <w:rsid w:val="00205608"/>
    <w:rsid w:val="0021165C"/>
    <w:rsid w:val="00212AC9"/>
    <w:rsid w:val="00213465"/>
    <w:rsid w:val="0021566B"/>
    <w:rsid w:val="00246333"/>
    <w:rsid w:val="00255C3E"/>
    <w:rsid w:val="00274A6D"/>
    <w:rsid w:val="00285397"/>
    <w:rsid w:val="0028727B"/>
    <w:rsid w:val="002925F8"/>
    <w:rsid w:val="002A265F"/>
    <w:rsid w:val="002A7F36"/>
    <w:rsid w:val="002B1569"/>
    <w:rsid w:val="002B6AA8"/>
    <w:rsid w:val="002B74DD"/>
    <w:rsid w:val="002B7D51"/>
    <w:rsid w:val="002C3147"/>
    <w:rsid w:val="002D5A21"/>
    <w:rsid w:val="002D5C73"/>
    <w:rsid w:val="002D5FF9"/>
    <w:rsid w:val="002D77DC"/>
    <w:rsid w:val="002E4F59"/>
    <w:rsid w:val="002F0659"/>
    <w:rsid w:val="003013DC"/>
    <w:rsid w:val="00301567"/>
    <w:rsid w:val="00305A08"/>
    <w:rsid w:val="003075A0"/>
    <w:rsid w:val="00315D5F"/>
    <w:rsid w:val="00317887"/>
    <w:rsid w:val="0032663E"/>
    <w:rsid w:val="00332D82"/>
    <w:rsid w:val="00347DEE"/>
    <w:rsid w:val="003536F6"/>
    <w:rsid w:val="003651D4"/>
    <w:rsid w:val="00365962"/>
    <w:rsid w:val="00374FBE"/>
    <w:rsid w:val="00381203"/>
    <w:rsid w:val="00382450"/>
    <w:rsid w:val="003841A9"/>
    <w:rsid w:val="003A25A4"/>
    <w:rsid w:val="003B0720"/>
    <w:rsid w:val="003C5D85"/>
    <w:rsid w:val="003D02C5"/>
    <w:rsid w:val="003D257D"/>
    <w:rsid w:val="003E0F91"/>
    <w:rsid w:val="003E359A"/>
    <w:rsid w:val="003F1F6D"/>
    <w:rsid w:val="003F3AA7"/>
    <w:rsid w:val="00401544"/>
    <w:rsid w:val="00401760"/>
    <w:rsid w:val="00401ADF"/>
    <w:rsid w:val="00413375"/>
    <w:rsid w:val="004213E0"/>
    <w:rsid w:val="00442CBF"/>
    <w:rsid w:val="0044409C"/>
    <w:rsid w:val="00464DF5"/>
    <w:rsid w:val="00467B67"/>
    <w:rsid w:val="00473332"/>
    <w:rsid w:val="00477377"/>
    <w:rsid w:val="004852B1"/>
    <w:rsid w:val="00497EF7"/>
    <w:rsid w:val="004A3E0A"/>
    <w:rsid w:val="004D1EC8"/>
    <w:rsid w:val="004E0A88"/>
    <w:rsid w:val="004E429F"/>
    <w:rsid w:val="004F08E5"/>
    <w:rsid w:val="004F6E5A"/>
    <w:rsid w:val="0050579C"/>
    <w:rsid w:val="00523B04"/>
    <w:rsid w:val="005256B2"/>
    <w:rsid w:val="00526D13"/>
    <w:rsid w:val="005270D2"/>
    <w:rsid w:val="00535486"/>
    <w:rsid w:val="0053563D"/>
    <w:rsid w:val="00544101"/>
    <w:rsid w:val="005448AF"/>
    <w:rsid w:val="00547F55"/>
    <w:rsid w:val="00554A76"/>
    <w:rsid w:val="00564EC6"/>
    <w:rsid w:val="00581CBC"/>
    <w:rsid w:val="00584CD2"/>
    <w:rsid w:val="005869D9"/>
    <w:rsid w:val="005A2088"/>
    <w:rsid w:val="005A7576"/>
    <w:rsid w:val="005B43FF"/>
    <w:rsid w:val="005D6D75"/>
    <w:rsid w:val="005E052E"/>
    <w:rsid w:val="005E0670"/>
    <w:rsid w:val="005E7A14"/>
    <w:rsid w:val="005F5C7B"/>
    <w:rsid w:val="00614C15"/>
    <w:rsid w:val="00617D47"/>
    <w:rsid w:val="00636D9C"/>
    <w:rsid w:val="00643F30"/>
    <w:rsid w:val="006507FC"/>
    <w:rsid w:val="0065197B"/>
    <w:rsid w:val="0065209F"/>
    <w:rsid w:val="0065757E"/>
    <w:rsid w:val="0067484E"/>
    <w:rsid w:val="006818DE"/>
    <w:rsid w:val="00690184"/>
    <w:rsid w:val="00690F49"/>
    <w:rsid w:val="00691B38"/>
    <w:rsid w:val="00692695"/>
    <w:rsid w:val="00695F56"/>
    <w:rsid w:val="006A01D4"/>
    <w:rsid w:val="006A31DC"/>
    <w:rsid w:val="006A498C"/>
    <w:rsid w:val="006A5AFA"/>
    <w:rsid w:val="006B5BC2"/>
    <w:rsid w:val="006B655A"/>
    <w:rsid w:val="006C1989"/>
    <w:rsid w:val="006D5731"/>
    <w:rsid w:val="006E1C98"/>
    <w:rsid w:val="006E57A1"/>
    <w:rsid w:val="00701EEF"/>
    <w:rsid w:val="00724500"/>
    <w:rsid w:val="00733169"/>
    <w:rsid w:val="00734DED"/>
    <w:rsid w:val="00746324"/>
    <w:rsid w:val="007549B3"/>
    <w:rsid w:val="00771690"/>
    <w:rsid w:val="00772134"/>
    <w:rsid w:val="007816BB"/>
    <w:rsid w:val="00790E91"/>
    <w:rsid w:val="007A3B58"/>
    <w:rsid w:val="007B195A"/>
    <w:rsid w:val="007B7884"/>
    <w:rsid w:val="007C4CD0"/>
    <w:rsid w:val="007C67E6"/>
    <w:rsid w:val="007C6CD9"/>
    <w:rsid w:val="007D2975"/>
    <w:rsid w:val="007D7E27"/>
    <w:rsid w:val="007E26E6"/>
    <w:rsid w:val="007E2884"/>
    <w:rsid w:val="007F34C6"/>
    <w:rsid w:val="007F3F49"/>
    <w:rsid w:val="0080391C"/>
    <w:rsid w:val="00810DB6"/>
    <w:rsid w:val="008277EF"/>
    <w:rsid w:val="0084020F"/>
    <w:rsid w:val="00852432"/>
    <w:rsid w:val="0085590C"/>
    <w:rsid w:val="00857268"/>
    <w:rsid w:val="00861778"/>
    <w:rsid w:val="008638A9"/>
    <w:rsid w:val="00864EF2"/>
    <w:rsid w:val="00876679"/>
    <w:rsid w:val="00887F74"/>
    <w:rsid w:val="00890542"/>
    <w:rsid w:val="00892D25"/>
    <w:rsid w:val="008965FA"/>
    <w:rsid w:val="008A01F0"/>
    <w:rsid w:val="008B5F95"/>
    <w:rsid w:val="008C2F4F"/>
    <w:rsid w:val="008C3477"/>
    <w:rsid w:val="008D2CB5"/>
    <w:rsid w:val="008D5770"/>
    <w:rsid w:val="008E02C7"/>
    <w:rsid w:val="008E7581"/>
    <w:rsid w:val="008F7A06"/>
    <w:rsid w:val="0091771F"/>
    <w:rsid w:val="00920B26"/>
    <w:rsid w:val="0092400A"/>
    <w:rsid w:val="00953AF4"/>
    <w:rsid w:val="00962CF1"/>
    <w:rsid w:val="00967F20"/>
    <w:rsid w:val="00973015"/>
    <w:rsid w:val="009747D2"/>
    <w:rsid w:val="00983E6B"/>
    <w:rsid w:val="00983F6B"/>
    <w:rsid w:val="00984B89"/>
    <w:rsid w:val="009878BF"/>
    <w:rsid w:val="009A052A"/>
    <w:rsid w:val="009C067F"/>
    <w:rsid w:val="009C1F2A"/>
    <w:rsid w:val="009C3257"/>
    <w:rsid w:val="009D11A0"/>
    <w:rsid w:val="009D1F94"/>
    <w:rsid w:val="009F006F"/>
    <w:rsid w:val="009F0963"/>
    <w:rsid w:val="00A25DE4"/>
    <w:rsid w:val="00A34B1B"/>
    <w:rsid w:val="00A3595A"/>
    <w:rsid w:val="00A377C8"/>
    <w:rsid w:val="00A37DB8"/>
    <w:rsid w:val="00A45DB2"/>
    <w:rsid w:val="00A501B6"/>
    <w:rsid w:val="00A65261"/>
    <w:rsid w:val="00A66851"/>
    <w:rsid w:val="00A77E67"/>
    <w:rsid w:val="00A87E61"/>
    <w:rsid w:val="00A91058"/>
    <w:rsid w:val="00A95DF4"/>
    <w:rsid w:val="00AA294E"/>
    <w:rsid w:val="00AB30ED"/>
    <w:rsid w:val="00AC1C05"/>
    <w:rsid w:val="00AC77E1"/>
    <w:rsid w:val="00AD1B67"/>
    <w:rsid w:val="00AD4382"/>
    <w:rsid w:val="00AD4A24"/>
    <w:rsid w:val="00AE4538"/>
    <w:rsid w:val="00B02070"/>
    <w:rsid w:val="00B04EDD"/>
    <w:rsid w:val="00B062C0"/>
    <w:rsid w:val="00B06DEC"/>
    <w:rsid w:val="00B111B4"/>
    <w:rsid w:val="00B25813"/>
    <w:rsid w:val="00B60CAD"/>
    <w:rsid w:val="00B641F0"/>
    <w:rsid w:val="00B65EE3"/>
    <w:rsid w:val="00B675C0"/>
    <w:rsid w:val="00B700A3"/>
    <w:rsid w:val="00B8081D"/>
    <w:rsid w:val="00BB246A"/>
    <w:rsid w:val="00BB6783"/>
    <w:rsid w:val="00BB7017"/>
    <w:rsid w:val="00BD37DB"/>
    <w:rsid w:val="00BE16D3"/>
    <w:rsid w:val="00BE36E4"/>
    <w:rsid w:val="00BF0194"/>
    <w:rsid w:val="00C01133"/>
    <w:rsid w:val="00C1486A"/>
    <w:rsid w:val="00C158E6"/>
    <w:rsid w:val="00C371AE"/>
    <w:rsid w:val="00C4280E"/>
    <w:rsid w:val="00C42F4E"/>
    <w:rsid w:val="00C431B5"/>
    <w:rsid w:val="00C52CD7"/>
    <w:rsid w:val="00C5571A"/>
    <w:rsid w:val="00C7393B"/>
    <w:rsid w:val="00C93729"/>
    <w:rsid w:val="00CA1C27"/>
    <w:rsid w:val="00CA30D6"/>
    <w:rsid w:val="00CB24C7"/>
    <w:rsid w:val="00CB3643"/>
    <w:rsid w:val="00CB4CE3"/>
    <w:rsid w:val="00CC1E3B"/>
    <w:rsid w:val="00CC6D12"/>
    <w:rsid w:val="00CC6DD3"/>
    <w:rsid w:val="00D011D8"/>
    <w:rsid w:val="00D0688A"/>
    <w:rsid w:val="00D123C0"/>
    <w:rsid w:val="00D12E45"/>
    <w:rsid w:val="00D325E1"/>
    <w:rsid w:val="00D34B77"/>
    <w:rsid w:val="00D414A7"/>
    <w:rsid w:val="00D449C0"/>
    <w:rsid w:val="00D53217"/>
    <w:rsid w:val="00D66C7F"/>
    <w:rsid w:val="00D67383"/>
    <w:rsid w:val="00D828AE"/>
    <w:rsid w:val="00D838E1"/>
    <w:rsid w:val="00DA28C2"/>
    <w:rsid w:val="00DB6859"/>
    <w:rsid w:val="00DC0626"/>
    <w:rsid w:val="00DC23FA"/>
    <w:rsid w:val="00DC2687"/>
    <w:rsid w:val="00DC6974"/>
    <w:rsid w:val="00DD1B83"/>
    <w:rsid w:val="00DF08C0"/>
    <w:rsid w:val="00DF321D"/>
    <w:rsid w:val="00E04B80"/>
    <w:rsid w:val="00E33324"/>
    <w:rsid w:val="00E37AC4"/>
    <w:rsid w:val="00E50619"/>
    <w:rsid w:val="00E64455"/>
    <w:rsid w:val="00E714A6"/>
    <w:rsid w:val="00E75082"/>
    <w:rsid w:val="00E929B5"/>
    <w:rsid w:val="00E92ED7"/>
    <w:rsid w:val="00E94475"/>
    <w:rsid w:val="00E94892"/>
    <w:rsid w:val="00EC1FAC"/>
    <w:rsid w:val="00EC26DD"/>
    <w:rsid w:val="00EC60F2"/>
    <w:rsid w:val="00EC7C58"/>
    <w:rsid w:val="00ED5217"/>
    <w:rsid w:val="00EF0E01"/>
    <w:rsid w:val="00EF226E"/>
    <w:rsid w:val="00EF32B1"/>
    <w:rsid w:val="00F0482E"/>
    <w:rsid w:val="00F060E9"/>
    <w:rsid w:val="00F1047E"/>
    <w:rsid w:val="00F11E14"/>
    <w:rsid w:val="00F178F1"/>
    <w:rsid w:val="00F3258E"/>
    <w:rsid w:val="00F34CBA"/>
    <w:rsid w:val="00F363E6"/>
    <w:rsid w:val="00F53B00"/>
    <w:rsid w:val="00F62FA4"/>
    <w:rsid w:val="00F650EF"/>
    <w:rsid w:val="00F66C1B"/>
    <w:rsid w:val="00F77B0F"/>
    <w:rsid w:val="00F900FF"/>
    <w:rsid w:val="00F93561"/>
    <w:rsid w:val="00FA459E"/>
    <w:rsid w:val="00FB02D9"/>
    <w:rsid w:val="00FB7236"/>
    <w:rsid w:val="00FC1B62"/>
    <w:rsid w:val="00FC4840"/>
    <w:rsid w:val="00FC56D4"/>
    <w:rsid w:val="00FE38EC"/>
    <w:rsid w:val="00FF313B"/>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260FD7-D716-47B8-B4AF-C499723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9304</CharactersWithSpaces>
  <SharedDoc>false</SharedDoc>
  <HLinks>
    <vt:vector size="144" baseType="variant">
      <vt:variant>
        <vt:i4>393283</vt:i4>
      </vt:variant>
      <vt:variant>
        <vt:i4>132</vt:i4>
      </vt:variant>
      <vt:variant>
        <vt:i4>0</vt:i4>
      </vt:variant>
      <vt:variant>
        <vt:i4>5</vt:i4>
      </vt:variant>
      <vt:variant>
        <vt:lpwstr>http://www.nevo.co.il/advertisements/nevo-100.doc</vt:lpwstr>
      </vt:variant>
      <vt:variant>
        <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0</vt:i4>
      </vt:variant>
      <vt:variant>
        <vt:i4>0</vt:i4>
      </vt:variant>
      <vt:variant>
        <vt:i4>5</vt:i4>
      </vt:variant>
      <vt:variant>
        <vt:lpwstr>http://www.nevo.co.il/Law_word/law06/TAK-6942.pdf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תכנון ובניה</vt:lpwstr>
  </property>
  <property fmtid="{D5CDD505-2E9C-101B-9397-08002B2CF9AE}" pid="4" name="LAWNAME">
    <vt:lpwstr>תקנות התכנון והבנייה (סדרי הדין בוועדות ערר בעררים לפי סעיף 14 לתוספת השלישית לחוק), תשע"א-2010</vt:lpwstr>
  </property>
  <property fmtid="{D5CDD505-2E9C-101B-9397-08002B2CF9AE}" pid="5" name="LAWNUMBER">
    <vt:lpwstr>0402</vt:lpwstr>
  </property>
  <property fmtid="{D5CDD505-2E9C-101B-9397-08002B2CF9AE}" pid="6" name="TYPE">
    <vt:lpwstr>01</vt:lpwstr>
  </property>
  <property fmtid="{D5CDD505-2E9C-101B-9397-08002B2CF9AE}" pid="7" name="NOSE41">
    <vt:lpwstr>סדרי דין</vt:lpwstr>
  </property>
  <property fmtid="{D5CDD505-2E9C-101B-9397-08002B2CF9AE}" pid="8" name="NOSE12">
    <vt:lpwstr/>
  </property>
  <property fmtid="{D5CDD505-2E9C-101B-9397-08002B2CF9AE}" pid="9" name="NOSE22">
    <vt:lpwstr/>
  </property>
  <property fmtid="{D5CDD505-2E9C-101B-9397-08002B2CF9AE}" pid="10" name="NOSE32">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רשויות ומשפט מנהלי</vt:lpwstr>
  </property>
  <property fmtid="{D5CDD505-2E9C-101B-9397-08002B2CF9AE}" pid="45" name="NOSE21">
    <vt:lpwstr>תכנון ובניה</vt:lpwstr>
  </property>
  <property fmtid="{D5CDD505-2E9C-101B-9397-08002B2CF9AE}" pid="46" name="NOSE31">
    <vt:lpwstr>ערעור וערר</vt:lpwstr>
  </property>
  <property fmtid="{D5CDD505-2E9C-101B-9397-08002B2CF9AE}" pid="47" name="MEKOR_NAME1">
    <vt:lpwstr>חוק התכנון והבניה</vt:lpwstr>
  </property>
  <property fmtid="{D5CDD505-2E9C-101B-9397-08002B2CF9AE}" pid="48" name="MEKOR_SAIF1">
    <vt:lpwstr>12דX</vt:lpwstr>
  </property>
  <property fmtid="{D5CDD505-2E9C-101B-9397-08002B2CF9AE}" pid="49" name="MEKORSAMCHUT">
    <vt:lpwstr/>
  </property>
  <property fmtid="{D5CDD505-2E9C-101B-9397-08002B2CF9AE}" pid="50" name="LINKK1">
    <vt:lpwstr>פורסמו ק"ת תשע"א מס' 6942 מיום 21.11.2010 עמ' 166‏‎;‎רשומות - תקנות כלליות#פורסמו ק"ת ‏תשע"א מס' 6942 #מיום 21.11.2010 עמ' 166‏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