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24EB" w:rsidRDefault="00103217" w:rsidP="00485966">
      <w:pPr>
        <w:pStyle w:val="big-header"/>
        <w:ind w:left="0" w:right="1134"/>
      </w:pPr>
      <w:r>
        <w:rPr>
          <w:rFonts w:hint="cs"/>
          <w:rtl/>
        </w:rPr>
        <w:t>תקנות התכנית להבראת כלכלית ישראל (תיקוני חקיקה להשגת יעדי התקציב והמדיניות הכלכלית לשנות הכספים 2003 ו-2004) (כללים להחזר תשלומים)</w:t>
      </w:r>
      <w:r w:rsidR="002D24EB">
        <w:rPr>
          <w:rtl/>
        </w:rPr>
        <w:t>, תשס"</w:t>
      </w:r>
      <w:r w:rsidR="005045F5">
        <w:rPr>
          <w:rFonts w:hint="cs"/>
          <w:rtl/>
        </w:rPr>
        <w:t>ט</w:t>
      </w:r>
      <w:r w:rsidR="002D24EB">
        <w:rPr>
          <w:rtl/>
        </w:rPr>
        <w:t>-200</w:t>
      </w:r>
      <w:r w:rsidR="005045F5">
        <w:rPr>
          <w:rFonts w:hint="cs"/>
          <w:rtl/>
        </w:rPr>
        <w:t>9</w:t>
      </w:r>
    </w:p>
    <w:p w:rsidR="006F1010" w:rsidRPr="006F1010" w:rsidRDefault="006F1010" w:rsidP="006F1010">
      <w:pPr>
        <w:spacing w:line="320" w:lineRule="auto"/>
        <w:jc w:val="left"/>
        <w:rPr>
          <w:rFonts w:cs="FrankRuehl"/>
          <w:szCs w:val="26"/>
          <w:rtl/>
        </w:rPr>
      </w:pPr>
    </w:p>
    <w:p w:rsidR="006F1010" w:rsidRDefault="006F1010" w:rsidP="006F1010">
      <w:pPr>
        <w:spacing w:line="320" w:lineRule="auto"/>
        <w:jc w:val="left"/>
        <w:rPr>
          <w:rtl/>
        </w:rPr>
      </w:pPr>
    </w:p>
    <w:p w:rsidR="006F1010" w:rsidRPr="006F1010" w:rsidRDefault="006F1010" w:rsidP="006F1010">
      <w:pPr>
        <w:spacing w:line="320" w:lineRule="auto"/>
        <w:jc w:val="left"/>
        <w:rPr>
          <w:rFonts w:cs="Miriam"/>
          <w:szCs w:val="22"/>
          <w:rtl/>
        </w:rPr>
      </w:pPr>
      <w:r w:rsidRPr="006F1010">
        <w:rPr>
          <w:rFonts w:cs="Miriam"/>
          <w:szCs w:val="22"/>
          <w:rtl/>
        </w:rPr>
        <w:t>משפט פרטי וכלכלה</w:t>
      </w:r>
      <w:r w:rsidRPr="006F1010">
        <w:rPr>
          <w:rFonts w:cs="FrankRuehl"/>
          <w:szCs w:val="26"/>
          <w:rtl/>
        </w:rPr>
        <w:t xml:space="preserve"> – כספים – תקציב ומשק המדינה – השגת יעדי תקציב</w:t>
      </w:r>
    </w:p>
    <w:p w:rsidR="002D24EB" w:rsidRDefault="002D24EB">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64E70" w:rsidRPr="00964E70">
        <w:tblPrEx>
          <w:tblCellMar>
            <w:top w:w="0" w:type="dxa"/>
            <w:bottom w:w="0" w:type="dxa"/>
          </w:tblCellMar>
        </w:tblPrEx>
        <w:tc>
          <w:tcPr>
            <w:tcW w:w="1247" w:type="dxa"/>
          </w:tcPr>
          <w:p w:rsidR="00964E70" w:rsidRPr="00964E70" w:rsidRDefault="00964E70" w:rsidP="00964E70">
            <w:pPr>
              <w:spacing w:line="240" w:lineRule="auto"/>
              <w:jc w:val="left"/>
              <w:rPr>
                <w:rFonts w:cs="Frankruhel" w:hint="cs"/>
                <w:sz w:val="24"/>
                <w:rtl/>
              </w:rPr>
            </w:pPr>
            <w:r>
              <w:rPr>
                <w:rFonts w:cs="Times New Roman"/>
                <w:sz w:val="24"/>
                <w:rtl/>
              </w:rPr>
              <w:t xml:space="preserve">סעיף 1 </w:t>
            </w:r>
          </w:p>
        </w:tc>
        <w:tc>
          <w:tcPr>
            <w:tcW w:w="5669" w:type="dxa"/>
          </w:tcPr>
          <w:p w:rsidR="00964E70" w:rsidRPr="00964E70" w:rsidRDefault="00964E70" w:rsidP="00964E70">
            <w:pPr>
              <w:spacing w:line="240" w:lineRule="auto"/>
              <w:jc w:val="left"/>
              <w:rPr>
                <w:rFonts w:cs="Frankruhel" w:hint="cs"/>
                <w:sz w:val="24"/>
                <w:rtl/>
              </w:rPr>
            </w:pPr>
            <w:r>
              <w:rPr>
                <w:rFonts w:cs="Times New Roman"/>
                <w:sz w:val="24"/>
                <w:rtl/>
              </w:rPr>
              <w:t>הגדרות</w:t>
            </w:r>
          </w:p>
        </w:tc>
        <w:tc>
          <w:tcPr>
            <w:tcW w:w="567" w:type="dxa"/>
          </w:tcPr>
          <w:p w:rsidR="00964E70" w:rsidRPr="00964E70" w:rsidRDefault="00964E70" w:rsidP="00964E70">
            <w:pPr>
              <w:spacing w:line="240" w:lineRule="auto"/>
              <w:jc w:val="left"/>
              <w:rPr>
                <w:rStyle w:val="Hyperlink"/>
                <w:rFonts w:hint="cs"/>
                <w:rtl/>
              </w:rPr>
            </w:pPr>
            <w:hyperlink w:anchor="Seif1" w:tooltip="הגדרות" w:history="1">
              <w:r w:rsidRPr="00964E70">
                <w:rPr>
                  <w:rStyle w:val="Hyperlink"/>
                </w:rPr>
                <w:t>Go</w:t>
              </w:r>
            </w:hyperlink>
          </w:p>
        </w:tc>
        <w:tc>
          <w:tcPr>
            <w:tcW w:w="850" w:type="dxa"/>
          </w:tcPr>
          <w:p w:rsidR="00964E70" w:rsidRPr="00964E70" w:rsidRDefault="00964E70" w:rsidP="00964E7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64E70" w:rsidRPr="00964E70">
        <w:tblPrEx>
          <w:tblCellMar>
            <w:top w:w="0" w:type="dxa"/>
            <w:bottom w:w="0" w:type="dxa"/>
          </w:tblCellMar>
        </w:tblPrEx>
        <w:tc>
          <w:tcPr>
            <w:tcW w:w="1247" w:type="dxa"/>
          </w:tcPr>
          <w:p w:rsidR="00964E70" w:rsidRPr="00964E70" w:rsidRDefault="00964E70" w:rsidP="00964E70">
            <w:pPr>
              <w:spacing w:line="240" w:lineRule="auto"/>
              <w:jc w:val="left"/>
              <w:rPr>
                <w:rFonts w:cs="Frankruhel" w:hint="cs"/>
                <w:sz w:val="24"/>
                <w:rtl/>
              </w:rPr>
            </w:pPr>
            <w:r>
              <w:rPr>
                <w:rFonts w:cs="Times New Roman"/>
                <w:sz w:val="24"/>
                <w:rtl/>
              </w:rPr>
              <w:t xml:space="preserve">סעיף 2 </w:t>
            </w:r>
          </w:p>
        </w:tc>
        <w:tc>
          <w:tcPr>
            <w:tcW w:w="5669" w:type="dxa"/>
          </w:tcPr>
          <w:p w:rsidR="00964E70" w:rsidRPr="00964E70" w:rsidRDefault="00964E70" w:rsidP="00964E70">
            <w:pPr>
              <w:spacing w:line="240" w:lineRule="auto"/>
              <w:jc w:val="left"/>
              <w:rPr>
                <w:rFonts w:cs="Frankruhel" w:hint="cs"/>
                <w:sz w:val="24"/>
                <w:rtl/>
              </w:rPr>
            </w:pPr>
            <w:r>
              <w:rPr>
                <w:rFonts w:cs="Times New Roman"/>
                <w:sz w:val="24"/>
                <w:rtl/>
              </w:rPr>
              <w:t>החזר תשלומים</w:t>
            </w:r>
          </w:p>
        </w:tc>
        <w:tc>
          <w:tcPr>
            <w:tcW w:w="567" w:type="dxa"/>
          </w:tcPr>
          <w:p w:rsidR="00964E70" w:rsidRPr="00964E70" w:rsidRDefault="00964E70" w:rsidP="00964E70">
            <w:pPr>
              <w:spacing w:line="240" w:lineRule="auto"/>
              <w:jc w:val="left"/>
              <w:rPr>
                <w:rStyle w:val="Hyperlink"/>
                <w:rFonts w:hint="cs"/>
                <w:rtl/>
              </w:rPr>
            </w:pPr>
            <w:hyperlink w:anchor="Seif2" w:tooltip="החזר תשלומים" w:history="1">
              <w:r w:rsidRPr="00964E70">
                <w:rPr>
                  <w:rStyle w:val="Hyperlink"/>
                </w:rPr>
                <w:t>Go</w:t>
              </w:r>
            </w:hyperlink>
          </w:p>
        </w:tc>
        <w:tc>
          <w:tcPr>
            <w:tcW w:w="850" w:type="dxa"/>
          </w:tcPr>
          <w:p w:rsidR="00964E70" w:rsidRPr="00964E70" w:rsidRDefault="00964E70" w:rsidP="00964E7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64E70" w:rsidRPr="00964E70">
        <w:tblPrEx>
          <w:tblCellMar>
            <w:top w:w="0" w:type="dxa"/>
            <w:bottom w:w="0" w:type="dxa"/>
          </w:tblCellMar>
        </w:tblPrEx>
        <w:tc>
          <w:tcPr>
            <w:tcW w:w="1247" w:type="dxa"/>
          </w:tcPr>
          <w:p w:rsidR="00964E70" w:rsidRPr="00964E70" w:rsidRDefault="00964E70" w:rsidP="00964E70">
            <w:pPr>
              <w:spacing w:line="240" w:lineRule="auto"/>
              <w:jc w:val="left"/>
              <w:rPr>
                <w:rFonts w:cs="Frankruhel" w:hint="cs"/>
                <w:sz w:val="24"/>
                <w:rtl/>
              </w:rPr>
            </w:pPr>
            <w:r>
              <w:rPr>
                <w:rFonts w:cs="Times New Roman"/>
                <w:sz w:val="24"/>
                <w:rtl/>
              </w:rPr>
              <w:t xml:space="preserve">סעיף 3 </w:t>
            </w:r>
          </w:p>
        </w:tc>
        <w:tc>
          <w:tcPr>
            <w:tcW w:w="5669" w:type="dxa"/>
          </w:tcPr>
          <w:p w:rsidR="00964E70" w:rsidRPr="00964E70" w:rsidRDefault="00964E70" w:rsidP="00964E70">
            <w:pPr>
              <w:spacing w:line="240" w:lineRule="auto"/>
              <w:jc w:val="left"/>
              <w:rPr>
                <w:rFonts w:cs="Frankruhel" w:hint="cs"/>
                <w:sz w:val="24"/>
                <w:rtl/>
              </w:rPr>
            </w:pPr>
            <w:r>
              <w:rPr>
                <w:rFonts w:cs="Times New Roman"/>
                <w:sz w:val="24"/>
                <w:rtl/>
              </w:rPr>
              <w:t>תחילה</w:t>
            </w:r>
          </w:p>
        </w:tc>
        <w:tc>
          <w:tcPr>
            <w:tcW w:w="567" w:type="dxa"/>
          </w:tcPr>
          <w:p w:rsidR="00964E70" w:rsidRPr="00964E70" w:rsidRDefault="00964E70" w:rsidP="00964E70">
            <w:pPr>
              <w:spacing w:line="240" w:lineRule="auto"/>
              <w:jc w:val="left"/>
              <w:rPr>
                <w:rStyle w:val="Hyperlink"/>
                <w:rFonts w:hint="cs"/>
                <w:rtl/>
              </w:rPr>
            </w:pPr>
            <w:hyperlink w:anchor="Seif3" w:tooltip="תחילה" w:history="1">
              <w:r w:rsidRPr="00964E70">
                <w:rPr>
                  <w:rStyle w:val="Hyperlink"/>
                </w:rPr>
                <w:t>Go</w:t>
              </w:r>
            </w:hyperlink>
          </w:p>
        </w:tc>
        <w:tc>
          <w:tcPr>
            <w:tcW w:w="850" w:type="dxa"/>
          </w:tcPr>
          <w:p w:rsidR="00964E70" w:rsidRPr="00964E70" w:rsidRDefault="00964E70" w:rsidP="00964E7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2D24EB" w:rsidRDefault="002D24EB">
      <w:pPr>
        <w:pStyle w:val="big-header"/>
        <w:ind w:left="0" w:right="1134"/>
        <w:rPr>
          <w:rFonts w:hint="cs"/>
          <w:rtl/>
        </w:rPr>
      </w:pPr>
    </w:p>
    <w:p w:rsidR="002D24EB" w:rsidRDefault="002D24EB" w:rsidP="006F1010">
      <w:pPr>
        <w:pStyle w:val="big-header"/>
        <w:ind w:left="0" w:right="1134"/>
        <w:rPr>
          <w:rFonts w:hint="cs"/>
          <w:rtl/>
        </w:rPr>
      </w:pPr>
      <w:r>
        <w:rPr>
          <w:rtl/>
        </w:rPr>
        <w:br w:type="page"/>
      </w:r>
      <w:r w:rsidR="00103217">
        <w:rPr>
          <w:rFonts w:hint="cs"/>
          <w:rtl/>
        </w:rPr>
        <w:lastRenderedPageBreak/>
        <w:t>תקנות התכנית להבראת כלכלית ישראל (תיקוני חקיקה להשגת יעדי התקציב והמדיניות הכלכלית לשנות הכספים 2003 ו-2004) (כללים להחזר תשלומים)</w:t>
      </w:r>
      <w:r w:rsidR="00103217">
        <w:rPr>
          <w:rtl/>
        </w:rPr>
        <w:t>, תשס"</w:t>
      </w:r>
      <w:r w:rsidR="00103217">
        <w:rPr>
          <w:rFonts w:hint="cs"/>
          <w:rtl/>
        </w:rPr>
        <w:t>ט</w:t>
      </w:r>
      <w:r w:rsidR="00103217">
        <w:rPr>
          <w:rtl/>
        </w:rPr>
        <w:t>-200</w:t>
      </w:r>
      <w:r w:rsidR="00103217">
        <w:rPr>
          <w:rFonts w:hint="cs"/>
          <w:rtl/>
        </w:rPr>
        <w:t>9</w:t>
      </w:r>
      <w:r>
        <w:rPr>
          <w:rStyle w:val="default"/>
          <w:sz w:val="22"/>
          <w:szCs w:val="22"/>
          <w:rtl/>
        </w:rPr>
        <w:footnoteReference w:customMarkFollows="1" w:id="1"/>
        <w:t>*</w:t>
      </w:r>
    </w:p>
    <w:p w:rsidR="002D24EB" w:rsidRDefault="002D24EB" w:rsidP="00103217">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w:t>
      </w:r>
      <w:r w:rsidR="00103217">
        <w:rPr>
          <w:rStyle w:val="default"/>
          <w:rFonts w:cs="FrankRuehl" w:hint="cs"/>
          <w:rtl/>
        </w:rPr>
        <w:t xml:space="preserve">סמכותי לפי סעיף 94(ב) לחוק התכנית להבראת כלכלת ישראל (תיקוני חקיקה להשגת יעדי התקציב והמדיניות הכלכלית לשנות הכספים 2003 ו-2004), התשס"ג-2003 (להלן </w:t>
      </w:r>
      <w:r w:rsidR="00103217">
        <w:rPr>
          <w:rStyle w:val="default"/>
          <w:rFonts w:cs="FrankRuehl"/>
          <w:rtl/>
        </w:rPr>
        <w:t>–</w:t>
      </w:r>
      <w:r w:rsidR="00103217">
        <w:rPr>
          <w:rStyle w:val="default"/>
          <w:rFonts w:cs="FrankRuehl" w:hint="cs"/>
          <w:rtl/>
        </w:rPr>
        <w:t xml:space="preserve"> החוק), אני מתקין תקנות אלה</w:t>
      </w:r>
      <w:r>
        <w:rPr>
          <w:rStyle w:val="default"/>
          <w:rFonts w:cs="FrankRuehl" w:hint="cs"/>
          <w:rtl/>
        </w:rPr>
        <w:t>:</w:t>
      </w:r>
    </w:p>
    <w:p w:rsidR="00103217" w:rsidRDefault="002D24EB" w:rsidP="00103217">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1pt;z-index:251656704" o:allowincell="f" filled="f" stroked="f" strokecolor="lime" strokeweight=".25pt">
            <v:textbox style="mso-next-textbox:#_x0000_s1026" inset="0,0,0,0">
              <w:txbxContent>
                <w:p w:rsidR="00613F4E" w:rsidRDefault="00103217">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sidR="00103217">
        <w:rPr>
          <w:rStyle w:val="default"/>
          <w:rFonts w:cs="FrankRuehl" w:hint="cs"/>
          <w:rtl/>
        </w:rPr>
        <w:t xml:space="preserve">בתקנות אלה </w:t>
      </w:r>
      <w:r w:rsidR="00103217">
        <w:rPr>
          <w:rStyle w:val="default"/>
          <w:rFonts w:cs="FrankRuehl"/>
          <w:rtl/>
        </w:rPr>
        <w:t>–</w:t>
      </w:r>
    </w:p>
    <w:p w:rsidR="00103217" w:rsidRDefault="00103217" w:rsidP="00103217">
      <w:pPr>
        <w:pStyle w:val="P00"/>
        <w:spacing w:before="72"/>
        <w:ind w:left="0" w:right="1134"/>
        <w:rPr>
          <w:rStyle w:val="default"/>
          <w:rFonts w:cs="FrankRuehl" w:hint="cs"/>
          <w:rtl/>
        </w:rPr>
      </w:pPr>
      <w:r>
        <w:rPr>
          <w:rStyle w:val="default"/>
          <w:rFonts w:cs="FrankRuehl" w:hint="cs"/>
          <w:rtl/>
        </w:rPr>
        <w:tab/>
        <w:t xml:space="preserve">"גוף פטור מניהול כספים בקופת גמל" </w:t>
      </w:r>
      <w:r>
        <w:rPr>
          <w:rStyle w:val="default"/>
          <w:rFonts w:cs="FrankRuehl"/>
          <w:rtl/>
        </w:rPr>
        <w:t>–</w:t>
      </w:r>
      <w:r>
        <w:rPr>
          <w:rStyle w:val="default"/>
          <w:rFonts w:cs="FrankRuehl" w:hint="cs"/>
          <w:rtl/>
        </w:rPr>
        <w:t xml:space="preserve"> המדינה או גוף מהגופים המפורטים בסעיף 92 לחוק;</w:t>
      </w:r>
    </w:p>
    <w:p w:rsidR="00103217" w:rsidRDefault="00103217" w:rsidP="00103217">
      <w:pPr>
        <w:pStyle w:val="P00"/>
        <w:spacing w:before="72"/>
        <w:ind w:left="0" w:right="1134"/>
        <w:rPr>
          <w:rStyle w:val="default"/>
          <w:rFonts w:cs="FrankRuehl" w:hint="cs"/>
          <w:rtl/>
        </w:rPr>
      </w:pPr>
      <w:r>
        <w:rPr>
          <w:rStyle w:val="default"/>
          <w:rFonts w:cs="FrankRuehl" w:hint="cs"/>
          <w:rtl/>
        </w:rPr>
        <w:tab/>
        <w:t xml:space="preserve">"הפרשי הצמדה" </w:t>
      </w:r>
      <w:r>
        <w:rPr>
          <w:rStyle w:val="default"/>
          <w:rFonts w:cs="FrankRuehl"/>
          <w:rtl/>
        </w:rPr>
        <w:t>–</w:t>
      </w:r>
      <w:r>
        <w:rPr>
          <w:rStyle w:val="default"/>
          <w:rFonts w:cs="FrankRuehl" w:hint="cs"/>
          <w:rtl/>
        </w:rPr>
        <w:t xml:space="preserve"> כהגדרתם בחוק פסיקת ריבית והצמדה;</w:t>
      </w:r>
    </w:p>
    <w:p w:rsidR="00103217" w:rsidRDefault="00103217" w:rsidP="00103217">
      <w:pPr>
        <w:pStyle w:val="P00"/>
        <w:spacing w:before="72"/>
        <w:ind w:left="0" w:right="1134"/>
        <w:rPr>
          <w:rStyle w:val="default"/>
          <w:rFonts w:cs="FrankRuehl" w:hint="cs"/>
          <w:rtl/>
        </w:rPr>
      </w:pPr>
      <w:r>
        <w:rPr>
          <w:rStyle w:val="default"/>
          <w:rFonts w:cs="FrankRuehl" w:hint="cs"/>
          <w:rtl/>
        </w:rPr>
        <w:tab/>
        <w:t xml:space="preserve">"חוק פסיקת ריבית והצמדה" </w:t>
      </w:r>
      <w:r>
        <w:rPr>
          <w:rStyle w:val="default"/>
          <w:rFonts w:cs="FrankRuehl"/>
          <w:rtl/>
        </w:rPr>
        <w:t>–</w:t>
      </w:r>
      <w:r>
        <w:rPr>
          <w:rStyle w:val="default"/>
          <w:rFonts w:cs="FrankRuehl" w:hint="cs"/>
          <w:rtl/>
        </w:rPr>
        <w:t xml:space="preserve"> חוק פסיקת ריבית והצמדה, התשכ"א-1961;</w:t>
      </w:r>
    </w:p>
    <w:p w:rsidR="002D24EB" w:rsidRDefault="00103217" w:rsidP="00103217">
      <w:pPr>
        <w:pStyle w:val="P00"/>
        <w:spacing w:before="72"/>
        <w:ind w:left="0" w:right="1134"/>
        <w:rPr>
          <w:rStyle w:val="default"/>
          <w:rFonts w:cs="FrankRuehl" w:hint="cs"/>
          <w:rtl/>
        </w:rPr>
      </w:pPr>
      <w:r>
        <w:rPr>
          <w:rStyle w:val="default"/>
          <w:rFonts w:cs="FrankRuehl" w:hint="cs"/>
          <w:rtl/>
        </w:rPr>
        <w:tab/>
        <w:t xml:space="preserve">"זכאי להחזר" </w:t>
      </w:r>
      <w:r w:rsidR="004C08AC">
        <w:rPr>
          <w:rStyle w:val="default"/>
          <w:rFonts w:cs="FrankRuehl"/>
          <w:rtl/>
        </w:rPr>
        <w:t>–</w:t>
      </w:r>
      <w:r>
        <w:rPr>
          <w:rStyle w:val="default"/>
          <w:rFonts w:cs="FrankRuehl" w:hint="cs"/>
          <w:rtl/>
        </w:rPr>
        <w:t xml:space="preserve"> </w:t>
      </w:r>
      <w:r w:rsidR="004C08AC">
        <w:rPr>
          <w:rStyle w:val="default"/>
          <w:rFonts w:cs="FrankRuehl" w:hint="cs"/>
          <w:rtl/>
        </w:rPr>
        <w:t>עובד שסיים את שירותו או עבודתו או נושא משרה שסיים את כהונתו, אשר אינו זכאי לתשלום קצבה מאוצר המדינה, מקופת המעביד או מקופת הגוף שבו כיהן, ואשר נוכו ממשכורתו תשלומים להשתתפות בפנסיה תקציבית;</w:t>
      </w:r>
    </w:p>
    <w:p w:rsidR="004C08AC" w:rsidRDefault="004C08AC" w:rsidP="00103217">
      <w:pPr>
        <w:pStyle w:val="P00"/>
        <w:spacing w:before="72"/>
        <w:ind w:left="0" w:right="1134"/>
        <w:rPr>
          <w:rStyle w:val="default"/>
          <w:rFonts w:cs="FrankRuehl" w:hint="cs"/>
          <w:rtl/>
        </w:rPr>
      </w:pPr>
      <w:r>
        <w:rPr>
          <w:rStyle w:val="default"/>
          <w:rFonts w:cs="FrankRuehl" w:hint="cs"/>
          <w:rtl/>
        </w:rPr>
        <w:tab/>
        <w:t xml:space="preserve">"קופת לניהול" </w:t>
      </w:r>
      <w:r>
        <w:rPr>
          <w:rStyle w:val="default"/>
          <w:rFonts w:cs="FrankRuehl"/>
          <w:rtl/>
        </w:rPr>
        <w:t>–</w:t>
      </w:r>
      <w:r>
        <w:rPr>
          <w:rStyle w:val="default"/>
          <w:rFonts w:cs="FrankRuehl" w:hint="cs"/>
          <w:rtl/>
        </w:rPr>
        <w:t xml:space="preserve"> קופת גמל מרכזית להשתתפות בפנסיה תקציבית או קופת גמל מרכזית לקצבה;</w:t>
      </w:r>
    </w:p>
    <w:p w:rsidR="004C08AC" w:rsidRDefault="004C08AC" w:rsidP="00103217">
      <w:pPr>
        <w:pStyle w:val="P00"/>
        <w:spacing w:before="72"/>
        <w:ind w:left="0" w:right="1134"/>
        <w:rPr>
          <w:rStyle w:val="default"/>
          <w:rFonts w:cs="FrankRuehl" w:hint="cs"/>
          <w:rtl/>
        </w:rPr>
      </w:pPr>
      <w:r>
        <w:rPr>
          <w:rStyle w:val="default"/>
          <w:rFonts w:cs="FrankRuehl" w:hint="cs"/>
          <w:rtl/>
        </w:rPr>
        <w:tab/>
        <w:t xml:space="preserve">"ריבית צמודה" </w:t>
      </w:r>
      <w:r>
        <w:rPr>
          <w:rStyle w:val="default"/>
          <w:rFonts w:cs="FrankRuehl"/>
          <w:rtl/>
        </w:rPr>
        <w:t>–</w:t>
      </w:r>
      <w:r>
        <w:rPr>
          <w:rStyle w:val="default"/>
          <w:rFonts w:cs="FrankRuehl" w:hint="cs"/>
          <w:rtl/>
        </w:rPr>
        <w:t xml:space="preserve"> כהגדרתה בחוק פסיקת ריבית והצמדה;</w:t>
      </w:r>
    </w:p>
    <w:p w:rsidR="004C08AC" w:rsidRDefault="004C08AC" w:rsidP="00103217">
      <w:pPr>
        <w:pStyle w:val="P00"/>
        <w:spacing w:before="72"/>
        <w:ind w:left="0" w:right="1134"/>
        <w:rPr>
          <w:rStyle w:val="default"/>
          <w:rFonts w:cs="FrankRuehl" w:hint="cs"/>
          <w:rtl/>
        </w:rPr>
      </w:pPr>
      <w:r>
        <w:rPr>
          <w:rStyle w:val="default"/>
          <w:rFonts w:cs="FrankRuehl" w:hint="cs"/>
          <w:rtl/>
        </w:rPr>
        <w:tab/>
        <w:t xml:space="preserve">"תקנות פסיקת ריבית והצדמה" </w:t>
      </w:r>
      <w:r>
        <w:rPr>
          <w:rStyle w:val="default"/>
          <w:rFonts w:cs="FrankRuehl"/>
          <w:rtl/>
        </w:rPr>
        <w:t>–</w:t>
      </w:r>
      <w:r>
        <w:rPr>
          <w:rStyle w:val="default"/>
          <w:rFonts w:cs="FrankRuehl" w:hint="cs"/>
          <w:rtl/>
        </w:rPr>
        <w:t xml:space="preserve"> תקנות פסיקת ריבית והצמדה (קביעת שיעור הריבית ודרך חישובה), התשס"ג-2003;</w:t>
      </w:r>
    </w:p>
    <w:p w:rsidR="004C08AC" w:rsidRDefault="004C08AC" w:rsidP="00103217">
      <w:pPr>
        <w:pStyle w:val="P00"/>
        <w:spacing w:before="72"/>
        <w:ind w:left="0" w:right="1134"/>
        <w:rPr>
          <w:rStyle w:val="default"/>
          <w:rFonts w:cs="FrankRuehl" w:hint="cs"/>
          <w:rtl/>
        </w:rPr>
      </w:pPr>
      <w:r>
        <w:rPr>
          <w:rStyle w:val="default"/>
          <w:rFonts w:cs="FrankRuehl" w:hint="cs"/>
          <w:rtl/>
        </w:rPr>
        <w:tab/>
        <w:t xml:space="preserve">"תשואה רעיונית" </w:t>
      </w:r>
      <w:r>
        <w:rPr>
          <w:rStyle w:val="default"/>
          <w:rFonts w:cs="FrankRuehl"/>
          <w:rtl/>
        </w:rPr>
        <w:t>–</w:t>
      </w:r>
    </w:p>
    <w:p w:rsidR="004C08AC" w:rsidRDefault="004C08AC" w:rsidP="004C08A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גוף פטור מניהול כספים בקופת גמל </w:t>
      </w:r>
      <w:r>
        <w:rPr>
          <w:rStyle w:val="default"/>
          <w:rFonts w:cs="FrankRuehl"/>
          <w:rtl/>
        </w:rPr>
        <w:t>–</w:t>
      </w:r>
      <w:r>
        <w:rPr>
          <w:rStyle w:val="default"/>
          <w:rFonts w:cs="FrankRuehl" w:hint="cs"/>
          <w:rtl/>
        </w:rPr>
        <w:t xml:space="preserve"> הפרשי הצמדה בצירוף ריבית צמודה;</w:t>
      </w:r>
    </w:p>
    <w:p w:rsidR="004C08AC" w:rsidRDefault="004C08AC" w:rsidP="004C08A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גוף שאינו גוף פטור מניהול כספים בקופת גמל </w:t>
      </w:r>
      <w:r>
        <w:rPr>
          <w:rStyle w:val="default"/>
          <w:rFonts w:cs="FrankRuehl"/>
          <w:rtl/>
        </w:rPr>
        <w:t>–</w:t>
      </w:r>
    </w:p>
    <w:p w:rsidR="004C08AC" w:rsidRDefault="004C08AC" w:rsidP="004C08A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בשל התקופה שבה נוהלו התשלומים להשתתפות בפנסיה תקציבית בקופה לניהול </w:t>
      </w:r>
      <w:r>
        <w:rPr>
          <w:rStyle w:val="default"/>
          <w:rFonts w:cs="FrankRuehl"/>
          <w:rtl/>
        </w:rPr>
        <w:t>–</w:t>
      </w:r>
      <w:r>
        <w:rPr>
          <w:rStyle w:val="default"/>
          <w:rFonts w:cs="FrankRuehl" w:hint="cs"/>
          <w:rtl/>
        </w:rPr>
        <w:t xml:space="preserve"> הרווחים וההפסדים שזקפה הקופה לניהול על התשלומים בשל התקופה האמורה לאחר ניכוי דמי ניהול;</w:t>
      </w:r>
    </w:p>
    <w:p w:rsidR="004C08AC" w:rsidRDefault="004C08AC" w:rsidP="004C08A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בשל תשלומים להשתתפות בפנסיה תקציבית בעבור התקופה שקדמה לחודש ינואר 2008 ושלא מנוהלים בקופה לניהול </w:t>
      </w:r>
      <w:r>
        <w:rPr>
          <w:rStyle w:val="default"/>
          <w:rFonts w:cs="FrankRuehl"/>
          <w:rtl/>
        </w:rPr>
        <w:t>–</w:t>
      </w:r>
      <w:r>
        <w:rPr>
          <w:rStyle w:val="default"/>
          <w:rFonts w:cs="FrankRuehl" w:hint="cs"/>
          <w:rtl/>
        </w:rPr>
        <w:t xml:space="preserve"> הפרשי הצמדה בצירוף ריבית צמודה;</w:t>
      </w:r>
    </w:p>
    <w:p w:rsidR="004C08AC" w:rsidRDefault="004C08AC" w:rsidP="004C08AC">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בשל תשלומים להשתתפות בפנסיה תקציבית בעבור חודש ינואר 2008 ואילך ושלא מנוהלים בקופה לניהול </w:t>
      </w:r>
      <w:r>
        <w:rPr>
          <w:rStyle w:val="default"/>
          <w:rFonts w:cs="FrankRuehl"/>
          <w:rtl/>
        </w:rPr>
        <w:t>–</w:t>
      </w:r>
    </w:p>
    <w:p w:rsidR="004C08AC" w:rsidRDefault="004C08AC" w:rsidP="004C08AC">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בשל התקופה שקדמה למועד התחילה </w:t>
      </w:r>
      <w:r>
        <w:rPr>
          <w:rStyle w:val="default"/>
          <w:rFonts w:cs="FrankRuehl"/>
          <w:rtl/>
        </w:rPr>
        <w:t>–</w:t>
      </w:r>
      <w:r>
        <w:rPr>
          <w:rStyle w:val="default"/>
          <w:rFonts w:cs="FrankRuehl" w:hint="cs"/>
          <w:rtl/>
        </w:rPr>
        <w:t xml:space="preserve"> הפרשי הצמדה בצירוף ריבית צמודה;</w:t>
      </w:r>
    </w:p>
    <w:p w:rsidR="004C08AC" w:rsidRDefault="004C08AC" w:rsidP="004C08AC">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בשל התקופה החל ממועד התחילה ואילך </w:t>
      </w:r>
      <w:r>
        <w:rPr>
          <w:rStyle w:val="default"/>
          <w:rFonts w:cs="FrankRuehl"/>
          <w:rtl/>
        </w:rPr>
        <w:t>–</w:t>
      </w:r>
      <w:r>
        <w:rPr>
          <w:rStyle w:val="default"/>
          <w:rFonts w:cs="FrankRuehl" w:hint="cs"/>
          <w:rtl/>
        </w:rPr>
        <w:t xml:space="preserve"> ריבית פיגורים, כמשמעותה בסעיף 5(ב) לחוק פסיקת ריבית והצמדה;</w:t>
      </w:r>
    </w:p>
    <w:p w:rsidR="004C08AC" w:rsidRDefault="004C08AC" w:rsidP="004C08AC">
      <w:pPr>
        <w:pStyle w:val="P00"/>
        <w:spacing w:before="72"/>
        <w:ind w:left="0" w:right="1134"/>
        <w:rPr>
          <w:rStyle w:val="default"/>
          <w:rFonts w:cs="FrankRuehl" w:hint="cs"/>
          <w:rtl/>
        </w:rPr>
      </w:pPr>
      <w:r>
        <w:rPr>
          <w:rStyle w:val="default"/>
          <w:rFonts w:cs="FrankRuehl" w:hint="cs"/>
          <w:rtl/>
        </w:rPr>
        <w:tab/>
        <w:t xml:space="preserve">"תשלום להשתתפות בפנסיה תקציבית" </w:t>
      </w:r>
      <w:r>
        <w:rPr>
          <w:rStyle w:val="default"/>
          <w:rFonts w:cs="FrankRuehl"/>
          <w:rtl/>
        </w:rPr>
        <w:t>–</w:t>
      </w:r>
      <w:r>
        <w:rPr>
          <w:rStyle w:val="default"/>
          <w:rFonts w:cs="FrankRuehl" w:hint="cs"/>
          <w:rtl/>
        </w:rPr>
        <w:t xml:space="preserve"> סכום שנוכה ממשכורתו של עובד או נושא משרה, לפי העניין, לפי סעיף 89 או 90 לחוק.</w:t>
      </w:r>
    </w:p>
    <w:p w:rsidR="00103217" w:rsidRDefault="00103217" w:rsidP="00103217">
      <w:pPr>
        <w:pStyle w:val="P00"/>
        <w:spacing w:before="72"/>
        <w:ind w:left="0" w:right="1134"/>
        <w:rPr>
          <w:rStyle w:val="default"/>
          <w:rFonts w:cs="FrankRuehl" w:hint="cs"/>
          <w:rtl/>
        </w:rPr>
      </w:pPr>
      <w:bookmarkStart w:id="1" w:name="Seif2"/>
      <w:bookmarkEnd w:id="1"/>
      <w:r>
        <w:rPr>
          <w:lang w:val="he-IL"/>
        </w:rPr>
        <w:pict>
          <v:rect id="_x0000_s1146" style="position:absolute;left:0;text-align:left;margin-left:464.5pt;margin-top:8.05pt;width:75.05pt;height:9.15pt;z-index:251657728" o:allowincell="f" filled="f" stroked="f" strokecolor="lime" strokeweight=".25pt">
            <v:textbox style="mso-next-textbox:#_x0000_s1146" inset="0,0,0,0">
              <w:txbxContent>
                <w:p w:rsidR="00103217" w:rsidRDefault="004C08AC" w:rsidP="00103217">
                  <w:pPr>
                    <w:spacing w:line="160" w:lineRule="exact"/>
                    <w:jc w:val="left"/>
                    <w:rPr>
                      <w:rFonts w:cs="Miriam" w:hint="cs"/>
                      <w:noProof/>
                      <w:szCs w:val="18"/>
                      <w:rtl/>
                    </w:rPr>
                  </w:pPr>
                  <w:r>
                    <w:rPr>
                      <w:rFonts w:cs="Miriam" w:hint="cs"/>
                      <w:szCs w:val="18"/>
                      <w:rtl/>
                    </w:rPr>
                    <w:t>החזר תשלומים</w:t>
                  </w:r>
                </w:p>
              </w:txbxContent>
            </v:textbox>
            <w10:anchorlock/>
          </v:rect>
        </w:pict>
      </w:r>
      <w:r w:rsidR="004C08AC">
        <w:rPr>
          <w:rStyle w:val="big-number"/>
          <w:rFonts w:hint="cs"/>
          <w:rtl/>
        </w:rPr>
        <w:t>2</w:t>
      </w:r>
      <w:r>
        <w:rPr>
          <w:rStyle w:val="big-number"/>
          <w:rtl/>
        </w:rPr>
        <w:t>.</w:t>
      </w:r>
      <w:r>
        <w:rPr>
          <w:rStyle w:val="big-number"/>
          <w:rtl/>
        </w:rPr>
        <w:tab/>
      </w:r>
      <w:r>
        <w:rPr>
          <w:rStyle w:val="default"/>
          <w:rFonts w:cs="FrankRuehl" w:hint="cs"/>
          <w:rtl/>
        </w:rPr>
        <w:t xml:space="preserve">על </w:t>
      </w:r>
      <w:r w:rsidR="004C08AC">
        <w:rPr>
          <w:rStyle w:val="default"/>
          <w:rFonts w:cs="FrankRuehl" w:hint="cs"/>
          <w:rtl/>
        </w:rPr>
        <w:t>סכום התשלומים להשתתפות בפנסיה תקציבית שיוחזר לזכאי להחזר תיווסף או תופחת, לפי העניין, תשואה רעיונית בעבור התקופה שבין המועד שבו נוכו התשלומים להשתתפות בפנסיה תקציבית לבין המועד שבו יוחזרו התשלומים בפועל.</w:t>
      </w:r>
    </w:p>
    <w:p w:rsidR="00103217" w:rsidRDefault="00103217" w:rsidP="00103217">
      <w:pPr>
        <w:pStyle w:val="P00"/>
        <w:spacing w:before="72"/>
        <w:ind w:left="0" w:right="1134"/>
        <w:rPr>
          <w:rStyle w:val="default"/>
          <w:rFonts w:cs="FrankRuehl" w:hint="cs"/>
          <w:rtl/>
        </w:rPr>
      </w:pPr>
      <w:bookmarkStart w:id="2" w:name="Seif3"/>
      <w:bookmarkEnd w:id="2"/>
      <w:r>
        <w:rPr>
          <w:lang w:val="he-IL"/>
        </w:rPr>
        <w:lastRenderedPageBreak/>
        <w:pict>
          <v:rect id="_x0000_s1147" style="position:absolute;left:0;text-align:left;margin-left:464.5pt;margin-top:8.05pt;width:75.05pt;height:11.65pt;z-index:251658752" o:allowincell="f" filled="f" stroked="f" strokecolor="lime" strokeweight=".25pt">
            <v:textbox style="mso-next-textbox:#_x0000_s1147" inset="0,0,0,0">
              <w:txbxContent>
                <w:p w:rsidR="00103217" w:rsidRDefault="004C08AC" w:rsidP="00103217">
                  <w:pPr>
                    <w:spacing w:line="160" w:lineRule="exact"/>
                    <w:jc w:val="left"/>
                    <w:rPr>
                      <w:rFonts w:cs="Miriam" w:hint="cs"/>
                      <w:noProof/>
                      <w:szCs w:val="18"/>
                      <w:rtl/>
                    </w:rPr>
                  </w:pPr>
                  <w:r>
                    <w:rPr>
                      <w:rFonts w:cs="Miriam" w:hint="cs"/>
                      <w:szCs w:val="18"/>
                      <w:rtl/>
                    </w:rPr>
                    <w:t>תחילה</w:t>
                  </w:r>
                </w:p>
              </w:txbxContent>
            </v:textbox>
            <w10:anchorlock/>
          </v:rect>
        </w:pict>
      </w:r>
      <w:r w:rsidR="004C08AC">
        <w:rPr>
          <w:rStyle w:val="big-number"/>
          <w:rFonts w:hint="cs"/>
          <w:rtl/>
        </w:rPr>
        <w:t>3</w:t>
      </w:r>
      <w:r>
        <w:rPr>
          <w:rStyle w:val="big-number"/>
          <w:rtl/>
        </w:rPr>
        <w:t>.</w:t>
      </w:r>
      <w:r>
        <w:rPr>
          <w:rStyle w:val="big-number"/>
          <w:rtl/>
        </w:rPr>
        <w:tab/>
      </w:r>
      <w:r w:rsidR="004C08AC">
        <w:rPr>
          <w:rStyle w:val="default"/>
          <w:rFonts w:cs="FrankRuehl" w:hint="cs"/>
          <w:rtl/>
        </w:rPr>
        <w:t xml:space="preserve">תחילתן של תקנות אלה בתוך 30 ימים מיום פרסומן (בתקנות אלה </w:t>
      </w:r>
      <w:r w:rsidR="004C08AC">
        <w:rPr>
          <w:rStyle w:val="default"/>
          <w:rFonts w:cs="FrankRuehl"/>
          <w:rtl/>
        </w:rPr>
        <w:t>–</w:t>
      </w:r>
      <w:r w:rsidR="004C08AC">
        <w:rPr>
          <w:rStyle w:val="default"/>
          <w:rFonts w:cs="FrankRuehl" w:hint="cs"/>
          <w:rtl/>
        </w:rPr>
        <w:t xml:space="preserve"> מועד התחילה).</w:t>
      </w:r>
    </w:p>
    <w:p w:rsidR="002C05DD" w:rsidRDefault="002C05DD" w:rsidP="00011DCA">
      <w:pPr>
        <w:pStyle w:val="P00"/>
        <w:spacing w:before="72"/>
        <w:ind w:left="0" w:right="1134"/>
        <w:rPr>
          <w:rStyle w:val="default"/>
          <w:rFonts w:cs="FrankRuehl" w:hint="cs"/>
          <w:rtl/>
        </w:rPr>
      </w:pPr>
    </w:p>
    <w:p w:rsidR="002D24EB" w:rsidRDefault="002D24EB">
      <w:pPr>
        <w:pStyle w:val="P00"/>
        <w:spacing w:before="72"/>
        <w:ind w:left="0" w:right="1134"/>
        <w:rPr>
          <w:rStyle w:val="default"/>
          <w:rFonts w:cs="FrankRuehl" w:hint="cs"/>
          <w:rtl/>
        </w:rPr>
      </w:pPr>
    </w:p>
    <w:p w:rsidR="0096354A" w:rsidRDefault="004C08AC" w:rsidP="004C08AC">
      <w:pPr>
        <w:pStyle w:val="sig-1"/>
        <w:tabs>
          <w:tab w:val="clear" w:pos="851"/>
          <w:tab w:val="clear" w:pos="2835"/>
          <w:tab w:val="clear" w:pos="4820"/>
          <w:tab w:val="center" w:pos="5103"/>
        </w:tabs>
        <w:spacing w:before="72"/>
        <w:ind w:left="0" w:right="1134"/>
        <w:rPr>
          <w:rStyle w:val="default"/>
          <w:rFonts w:cs="FrankRuehl" w:hint="cs"/>
          <w:rtl/>
        </w:rPr>
      </w:pPr>
      <w:r>
        <w:rPr>
          <w:rStyle w:val="default"/>
          <w:rFonts w:cs="FrankRuehl" w:hint="cs"/>
          <w:rtl/>
        </w:rPr>
        <w:t>א'</w:t>
      </w:r>
      <w:r w:rsidR="00485966">
        <w:rPr>
          <w:rStyle w:val="default"/>
          <w:rFonts w:cs="FrankRuehl" w:hint="cs"/>
          <w:rtl/>
        </w:rPr>
        <w:t xml:space="preserve"> באדר</w:t>
      </w:r>
      <w:r w:rsidR="007A0A8E">
        <w:rPr>
          <w:rStyle w:val="default"/>
          <w:rFonts w:cs="FrankRuehl" w:hint="cs"/>
          <w:rtl/>
        </w:rPr>
        <w:t xml:space="preserve"> התשס"ט (</w:t>
      </w:r>
      <w:r>
        <w:rPr>
          <w:rStyle w:val="default"/>
          <w:rFonts w:cs="FrankRuehl" w:hint="cs"/>
          <w:rtl/>
        </w:rPr>
        <w:t>25 בפברואר</w:t>
      </w:r>
      <w:r w:rsidR="007A0A8E">
        <w:rPr>
          <w:rStyle w:val="default"/>
          <w:rFonts w:cs="FrankRuehl" w:hint="cs"/>
          <w:rtl/>
        </w:rPr>
        <w:t xml:space="preserve"> 2009)</w:t>
      </w:r>
      <w:r w:rsidR="00734BAC">
        <w:rPr>
          <w:rStyle w:val="default"/>
          <w:rFonts w:cs="FrankRuehl" w:hint="cs"/>
          <w:rtl/>
        </w:rPr>
        <w:tab/>
      </w:r>
      <w:r w:rsidR="004D7E3A">
        <w:rPr>
          <w:rStyle w:val="default"/>
          <w:rFonts w:cs="FrankRuehl" w:hint="cs"/>
          <w:rtl/>
        </w:rPr>
        <w:t>רוני בר-און</w:t>
      </w:r>
    </w:p>
    <w:p w:rsidR="007A0A8E" w:rsidRPr="000C3A42" w:rsidRDefault="007A0A8E" w:rsidP="004C08AC">
      <w:pPr>
        <w:pStyle w:val="sig-1"/>
        <w:tabs>
          <w:tab w:val="clear" w:pos="851"/>
          <w:tab w:val="clear" w:pos="2835"/>
          <w:tab w:val="clear" w:pos="4820"/>
          <w:tab w:val="center" w:pos="5103"/>
        </w:tabs>
        <w:ind w:left="0" w:right="1134"/>
        <w:rPr>
          <w:rStyle w:val="default"/>
          <w:rFonts w:cs="FrankRuehl" w:hint="cs"/>
          <w:sz w:val="22"/>
          <w:szCs w:val="22"/>
          <w:rtl/>
        </w:rPr>
      </w:pPr>
      <w:r w:rsidRPr="000C3A42">
        <w:rPr>
          <w:rStyle w:val="default"/>
          <w:rFonts w:cs="FrankRuehl" w:hint="cs"/>
          <w:sz w:val="22"/>
          <w:szCs w:val="22"/>
          <w:rtl/>
        </w:rPr>
        <w:tab/>
      </w:r>
      <w:r w:rsidR="004D7E3A">
        <w:rPr>
          <w:rStyle w:val="default"/>
          <w:rFonts w:cs="FrankRuehl" w:hint="cs"/>
          <w:sz w:val="22"/>
          <w:szCs w:val="22"/>
          <w:rtl/>
        </w:rPr>
        <w:t>שר האוצר</w:t>
      </w:r>
    </w:p>
    <w:p w:rsidR="00103217" w:rsidRDefault="00103217">
      <w:pPr>
        <w:pStyle w:val="P00"/>
        <w:spacing w:before="72"/>
        <w:ind w:left="0" w:right="1134"/>
        <w:rPr>
          <w:rStyle w:val="default"/>
          <w:rFonts w:cs="FrankRuehl" w:hint="cs"/>
          <w:rtl/>
        </w:rPr>
      </w:pPr>
    </w:p>
    <w:p w:rsidR="002D24EB" w:rsidRDefault="002D24EB">
      <w:pPr>
        <w:pStyle w:val="P00"/>
        <w:spacing w:before="72"/>
        <w:ind w:left="0" w:right="1134"/>
        <w:rPr>
          <w:rStyle w:val="default"/>
          <w:rFonts w:cs="FrankRuehl" w:hint="cs"/>
          <w:rtl/>
        </w:rPr>
      </w:pPr>
    </w:p>
    <w:p w:rsidR="002D24EB" w:rsidRDefault="002D24EB">
      <w:pPr>
        <w:pStyle w:val="P00"/>
        <w:spacing w:before="72"/>
        <w:ind w:left="0" w:right="1134"/>
        <w:rPr>
          <w:rStyle w:val="default"/>
          <w:rFonts w:cs="FrankRuehl" w:hint="cs"/>
          <w:rtl/>
        </w:rPr>
      </w:pPr>
    </w:p>
    <w:sectPr w:rsidR="002D24EB">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5A95" w:rsidRPr="00482E6A" w:rsidRDefault="00665A95">
      <w:pPr>
        <w:rPr>
          <w:rFonts w:cs="Times New Roman"/>
        </w:rPr>
      </w:pPr>
      <w:r>
        <w:separator/>
      </w:r>
    </w:p>
  </w:endnote>
  <w:endnote w:type="continuationSeparator" w:id="0">
    <w:p w:rsidR="00665A95" w:rsidRPr="00482E6A" w:rsidRDefault="00665A95">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3F4E" w:rsidRDefault="00613F4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13F4E" w:rsidRDefault="00613F4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rsidR="00613F4E" w:rsidRDefault="00613F4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64E70">
      <w:rPr>
        <w:rFonts w:cs="TopType Jerushalmi"/>
        <w:noProof/>
        <w:color w:val="000000"/>
        <w:sz w:val="14"/>
        <w:szCs w:val="14"/>
      </w:rPr>
      <w:t>Z:\000000000000-law\yael\09-03-25\tav\500_140.doc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3F4E" w:rsidRDefault="00613F4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F1010">
      <w:rPr>
        <w:rFonts w:hAnsi="FrankRuehl" w:cs="FrankRuehl"/>
        <w:noProof/>
        <w:sz w:val="24"/>
        <w:szCs w:val="24"/>
        <w:rtl/>
      </w:rPr>
      <w:t>1</w:t>
    </w:r>
    <w:r>
      <w:rPr>
        <w:rFonts w:hAnsi="FrankRuehl" w:cs="FrankRuehl"/>
        <w:sz w:val="24"/>
        <w:szCs w:val="24"/>
        <w:rtl/>
      </w:rPr>
      <w:fldChar w:fldCharType="end"/>
    </w:r>
  </w:p>
  <w:p w:rsidR="00613F4E" w:rsidRDefault="00613F4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rsidR="00613F4E" w:rsidRDefault="00613F4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64E70">
      <w:rPr>
        <w:rFonts w:cs="TopType Jerushalmi"/>
        <w:noProof/>
        <w:color w:val="000000"/>
        <w:sz w:val="14"/>
        <w:szCs w:val="14"/>
      </w:rPr>
      <w:t>Z:\000000000000-law\yael\09-03-25\tav\500_140.doc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5A95" w:rsidRDefault="00665A95">
      <w:pPr>
        <w:spacing w:before="60" w:line="240" w:lineRule="auto"/>
        <w:ind w:right="1134"/>
      </w:pPr>
      <w:r>
        <w:separator/>
      </w:r>
    </w:p>
  </w:footnote>
  <w:footnote w:type="continuationSeparator" w:id="0">
    <w:p w:rsidR="00665A95" w:rsidRPr="00482E6A" w:rsidRDefault="00665A95">
      <w:pPr>
        <w:rPr>
          <w:rFonts w:cs="Times New Roman"/>
        </w:rPr>
      </w:pPr>
      <w:r>
        <w:continuationSeparator/>
      </w:r>
    </w:p>
  </w:footnote>
  <w:footnote w:id="1">
    <w:p w:rsidR="0079477D" w:rsidRDefault="00613F4E" w:rsidP="0079477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w:t>
      </w:r>
      <w:r w:rsidR="002918D0">
        <w:rPr>
          <w:rFonts w:hint="cs"/>
          <w:sz w:val="20"/>
          <w:rtl/>
        </w:rPr>
        <w:t>מו</w:t>
      </w:r>
      <w:r>
        <w:rPr>
          <w:rFonts w:hint="cs"/>
          <w:sz w:val="20"/>
          <w:rtl/>
        </w:rPr>
        <w:t xml:space="preserve"> </w:t>
      </w:r>
      <w:hyperlink r:id="rId1" w:history="1">
        <w:r w:rsidRPr="0079477D">
          <w:rPr>
            <w:rStyle w:val="Hyperlink"/>
            <w:rFonts w:hint="cs"/>
            <w:sz w:val="20"/>
            <w:rtl/>
          </w:rPr>
          <w:t>ק"ת תשס"ט מס' 676</w:t>
        </w:r>
        <w:r w:rsidR="00103217" w:rsidRPr="0079477D">
          <w:rPr>
            <w:rStyle w:val="Hyperlink"/>
            <w:rFonts w:hint="cs"/>
            <w:sz w:val="20"/>
            <w:rtl/>
          </w:rPr>
          <w:t>7</w:t>
        </w:r>
      </w:hyperlink>
      <w:r>
        <w:rPr>
          <w:rFonts w:hint="cs"/>
          <w:sz w:val="20"/>
          <w:rtl/>
        </w:rPr>
        <w:t xml:space="preserve"> מיום </w:t>
      </w:r>
      <w:r w:rsidR="00103217">
        <w:rPr>
          <w:rFonts w:hint="cs"/>
          <w:sz w:val="20"/>
          <w:rtl/>
        </w:rPr>
        <w:t>23</w:t>
      </w:r>
      <w:r>
        <w:rPr>
          <w:rFonts w:hint="cs"/>
          <w:sz w:val="20"/>
          <w:rtl/>
        </w:rPr>
        <w:t xml:space="preserve">.3.2009 עמ' </w:t>
      </w:r>
      <w:r w:rsidR="00103217">
        <w:rPr>
          <w:rFonts w:hint="cs"/>
          <w:sz w:val="20"/>
          <w:rtl/>
        </w:rPr>
        <w:t>662</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3F4E" w:rsidRDefault="00613F4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rsidR="00613F4E" w:rsidRDefault="00613F4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13F4E" w:rsidRDefault="00613F4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3F4E" w:rsidRDefault="00103217" w:rsidP="006A3AF3">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התכנית להבראת כלכלת ישראל (תיקוני חקיקה להשגת יעדי התקציב והמדיניות הכלכלית לשנות הכספים 2003 ו-2004) (כללים להחזר תשלומים</w:t>
    </w:r>
    <w:r w:rsidR="004D7E3A">
      <w:rPr>
        <w:rFonts w:hAnsi="FrankRuehl" w:cs="FrankRuehl" w:hint="cs"/>
        <w:color w:val="000000"/>
        <w:sz w:val="28"/>
        <w:szCs w:val="28"/>
        <w:rtl/>
      </w:rPr>
      <w:t>)</w:t>
    </w:r>
    <w:r w:rsidR="00613F4E">
      <w:rPr>
        <w:rFonts w:hAnsi="FrankRuehl" w:cs="FrankRuehl"/>
        <w:color w:val="000000"/>
        <w:sz w:val="28"/>
        <w:szCs w:val="28"/>
        <w:rtl/>
      </w:rPr>
      <w:t>, תשס"</w:t>
    </w:r>
    <w:r w:rsidR="00613F4E">
      <w:rPr>
        <w:rFonts w:hAnsi="FrankRuehl" w:cs="FrankRuehl" w:hint="cs"/>
        <w:color w:val="000000"/>
        <w:sz w:val="28"/>
        <w:szCs w:val="28"/>
        <w:rtl/>
      </w:rPr>
      <w:t>ט-</w:t>
    </w:r>
    <w:r w:rsidR="00613F4E">
      <w:rPr>
        <w:rFonts w:hAnsi="FrankRuehl" w:cs="FrankRuehl"/>
        <w:color w:val="000000"/>
        <w:sz w:val="28"/>
        <w:szCs w:val="28"/>
        <w:rtl/>
      </w:rPr>
      <w:t>200</w:t>
    </w:r>
    <w:r w:rsidR="00613F4E">
      <w:rPr>
        <w:rFonts w:hAnsi="FrankRuehl" w:cs="FrankRuehl" w:hint="cs"/>
        <w:color w:val="000000"/>
        <w:sz w:val="28"/>
        <w:szCs w:val="28"/>
        <w:rtl/>
      </w:rPr>
      <w:t>9</w:t>
    </w:r>
  </w:p>
  <w:p w:rsidR="00613F4E" w:rsidRDefault="00613F4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13F4E" w:rsidRDefault="00613F4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6533"/>
    <w:rsid w:val="00011DCA"/>
    <w:rsid w:val="0003532B"/>
    <w:rsid w:val="000513F4"/>
    <w:rsid w:val="000526A7"/>
    <w:rsid w:val="00083748"/>
    <w:rsid w:val="00087646"/>
    <w:rsid w:val="00095C17"/>
    <w:rsid w:val="000971CC"/>
    <w:rsid w:val="00097E35"/>
    <w:rsid w:val="000C3A42"/>
    <w:rsid w:val="000C585E"/>
    <w:rsid w:val="000E418A"/>
    <w:rsid w:val="000F7373"/>
    <w:rsid w:val="00103217"/>
    <w:rsid w:val="00125E31"/>
    <w:rsid w:val="00134F3B"/>
    <w:rsid w:val="00151206"/>
    <w:rsid w:val="00163BFB"/>
    <w:rsid w:val="0017375A"/>
    <w:rsid w:val="00175981"/>
    <w:rsid w:val="0018711F"/>
    <w:rsid w:val="001932C1"/>
    <w:rsid w:val="00195F3C"/>
    <w:rsid w:val="001C3A2C"/>
    <w:rsid w:val="001C58E2"/>
    <w:rsid w:val="001D7632"/>
    <w:rsid w:val="001E282C"/>
    <w:rsid w:val="001E5271"/>
    <w:rsid w:val="001E7813"/>
    <w:rsid w:val="0020507C"/>
    <w:rsid w:val="0022453F"/>
    <w:rsid w:val="00251A02"/>
    <w:rsid w:val="00272BE6"/>
    <w:rsid w:val="00282B6A"/>
    <w:rsid w:val="002918D0"/>
    <w:rsid w:val="002A363F"/>
    <w:rsid w:val="002B099A"/>
    <w:rsid w:val="002B4EFD"/>
    <w:rsid w:val="002C05DD"/>
    <w:rsid w:val="002D24EB"/>
    <w:rsid w:val="002D2D43"/>
    <w:rsid w:val="003002A4"/>
    <w:rsid w:val="003009FA"/>
    <w:rsid w:val="00304766"/>
    <w:rsid w:val="00307B5D"/>
    <w:rsid w:val="00320AC4"/>
    <w:rsid w:val="00343405"/>
    <w:rsid w:val="00343D08"/>
    <w:rsid w:val="00351F60"/>
    <w:rsid w:val="003522DE"/>
    <w:rsid w:val="0037126D"/>
    <w:rsid w:val="003829EE"/>
    <w:rsid w:val="00382E1F"/>
    <w:rsid w:val="003961C0"/>
    <w:rsid w:val="003965DB"/>
    <w:rsid w:val="003A0A0C"/>
    <w:rsid w:val="003D4215"/>
    <w:rsid w:val="003D7E33"/>
    <w:rsid w:val="003E2224"/>
    <w:rsid w:val="004073A6"/>
    <w:rsid w:val="00412B0D"/>
    <w:rsid w:val="00414EF6"/>
    <w:rsid w:val="004201F5"/>
    <w:rsid w:val="0042349C"/>
    <w:rsid w:val="00431286"/>
    <w:rsid w:val="00485966"/>
    <w:rsid w:val="004937BC"/>
    <w:rsid w:val="004B1D62"/>
    <w:rsid w:val="004B7B60"/>
    <w:rsid w:val="004C08AC"/>
    <w:rsid w:val="004D7E3A"/>
    <w:rsid w:val="004F013D"/>
    <w:rsid w:val="004F01ED"/>
    <w:rsid w:val="004F49A9"/>
    <w:rsid w:val="005045F5"/>
    <w:rsid w:val="00515762"/>
    <w:rsid w:val="00520EE3"/>
    <w:rsid w:val="00520FC2"/>
    <w:rsid w:val="0052426A"/>
    <w:rsid w:val="005270E2"/>
    <w:rsid w:val="00535DB5"/>
    <w:rsid w:val="00550632"/>
    <w:rsid w:val="005619B4"/>
    <w:rsid w:val="00570890"/>
    <w:rsid w:val="0058196C"/>
    <w:rsid w:val="00597B50"/>
    <w:rsid w:val="005A769C"/>
    <w:rsid w:val="005B5EE5"/>
    <w:rsid w:val="005D08B8"/>
    <w:rsid w:val="005D108B"/>
    <w:rsid w:val="005D4B8F"/>
    <w:rsid w:val="005E517D"/>
    <w:rsid w:val="005F104F"/>
    <w:rsid w:val="00613F4E"/>
    <w:rsid w:val="0062185C"/>
    <w:rsid w:val="006361CE"/>
    <w:rsid w:val="006428AC"/>
    <w:rsid w:val="00665A95"/>
    <w:rsid w:val="006878D7"/>
    <w:rsid w:val="00692682"/>
    <w:rsid w:val="006964DE"/>
    <w:rsid w:val="006A3AF3"/>
    <w:rsid w:val="006A4D26"/>
    <w:rsid w:val="006C548D"/>
    <w:rsid w:val="006D4A30"/>
    <w:rsid w:val="006D6824"/>
    <w:rsid w:val="006D7502"/>
    <w:rsid w:val="006E0632"/>
    <w:rsid w:val="006E0F69"/>
    <w:rsid w:val="006E70D4"/>
    <w:rsid w:val="006F0BCD"/>
    <w:rsid w:val="006F1010"/>
    <w:rsid w:val="00703A32"/>
    <w:rsid w:val="007068A9"/>
    <w:rsid w:val="00720365"/>
    <w:rsid w:val="00734BAC"/>
    <w:rsid w:val="0077742C"/>
    <w:rsid w:val="007873B0"/>
    <w:rsid w:val="0079477D"/>
    <w:rsid w:val="007A0A8E"/>
    <w:rsid w:val="007C7755"/>
    <w:rsid w:val="007E2D65"/>
    <w:rsid w:val="008174FC"/>
    <w:rsid w:val="00856456"/>
    <w:rsid w:val="00864571"/>
    <w:rsid w:val="0086705B"/>
    <w:rsid w:val="00871E36"/>
    <w:rsid w:val="00877417"/>
    <w:rsid w:val="008813A2"/>
    <w:rsid w:val="008A3CF3"/>
    <w:rsid w:val="008B7E17"/>
    <w:rsid w:val="008C58ED"/>
    <w:rsid w:val="008D06D9"/>
    <w:rsid w:val="008D1DAF"/>
    <w:rsid w:val="008F70AF"/>
    <w:rsid w:val="00926781"/>
    <w:rsid w:val="00926BAA"/>
    <w:rsid w:val="00931E1D"/>
    <w:rsid w:val="00944CA8"/>
    <w:rsid w:val="00950981"/>
    <w:rsid w:val="0096354A"/>
    <w:rsid w:val="00964969"/>
    <w:rsid w:val="00964E70"/>
    <w:rsid w:val="00965CCC"/>
    <w:rsid w:val="00967A81"/>
    <w:rsid w:val="00982512"/>
    <w:rsid w:val="009E514D"/>
    <w:rsid w:val="00A032D5"/>
    <w:rsid w:val="00A05B9A"/>
    <w:rsid w:val="00A11D1A"/>
    <w:rsid w:val="00A20561"/>
    <w:rsid w:val="00A265D4"/>
    <w:rsid w:val="00A3622A"/>
    <w:rsid w:val="00A43FDF"/>
    <w:rsid w:val="00A64F6F"/>
    <w:rsid w:val="00A80408"/>
    <w:rsid w:val="00A923A7"/>
    <w:rsid w:val="00AC6D97"/>
    <w:rsid w:val="00AD5F27"/>
    <w:rsid w:val="00AD73EB"/>
    <w:rsid w:val="00AF4799"/>
    <w:rsid w:val="00B05982"/>
    <w:rsid w:val="00B178FD"/>
    <w:rsid w:val="00B470A4"/>
    <w:rsid w:val="00B60E50"/>
    <w:rsid w:val="00B768A5"/>
    <w:rsid w:val="00BA0A58"/>
    <w:rsid w:val="00BB0ACF"/>
    <w:rsid w:val="00BB2E91"/>
    <w:rsid w:val="00BC5EA6"/>
    <w:rsid w:val="00BD06D5"/>
    <w:rsid w:val="00BE1320"/>
    <w:rsid w:val="00BE32E9"/>
    <w:rsid w:val="00BF7FE1"/>
    <w:rsid w:val="00C0388B"/>
    <w:rsid w:val="00C0478D"/>
    <w:rsid w:val="00C20C25"/>
    <w:rsid w:val="00C210E1"/>
    <w:rsid w:val="00C341A2"/>
    <w:rsid w:val="00C4180C"/>
    <w:rsid w:val="00C50F5A"/>
    <w:rsid w:val="00C56485"/>
    <w:rsid w:val="00C56B49"/>
    <w:rsid w:val="00C62D35"/>
    <w:rsid w:val="00C7017F"/>
    <w:rsid w:val="00C867A7"/>
    <w:rsid w:val="00C95706"/>
    <w:rsid w:val="00CC3F0E"/>
    <w:rsid w:val="00CC5033"/>
    <w:rsid w:val="00CC5A70"/>
    <w:rsid w:val="00CC5EAD"/>
    <w:rsid w:val="00CC7037"/>
    <w:rsid w:val="00CE0FBE"/>
    <w:rsid w:val="00CE797D"/>
    <w:rsid w:val="00CF0011"/>
    <w:rsid w:val="00CF416F"/>
    <w:rsid w:val="00D2405D"/>
    <w:rsid w:val="00D271D9"/>
    <w:rsid w:val="00D37B6E"/>
    <w:rsid w:val="00D64214"/>
    <w:rsid w:val="00D70DD8"/>
    <w:rsid w:val="00D72A48"/>
    <w:rsid w:val="00D86CC2"/>
    <w:rsid w:val="00D9326D"/>
    <w:rsid w:val="00DA0C7B"/>
    <w:rsid w:val="00DA38E8"/>
    <w:rsid w:val="00DA44A0"/>
    <w:rsid w:val="00DB6E9A"/>
    <w:rsid w:val="00DC45B4"/>
    <w:rsid w:val="00DE72FE"/>
    <w:rsid w:val="00DF4E16"/>
    <w:rsid w:val="00DF5A7F"/>
    <w:rsid w:val="00DF7A99"/>
    <w:rsid w:val="00E06533"/>
    <w:rsid w:val="00E06B33"/>
    <w:rsid w:val="00E11889"/>
    <w:rsid w:val="00E11A6D"/>
    <w:rsid w:val="00E25E9F"/>
    <w:rsid w:val="00E277B5"/>
    <w:rsid w:val="00E32C73"/>
    <w:rsid w:val="00E333A2"/>
    <w:rsid w:val="00E41310"/>
    <w:rsid w:val="00E63082"/>
    <w:rsid w:val="00E709FC"/>
    <w:rsid w:val="00E848EB"/>
    <w:rsid w:val="00EE617E"/>
    <w:rsid w:val="00F0230B"/>
    <w:rsid w:val="00F04DD6"/>
    <w:rsid w:val="00F10FB5"/>
    <w:rsid w:val="00F13AAE"/>
    <w:rsid w:val="00F53C58"/>
    <w:rsid w:val="00F56095"/>
    <w:rsid w:val="00F73001"/>
    <w:rsid w:val="00F84AFF"/>
    <w:rsid w:val="00FA2B0E"/>
    <w:rsid w:val="00FA31AC"/>
    <w:rsid w:val="00FB5BB3"/>
    <w:rsid w:val="00FD02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AA99DCC-C55A-432B-87B0-078A76459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paragraph" w:styleId="2">
    <w:name w:val="Body Text 2"/>
    <w:basedOn w:val="a"/>
    <w:pPr>
      <w:spacing w:line="160" w:lineRule="exact"/>
      <w:jc w:val="left"/>
    </w:pPr>
    <w:rPr>
      <w:rFonts w:cs="Miriam"/>
      <w:szCs w:val="18"/>
    </w:rPr>
  </w:style>
  <w:style w:type="character" w:styleId="a8">
    <w:name w:val="annotation reference"/>
    <w:basedOn w:val="a0"/>
    <w:semiHidden/>
    <w:rsid w:val="00734BAC"/>
    <w:rPr>
      <w:sz w:val="16"/>
      <w:szCs w:val="16"/>
    </w:rPr>
  </w:style>
  <w:style w:type="paragraph" w:styleId="a9">
    <w:name w:val="annotation text"/>
    <w:basedOn w:val="a"/>
    <w:semiHidden/>
    <w:rsid w:val="00734BAC"/>
    <w:rPr>
      <w:sz w:val="20"/>
      <w:szCs w:val="20"/>
    </w:rPr>
  </w:style>
  <w:style w:type="paragraph" w:styleId="aa">
    <w:name w:val="annotation subject"/>
    <w:basedOn w:val="a9"/>
    <w:next w:val="a9"/>
    <w:semiHidden/>
    <w:rsid w:val="00734BAC"/>
    <w:rPr>
      <w:b/>
      <w:bCs/>
    </w:rPr>
  </w:style>
  <w:style w:type="paragraph" w:styleId="ab">
    <w:name w:val="Balloon Text"/>
    <w:basedOn w:val="a"/>
    <w:semiHidden/>
    <w:rsid w:val="00734B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76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2615</CharactersWithSpaces>
  <SharedDoc>false</SharedDoc>
  <HLinks>
    <vt:vector size="24" baseType="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7929864</vt:i4>
      </vt:variant>
      <vt:variant>
        <vt:i4>0</vt:i4>
      </vt:variant>
      <vt:variant>
        <vt:i4>0</vt:i4>
      </vt:variant>
      <vt:variant>
        <vt:i4>5</vt:i4>
      </vt:variant>
      <vt:variant>
        <vt:lpwstr>http://www.nevo.co.il/Law_word/law06/tak-6767.pdf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eli</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כספים</vt:lpwstr>
  </property>
  <property fmtid="{D5CDD505-2E9C-101B-9397-08002B2CF9AE}" pid="4" name="LAWNAME">
    <vt:lpwstr>תקנות התכנית להבראת כלכלת ישראל (תיקוני חקיקה להשגת יעדי התקציב והמדיניות הכלכלית לשנות הכספים 2003 ו-2004) (כללים להחזר תשלומים), תשס"ט-2009</vt:lpwstr>
  </property>
  <property fmtid="{D5CDD505-2E9C-101B-9397-08002B2CF9AE}" pid="5" name="LAWNUMBER">
    <vt:lpwstr>0140</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samchut">
    <vt:lpwstr/>
  </property>
  <property fmtid="{D5CDD505-2E9C-101B-9397-08002B2CF9AE}" pid="22" name="MEKORSAMCHUT">
    <vt:lpwstr/>
  </property>
  <property fmtid="{D5CDD505-2E9C-101B-9397-08002B2CF9AE}" pid="23" name="LINKK1">
    <vt:lpwstr>http://www.nevo.co.il/Law_word/law06/tak-6767.pdf;‎רשומות - תקנות כלליות#פורסמו ק"ת תשס"ט ‏מס' 6767 #מיום 23.3.2009 עמ' 662‏</vt:lpwstr>
  </property>
  <property fmtid="{D5CDD505-2E9C-101B-9397-08002B2CF9AE}" pid="24" name="MEKOR_NAME1">
    <vt:lpwstr>חוק התכנית להבראת כלכלת ישראל (תיקוני חקיקה להשגת יעדי התקציב והמדיניות הכלכלית לשנות הכספים 2003 ו-2004)</vt:lpwstr>
  </property>
  <property fmtid="{D5CDD505-2E9C-101B-9397-08002B2CF9AE}" pid="25" name="MEKOR_SAIF1">
    <vt:lpwstr>94XבX</vt:lpwstr>
  </property>
  <property fmtid="{D5CDD505-2E9C-101B-9397-08002B2CF9AE}" pid="26" name="NOSE11">
    <vt:lpwstr>משפט פרטי וכלכלה</vt:lpwstr>
  </property>
  <property fmtid="{D5CDD505-2E9C-101B-9397-08002B2CF9AE}" pid="27" name="NOSE21">
    <vt:lpwstr>כספים</vt:lpwstr>
  </property>
  <property fmtid="{D5CDD505-2E9C-101B-9397-08002B2CF9AE}" pid="28" name="NOSE31">
    <vt:lpwstr>תקציב ומשק המדינה</vt:lpwstr>
  </property>
  <property fmtid="{D5CDD505-2E9C-101B-9397-08002B2CF9AE}" pid="29" name="NOSE41">
    <vt:lpwstr>השגת יעדי תקציב</vt:lpwstr>
  </property>
  <property fmtid="{D5CDD505-2E9C-101B-9397-08002B2CF9AE}" pid="30" name="NOSE12">
    <vt:lpwstr/>
  </property>
  <property fmtid="{D5CDD505-2E9C-101B-9397-08002B2CF9AE}" pid="31" name="NOSE22">
    <vt:lpwstr/>
  </property>
  <property fmtid="{D5CDD505-2E9C-101B-9397-08002B2CF9AE}" pid="32" name="NOSE32">
    <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