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9C0" w:rsidRPr="005C7130" w:rsidRDefault="00122137">
      <w:pPr>
        <w:pStyle w:val="big-header"/>
        <w:ind w:left="0" w:right="1134"/>
      </w:pPr>
      <w:r>
        <w:rPr>
          <w:rFonts w:hint="cs"/>
          <w:rtl/>
          <w:lang w:val="he-IL"/>
        </w:rPr>
        <w:t>תקנות</w:t>
      </w:r>
      <w:r w:rsidR="00804DDB">
        <w:rPr>
          <w:rFonts w:hint="cs"/>
          <w:rtl/>
          <w:lang w:val="he-IL"/>
        </w:rPr>
        <w:t xml:space="preserve"> </w:t>
      </w:r>
      <w:r w:rsidR="00155141">
        <w:rPr>
          <w:rFonts w:hint="cs"/>
          <w:rtl/>
          <w:lang w:val="he-IL"/>
        </w:rPr>
        <w:t>התכנית לסיוע כלכלי (נגיף הקורונה החדש) (הוראת שעה</w:t>
      </w:r>
      <w:r w:rsidR="00052410">
        <w:rPr>
          <w:rFonts w:hint="cs"/>
          <w:rtl/>
        </w:rPr>
        <w:t>)</w:t>
      </w:r>
      <w:r>
        <w:rPr>
          <w:rFonts w:hint="cs"/>
          <w:rtl/>
        </w:rPr>
        <w:t xml:space="preserve"> (סדרי הדין והמינהל בוועדת הערר)</w:t>
      </w:r>
      <w:r w:rsidR="00804DDB">
        <w:rPr>
          <w:rFonts w:hint="cs"/>
          <w:rtl/>
        </w:rPr>
        <w:t>, תש</w:t>
      </w:r>
      <w:r>
        <w:rPr>
          <w:rFonts w:hint="cs"/>
          <w:rtl/>
        </w:rPr>
        <w:t>פ"א</w:t>
      </w:r>
      <w:r w:rsidR="00804DDB">
        <w:rPr>
          <w:rFonts w:hint="cs"/>
          <w:rtl/>
        </w:rPr>
        <w:t>-2020</w:t>
      </w:r>
    </w:p>
    <w:p w:rsidR="00891550" w:rsidRPr="00891550" w:rsidRDefault="00891550" w:rsidP="00F276F1">
      <w:pPr>
        <w:pStyle w:val="P00"/>
        <w:spacing w:before="72"/>
        <w:ind w:left="0" w:right="1134"/>
        <w:rPr>
          <w:rStyle w:val="default"/>
          <w:rFonts w:cs="FrankRuehl"/>
          <w:rtl/>
        </w:rPr>
      </w:pPr>
    </w:p>
    <w:p w:rsidR="00891550" w:rsidRDefault="00891550" w:rsidP="00F276F1">
      <w:pPr>
        <w:pStyle w:val="P00"/>
        <w:spacing w:before="72"/>
        <w:ind w:left="0" w:right="1134"/>
        <w:rPr>
          <w:rStyle w:val="default"/>
          <w:rFonts w:cs="FrankRuehl"/>
          <w:rtl/>
        </w:rPr>
      </w:pPr>
    </w:p>
    <w:p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603DDE" w:rsidRPr="00603DDE" w:rsidTr="00603DDE">
        <w:tblPrEx>
          <w:tblCellMar>
            <w:top w:w="0" w:type="dxa"/>
            <w:bottom w:w="0" w:type="dxa"/>
          </w:tblCellMar>
        </w:tblPrEx>
        <w:tc>
          <w:tcPr>
            <w:tcW w:w="1247"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הגדרות</w:t>
            </w:r>
          </w:p>
        </w:tc>
        <w:tc>
          <w:tcPr>
            <w:tcW w:w="567" w:type="dxa"/>
          </w:tcPr>
          <w:p w:rsidR="00603DDE" w:rsidRPr="00603DDE" w:rsidRDefault="00603DDE" w:rsidP="00603DDE">
            <w:pPr>
              <w:spacing w:line="240" w:lineRule="auto"/>
              <w:jc w:val="left"/>
              <w:rPr>
                <w:rStyle w:val="Hyperlink"/>
                <w:rtl/>
              </w:rPr>
            </w:pPr>
            <w:hyperlink w:anchor="Seif1" w:tooltip="הגדרות" w:history="1">
              <w:r w:rsidRPr="00603DDE">
                <w:rPr>
                  <w:rStyle w:val="Hyperlink"/>
                </w:rPr>
                <w:t>Go</w:t>
              </w:r>
            </w:hyperlink>
          </w:p>
        </w:tc>
        <w:tc>
          <w:tcPr>
            <w:tcW w:w="850" w:type="dxa"/>
          </w:tcPr>
          <w:p w:rsidR="00603DDE" w:rsidRPr="00603DDE" w:rsidRDefault="00603DDE" w:rsidP="00603DD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603DDE" w:rsidRPr="00603DDE" w:rsidTr="00603DDE">
        <w:tblPrEx>
          <w:tblCellMar>
            <w:top w:w="0" w:type="dxa"/>
            <w:bottom w:w="0" w:type="dxa"/>
          </w:tblCellMar>
        </w:tblPrEx>
        <w:tc>
          <w:tcPr>
            <w:tcW w:w="1247"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כתב ערר</w:t>
            </w:r>
          </w:p>
        </w:tc>
        <w:tc>
          <w:tcPr>
            <w:tcW w:w="567" w:type="dxa"/>
          </w:tcPr>
          <w:p w:rsidR="00603DDE" w:rsidRPr="00603DDE" w:rsidRDefault="00603DDE" w:rsidP="00603DDE">
            <w:pPr>
              <w:spacing w:line="240" w:lineRule="auto"/>
              <w:jc w:val="left"/>
              <w:rPr>
                <w:rStyle w:val="Hyperlink"/>
                <w:rtl/>
              </w:rPr>
            </w:pPr>
            <w:hyperlink w:anchor="Seif2" w:tooltip="כתב ערר" w:history="1">
              <w:r w:rsidRPr="00603DDE">
                <w:rPr>
                  <w:rStyle w:val="Hyperlink"/>
                </w:rPr>
                <w:t>Go</w:t>
              </w:r>
            </w:hyperlink>
          </w:p>
        </w:tc>
        <w:tc>
          <w:tcPr>
            <w:tcW w:w="850" w:type="dxa"/>
          </w:tcPr>
          <w:p w:rsidR="00603DDE" w:rsidRPr="00603DDE" w:rsidRDefault="00603DDE" w:rsidP="00603DD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603DDE" w:rsidRPr="00603DDE" w:rsidTr="00603DDE">
        <w:tblPrEx>
          <w:tblCellMar>
            <w:top w:w="0" w:type="dxa"/>
            <w:bottom w:w="0" w:type="dxa"/>
          </w:tblCellMar>
        </w:tblPrEx>
        <w:tc>
          <w:tcPr>
            <w:tcW w:w="1247"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פגם בכתב ערר</w:t>
            </w:r>
          </w:p>
        </w:tc>
        <w:tc>
          <w:tcPr>
            <w:tcW w:w="567" w:type="dxa"/>
          </w:tcPr>
          <w:p w:rsidR="00603DDE" w:rsidRPr="00603DDE" w:rsidRDefault="00603DDE" w:rsidP="00603DDE">
            <w:pPr>
              <w:spacing w:line="240" w:lineRule="auto"/>
              <w:jc w:val="left"/>
              <w:rPr>
                <w:rStyle w:val="Hyperlink"/>
                <w:rtl/>
              </w:rPr>
            </w:pPr>
            <w:hyperlink w:anchor="Seif3" w:tooltip="פגם בכתב ערר" w:history="1">
              <w:r w:rsidRPr="00603DDE">
                <w:rPr>
                  <w:rStyle w:val="Hyperlink"/>
                </w:rPr>
                <w:t>Go</w:t>
              </w:r>
            </w:hyperlink>
          </w:p>
        </w:tc>
        <w:tc>
          <w:tcPr>
            <w:tcW w:w="850" w:type="dxa"/>
          </w:tcPr>
          <w:p w:rsidR="00603DDE" w:rsidRPr="00603DDE" w:rsidRDefault="00603DDE" w:rsidP="00603DD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603DDE" w:rsidRPr="00603DDE" w:rsidTr="00603DDE">
        <w:tblPrEx>
          <w:tblCellMar>
            <w:top w:w="0" w:type="dxa"/>
            <w:bottom w:w="0" w:type="dxa"/>
          </w:tblCellMar>
        </w:tblPrEx>
        <w:tc>
          <w:tcPr>
            <w:tcW w:w="1247"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המצאה והגשה של כתבי בי דין או החלטות</w:t>
            </w:r>
          </w:p>
        </w:tc>
        <w:tc>
          <w:tcPr>
            <w:tcW w:w="567" w:type="dxa"/>
          </w:tcPr>
          <w:p w:rsidR="00603DDE" w:rsidRPr="00603DDE" w:rsidRDefault="00603DDE" w:rsidP="00603DDE">
            <w:pPr>
              <w:spacing w:line="240" w:lineRule="auto"/>
              <w:jc w:val="left"/>
              <w:rPr>
                <w:rStyle w:val="Hyperlink"/>
                <w:rtl/>
              </w:rPr>
            </w:pPr>
            <w:hyperlink w:anchor="Seif4" w:tooltip="המצאה והגשה של כתבי בי דין או החלטות" w:history="1">
              <w:r w:rsidRPr="00603DDE">
                <w:rPr>
                  <w:rStyle w:val="Hyperlink"/>
                </w:rPr>
                <w:t>Go</w:t>
              </w:r>
            </w:hyperlink>
          </w:p>
        </w:tc>
        <w:tc>
          <w:tcPr>
            <w:tcW w:w="850" w:type="dxa"/>
          </w:tcPr>
          <w:p w:rsidR="00603DDE" w:rsidRPr="00603DDE" w:rsidRDefault="00603DDE" w:rsidP="00603DD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603DDE" w:rsidRPr="00603DDE" w:rsidTr="00603DDE">
        <w:tblPrEx>
          <w:tblCellMar>
            <w:top w:w="0" w:type="dxa"/>
            <w:bottom w:w="0" w:type="dxa"/>
          </w:tblCellMar>
        </w:tblPrEx>
        <w:tc>
          <w:tcPr>
            <w:tcW w:w="1247"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מקום השיפוט</w:t>
            </w:r>
          </w:p>
        </w:tc>
        <w:tc>
          <w:tcPr>
            <w:tcW w:w="567" w:type="dxa"/>
          </w:tcPr>
          <w:p w:rsidR="00603DDE" w:rsidRPr="00603DDE" w:rsidRDefault="00603DDE" w:rsidP="00603DDE">
            <w:pPr>
              <w:spacing w:line="240" w:lineRule="auto"/>
              <w:jc w:val="left"/>
              <w:rPr>
                <w:rStyle w:val="Hyperlink"/>
                <w:rtl/>
              </w:rPr>
            </w:pPr>
            <w:hyperlink w:anchor="Seif5" w:tooltip="מקום השיפוט" w:history="1">
              <w:r w:rsidRPr="00603DDE">
                <w:rPr>
                  <w:rStyle w:val="Hyperlink"/>
                </w:rPr>
                <w:t>Go</w:t>
              </w:r>
            </w:hyperlink>
          </w:p>
        </w:tc>
        <w:tc>
          <w:tcPr>
            <w:tcW w:w="850" w:type="dxa"/>
          </w:tcPr>
          <w:p w:rsidR="00603DDE" w:rsidRPr="00603DDE" w:rsidRDefault="00603DDE" w:rsidP="00603DD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603DDE" w:rsidRPr="00603DDE" w:rsidTr="00603DDE">
        <w:tblPrEx>
          <w:tblCellMar>
            <w:top w:w="0" w:type="dxa"/>
            <w:bottom w:w="0" w:type="dxa"/>
          </w:tblCellMar>
        </w:tblPrEx>
        <w:tc>
          <w:tcPr>
            <w:tcW w:w="1247"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הארכת מועד להגשת ערר</w:t>
            </w:r>
          </w:p>
        </w:tc>
        <w:tc>
          <w:tcPr>
            <w:tcW w:w="567" w:type="dxa"/>
          </w:tcPr>
          <w:p w:rsidR="00603DDE" w:rsidRPr="00603DDE" w:rsidRDefault="00603DDE" w:rsidP="00603DDE">
            <w:pPr>
              <w:spacing w:line="240" w:lineRule="auto"/>
              <w:jc w:val="left"/>
              <w:rPr>
                <w:rStyle w:val="Hyperlink"/>
                <w:rtl/>
              </w:rPr>
            </w:pPr>
            <w:hyperlink w:anchor="Seif6" w:tooltip="הארכת מועד להגשת ערר" w:history="1">
              <w:r w:rsidRPr="00603DDE">
                <w:rPr>
                  <w:rStyle w:val="Hyperlink"/>
                </w:rPr>
                <w:t>Go</w:t>
              </w:r>
            </w:hyperlink>
          </w:p>
        </w:tc>
        <w:tc>
          <w:tcPr>
            <w:tcW w:w="850" w:type="dxa"/>
          </w:tcPr>
          <w:p w:rsidR="00603DDE" w:rsidRPr="00603DDE" w:rsidRDefault="00603DDE" w:rsidP="00603DD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603DDE" w:rsidRPr="00603DDE" w:rsidTr="00603DDE">
        <w:tblPrEx>
          <w:tblCellMar>
            <w:top w:w="0" w:type="dxa"/>
            <w:bottom w:w="0" w:type="dxa"/>
          </w:tblCellMar>
        </w:tblPrEx>
        <w:tc>
          <w:tcPr>
            <w:tcW w:w="1247"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עיון בערר</w:t>
            </w:r>
          </w:p>
        </w:tc>
        <w:tc>
          <w:tcPr>
            <w:tcW w:w="567" w:type="dxa"/>
          </w:tcPr>
          <w:p w:rsidR="00603DDE" w:rsidRPr="00603DDE" w:rsidRDefault="00603DDE" w:rsidP="00603DDE">
            <w:pPr>
              <w:spacing w:line="240" w:lineRule="auto"/>
              <w:jc w:val="left"/>
              <w:rPr>
                <w:rStyle w:val="Hyperlink"/>
                <w:rtl/>
              </w:rPr>
            </w:pPr>
            <w:hyperlink w:anchor="Seif7" w:tooltip="עיון בערר" w:history="1">
              <w:r w:rsidRPr="00603DDE">
                <w:rPr>
                  <w:rStyle w:val="Hyperlink"/>
                </w:rPr>
                <w:t>Go</w:t>
              </w:r>
            </w:hyperlink>
          </w:p>
        </w:tc>
        <w:tc>
          <w:tcPr>
            <w:tcW w:w="850" w:type="dxa"/>
          </w:tcPr>
          <w:p w:rsidR="00603DDE" w:rsidRPr="00603DDE" w:rsidRDefault="00603DDE" w:rsidP="00603DD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603DDE" w:rsidRPr="00603DDE" w:rsidTr="00603DDE">
        <w:tblPrEx>
          <w:tblCellMar>
            <w:top w:w="0" w:type="dxa"/>
            <w:bottom w:w="0" w:type="dxa"/>
          </w:tblCellMar>
        </w:tblPrEx>
        <w:tc>
          <w:tcPr>
            <w:tcW w:w="1247"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כתב תשובה</w:t>
            </w:r>
          </w:p>
        </w:tc>
        <w:tc>
          <w:tcPr>
            <w:tcW w:w="567" w:type="dxa"/>
          </w:tcPr>
          <w:p w:rsidR="00603DDE" w:rsidRPr="00603DDE" w:rsidRDefault="00603DDE" w:rsidP="00603DDE">
            <w:pPr>
              <w:spacing w:line="240" w:lineRule="auto"/>
              <w:jc w:val="left"/>
              <w:rPr>
                <w:rStyle w:val="Hyperlink"/>
                <w:rtl/>
              </w:rPr>
            </w:pPr>
            <w:hyperlink w:anchor="Seif8" w:tooltip="כתב תשובה" w:history="1">
              <w:r w:rsidRPr="00603DDE">
                <w:rPr>
                  <w:rStyle w:val="Hyperlink"/>
                </w:rPr>
                <w:t>Go</w:t>
              </w:r>
            </w:hyperlink>
          </w:p>
        </w:tc>
        <w:tc>
          <w:tcPr>
            <w:tcW w:w="850" w:type="dxa"/>
          </w:tcPr>
          <w:p w:rsidR="00603DDE" w:rsidRPr="00603DDE" w:rsidRDefault="00603DDE" w:rsidP="00603DD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603DDE" w:rsidRPr="00603DDE" w:rsidTr="00603DDE">
        <w:tblPrEx>
          <w:tblCellMar>
            <w:top w:w="0" w:type="dxa"/>
            <w:bottom w:w="0" w:type="dxa"/>
          </w:tblCellMar>
        </w:tblPrEx>
        <w:tc>
          <w:tcPr>
            <w:tcW w:w="1247"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בירור ערר</w:t>
            </w:r>
          </w:p>
        </w:tc>
        <w:tc>
          <w:tcPr>
            <w:tcW w:w="567" w:type="dxa"/>
          </w:tcPr>
          <w:p w:rsidR="00603DDE" w:rsidRPr="00603DDE" w:rsidRDefault="00603DDE" w:rsidP="00603DDE">
            <w:pPr>
              <w:spacing w:line="240" w:lineRule="auto"/>
              <w:jc w:val="left"/>
              <w:rPr>
                <w:rStyle w:val="Hyperlink"/>
                <w:rtl/>
              </w:rPr>
            </w:pPr>
            <w:hyperlink w:anchor="Seif9" w:tooltip="בירור ערר" w:history="1">
              <w:r w:rsidRPr="00603DDE">
                <w:rPr>
                  <w:rStyle w:val="Hyperlink"/>
                </w:rPr>
                <w:t>Go</w:t>
              </w:r>
            </w:hyperlink>
          </w:p>
        </w:tc>
        <w:tc>
          <w:tcPr>
            <w:tcW w:w="850" w:type="dxa"/>
          </w:tcPr>
          <w:p w:rsidR="00603DDE" w:rsidRPr="00603DDE" w:rsidRDefault="00603DDE" w:rsidP="00603DD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603DDE" w:rsidRPr="00603DDE" w:rsidTr="00603DDE">
        <w:tblPrEx>
          <w:tblCellMar>
            <w:top w:w="0" w:type="dxa"/>
            <w:bottom w:w="0" w:type="dxa"/>
          </w:tblCellMar>
        </w:tblPrEx>
        <w:tc>
          <w:tcPr>
            <w:tcW w:w="1247"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דיון באמצעים טכנולוגיים</w:t>
            </w:r>
          </w:p>
        </w:tc>
        <w:tc>
          <w:tcPr>
            <w:tcW w:w="567" w:type="dxa"/>
          </w:tcPr>
          <w:p w:rsidR="00603DDE" w:rsidRPr="00603DDE" w:rsidRDefault="00603DDE" w:rsidP="00603DDE">
            <w:pPr>
              <w:spacing w:line="240" w:lineRule="auto"/>
              <w:jc w:val="left"/>
              <w:rPr>
                <w:rStyle w:val="Hyperlink"/>
                <w:rtl/>
              </w:rPr>
            </w:pPr>
            <w:hyperlink w:anchor="Seif10" w:tooltip="דיון באמצעים טכנולוגיים" w:history="1">
              <w:r w:rsidRPr="00603DDE">
                <w:rPr>
                  <w:rStyle w:val="Hyperlink"/>
                </w:rPr>
                <w:t>Go</w:t>
              </w:r>
            </w:hyperlink>
          </w:p>
        </w:tc>
        <w:tc>
          <w:tcPr>
            <w:tcW w:w="850" w:type="dxa"/>
          </w:tcPr>
          <w:p w:rsidR="00603DDE" w:rsidRPr="00603DDE" w:rsidRDefault="00603DDE" w:rsidP="00603DD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603DDE" w:rsidRPr="00603DDE" w:rsidTr="00603DDE">
        <w:tblPrEx>
          <w:tblCellMar>
            <w:top w:w="0" w:type="dxa"/>
            <w:bottom w:w="0" w:type="dxa"/>
          </w:tblCellMar>
        </w:tblPrEx>
        <w:tc>
          <w:tcPr>
            <w:tcW w:w="1247"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 xml:space="preserve">סעיף 11 </w:t>
            </w:r>
          </w:p>
        </w:tc>
        <w:tc>
          <w:tcPr>
            <w:tcW w:w="5669"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פרוטוקול</w:t>
            </w:r>
          </w:p>
        </w:tc>
        <w:tc>
          <w:tcPr>
            <w:tcW w:w="567" w:type="dxa"/>
          </w:tcPr>
          <w:p w:rsidR="00603DDE" w:rsidRPr="00603DDE" w:rsidRDefault="00603DDE" w:rsidP="00603DDE">
            <w:pPr>
              <w:spacing w:line="240" w:lineRule="auto"/>
              <w:jc w:val="left"/>
              <w:rPr>
                <w:rStyle w:val="Hyperlink"/>
                <w:rtl/>
              </w:rPr>
            </w:pPr>
            <w:hyperlink w:anchor="Seif11" w:tooltip="פרוטוקול" w:history="1">
              <w:r w:rsidRPr="00603DDE">
                <w:rPr>
                  <w:rStyle w:val="Hyperlink"/>
                </w:rPr>
                <w:t>Go</w:t>
              </w:r>
            </w:hyperlink>
          </w:p>
        </w:tc>
        <w:tc>
          <w:tcPr>
            <w:tcW w:w="850" w:type="dxa"/>
          </w:tcPr>
          <w:p w:rsidR="00603DDE" w:rsidRPr="00603DDE" w:rsidRDefault="00603DDE" w:rsidP="00603DD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603DDE" w:rsidRPr="00603DDE" w:rsidTr="00603DDE">
        <w:tblPrEx>
          <w:tblCellMar>
            <w:top w:w="0" w:type="dxa"/>
            <w:bottom w:w="0" w:type="dxa"/>
          </w:tblCellMar>
        </w:tblPrEx>
        <w:tc>
          <w:tcPr>
            <w:tcW w:w="1247"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ההחלטה</w:t>
            </w:r>
          </w:p>
        </w:tc>
        <w:tc>
          <w:tcPr>
            <w:tcW w:w="567" w:type="dxa"/>
          </w:tcPr>
          <w:p w:rsidR="00603DDE" w:rsidRPr="00603DDE" w:rsidRDefault="00603DDE" w:rsidP="00603DDE">
            <w:pPr>
              <w:spacing w:line="240" w:lineRule="auto"/>
              <w:jc w:val="left"/>
              <w:rPr>
                <w:rStyle w:val="Hyperlink"/>
                <w:rtl/>
              </w:rPr>
            </w:pPr>
            <w:hyperlink w:anchor="Seif12" w:tooltip="ההחלטה" w:history="1">
              <w:r w:rsidRPr="00603DDE">
                <w:rPr>
                  <w:rStyle w:val="Hyperlink"/>
                </w:rPr>
                <w:t>Go</w:t>
              </w:r>
            </w:hyperlink>
          </w:p>
        </w:tc>
        <w:tc>
          <w:tcPr>
            <w:tcW w:w="850" w:type="dxa"/>
          </w:tcPr>
          <w:p w:rsidR="00603DDE" w:rsidRPr="00603DDE" w:rsidRDefault="00603DDE" w:rsidP="00603DD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603DDE" w:rsidRPr="00603DDE" w:rsidTr="00603DDE">
        <w:tblPrEx>
          <w:tblCellMar>
            <w:top w:w="0" w:type="dxa"/>
            <w:bottom w:w="0" w:type="dxa"/>
          </w:tblCellMar>
        </w:tblPrEx>
        <w:tc>
          <w:tcPr>
            <w:tcW w:w="1247"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 xml:space="preserve">סעיף 13 </w:t>
            </w:r>
          </w:p>
        </w:tc>
        <w:tc>
          <w:tcPr>
            <w:tcW w:w="5669"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איחוד עררים</w:t>
            </w:r>
          </w:p>
        </w:tc>
        <w:tc>
          <w:tcPr>
            <w:tcW w:w="567" w:type="dxa"/>
          </w:tcPr>
          <w:p w:rsidR="00603DDE" w:rsidRPr="00603DDE" w:rsidRDefault="00603DDE" w:rsidP="00603DDE">
            <w:pPr>
              <w:spacing w:line="240" w:lineRule="auto"/>
              <w:jc w:val="left"/>
              <w:rPr>
                <w:rStyle w:val="Hyperlink"/>
                <w:rtl/>
              </w:rPr>
            </w:pPr>
            <w:hyperlink w:anchor="Seif13" w:tooltip="איחוד עררים" w:history="1">
              <w:r w:rsidRPr="00603DDE">
                <w:rPr>
                  <w:rStyle w:val="Hyperlink"/>
                </w:rPr>
                <w:t>Go</w:t>
              </w:r>
            </w:hyperlink>
          </w:p>
        </w:tc>
        <w:tc>
          <w:tcPr>
            <w:tcW w:w="850" w:type="dxa"/>
          </w:tcPr>
          <w:p w:rsidR="00603DDE" w:rsidRPr="00603DDE" w:rsidRDefault="00603DDE" w:rsidP="00603DD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603DDE" w:rsidRPr="00603DDE" w:rsidTr="00603DDE">
        <w:tblPrEx>
          <w:tblCellMar>
            <w:top w:w="0" w:type="dxa"/>
            <w:bottom w:w="0" w:type="dxa"/>
          </w:tblCellMar>
        </w:tblPrEx>
        <w:tc>
          <w:tcPr>
            <w:tcW w:w="1247"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 xml:space="preserve">סעיף 14 </w:t>
            </w:r>
          </w:p>
        </w:tc>
        <w:tc>
          <w:tcPr>
            <w:tcW w:w="5669"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סמכויות יושב הראש</w:t>
            </w:r>
          </w:p>
        </w:tc>
        <w:tc>
          <w:tcPr>
            <w:tcW w:w="567" w:type="dxa"/>
          </w:tcPr>
          <w:p w:rsidR="00603DDE" w:rsidRPr="00603DDE" w:rsidRDefault="00603DDE" w:rsidP="00603DDE">
            <w:pPr>
              <w:spacing w:line="240" w:lineRule="auto"/>
              <w:jc w:val="left"/>
              <w:rPr>
                <w:rStyle w:val="Hyperlink"/>
                <w:rtl/>
              </w:rPr>
            </w:pPr>
            <w:hyperlink w:anchor="Seif14" w:tooltip="סמכויות יושב הראש" w:history="1">
              <w:r w:rsidRPr="00603DDE">
                <w:rPr>
                  <w:rStyle w:val="Hyperlink"/>
                </w:rPr>
                <w:t>Go</w:t>
              </w:r>
            </w:hyperlink>
          </w:p>
        </w:tc>
        <w:tc>
          <w:tcPr>
            <w:tcW w:w="850" w:type="dxa"/>
          </w:tcPr>
          <w:p w:rsidR="00603DDE" w:rsidRPr="00603DDE" w:rsidRDefault="00603DDE" w:rsidP="00603DD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603DDE" w:rsidRPr="00603DDE" w:rsidTr="00603DDE">
        <w:tblPrEx>
          <w:tblCellMar>
            <w:top w:w="0" w:type="dxa"/>
            <w:bottom w:w="0" w:type="dxa"/>
          </w:tblCellMar>
        </w:tblPrEx>
        <w:tc>
          <w:tcPr>
            <w:tcW w:w="1247"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 xml:space="preserve">סעיף 15 </w:t>
            </w:r>
          </w:p>
        </w:tc>
        <w:tc>
          <w:tcPr>
            <w:tcW w:w="5669" w:type="dxa"/>
          </w:tcPr>
          <w:p w:rsidR="00603DDE" w:rsidRPr="00603DDE" w:rsidRDefault="00603DDE" w:rsidP="00603DDE">
            <w:pPr>
              <w:spacing w:line="240" w:lineRule="auto"/>
              <w:jc w:val="left"/>
              <w:rPr>
                <w:rStyle w:val="default"/>
                <w:rFonts w:cs="Frankruhel"/>
                <w:sz w:val="24"/>
                <w:szCs w:val="24"/>
                <w:rtl/>
              </w:rPr>
            </w:pPr>
            <w:r>
              <w:rPr>
                <w:rStyle w:val="default"/>
                <w:sz w:val="24"/>
                <w:szCs w:val="24"/>
                <w:rtl/>
              </w:rPr>
              <w:t>דרכי פרסום</w:t>
            </w:r>
          </w:p>
        </w:tc>
        <w:tc>
          <w:tcPr>
            <w:tcW w:w="567" w:type="dxa"/>
          </w:tcPr>
          <w:p w:rsidR="00603DDE" w:rsidRPr="00603DDE" w:rsidRDefault="00603DDE" w:rsidP="00603DDE">
            <w:pPr>
              <w:spacing w:line="240" w:lineRule="auto"/>
              <w:jc w:val="left"/>
              <w:rPr>
                <w:rStyle w:val="Hyperlink"/>
                <w:rtl/>
              </w:rPr>
            </w:pPr>
            <w:hyperlink w:anchor="Seif15" w:tooltip="דרכי פרסום" w:history="1">
              <w:r w:rsidRPr="00603DDE">
                <w:rPr>
                  <w:rStyle w:val="Hyperlink"/>
                </w:rPr>
                <w:t>Go</w:t>
              </w:r>
            </w:hyperlink>
          </w:p>
        </w:tc>
        <w:tc>
          <w:tcPr>
            <w:tcW w:w="850" w:type="dxa"/>
          </w:tcPr>
          <w:p w:rsidR="00603DDE" w:rsidRPr="00603DDE" w:rsidRDefault="00603DDE" w:rsidP="00603DDE">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5C7130" w:rsidRDefault="005C7130" w:rsidP="008F1A9A">
      <w:pPr>
        <w:pStyle w:val="big-header"/>
        <w:ind w:left="0" w:right="1134"/>
        <w:rPr>
          <w:rtl/>
        </w:rPr>
      </w:pPr>
      <w:r>
        <w:rPr>
          <w:rStyle w:val="default"/>
          <w:rFonts w:cs="FrankRuehl"/>
          <w:rtl/>
        </w:rPr>
        <w:br w:type="page"/>
      </w:r>
      <w:r w:rsidR="00122137">
        <w:rPr>
          <w:rFonts w:hint="cs"/>
          <w:rtl/>
          <w:lang w:val="he-IL"/>
        </w:rPr>
        <w:lastRenderedPageBreak/>
        <w:t>תקנות התכנית לסיוע כלכלי (נגיף הקורונה החדש) (הוראת שעה</w:t>
      </w:r>
      <w:r w:rsidR="00122137">
        <w:rPr>
          <w:rFonts w:hint="cs"/>
          <w:rtl/>
        </w:rPr>
        <w:t>) (סדרי הדין והמינהל בוועדת הערר), תשפ"א-2020</w:t>
      </w:r>
      <w:r>
        <w:rPr>
          <w:rStyle w:val="a7"/>
          <w:rtl/>
        </w:rPr>
        <w:footnoteReference w:customMarkFollows="1" w:id="1"/>
        <w:t>*</w:t>
      </w:r>
    </w:p>
    <w:p w:rsidR="00052410" w:rsidRDefault="00122137" w:rsidP="0012213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בתוקף סמכותי לפי סעיף 21(ו) לחוק התכנית לסיוע כלכלי (נגיף הקורונה החדש) (הוראת שעה), התש"ף-2020 (להלן </w:t>
      </w:r>
      <w:r>
        <w:rPr>
          <w:rStyle w:val="default"/>
          <w:rFonts w:cs="FrankRuehl"/>
          <w:rtl/>
        </w:rPr>
        <w:t>–</w:t>
      </w:r>
      <w:r>
        <w:rPr>
          <w:rStyle w:val="default"/>
          <w:rFonts w:cs="FrankRuehl" w:hint="cs"/>
          <w:rtl/>
        </w:rPr>
        <w:t xml:space="preserve"> החוק), אני מתקין תקנות אלה:</w:t>
      </w:r>
    </w:p>
    <w:p w:rsidR="00477F48" w:rsidRDefault="00477F48" w:rsidP="00477F48">
      <w:pPr>
        <w:pStyle w:val="P00"/>
        <w:spacing w:before="72"/>
        <w:ind w:left="0" w:right="1134"/>
        <w:rPr>
          <w:rStyle w:val="default"/>
          <w:rFonts w:cs="FrankRuehl"/>
          <w:rtl/>
        </w:rPr>
      </w:pPr>
      <w:bookmarkStart w:id="1" w:name="Seif1"/>
      <w:bookmarkEnd w:id="1"/>
      <w:r>
        <w:rPr>
          <w:lang w:val="he-IL"/>
        </w:rPr>
        <w:pict>
          <v:rect id="_x0000_s2075" style="position:absolute;left:0;text-align:left;margin-left:464.5pt;margin-top:8.05pt;width:75.05pt;height:13.35pt;z-index:251650560" o:allowincell="f" filled="f" stroked="f" strokecolor="lime" strokeweight=".25pt">
            <v:textbox inset="0,0,0,0">
              <w:txbxContent>
                <w:p w:rsidR="00477F48" w:rsidRDefault="00122137" w:rsidP="00477F48">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122137">
        <w:rPr>
          <w:rStyle w:val="default"/>
          <w:rFonts w:cs="FrankRuehl" w:hint="cs"/>
          <w:rtl/>
        </w:rPr>
        <w:t xml:space="preserve">בתקנות אלה </w:t>
      </w:r>
      <w:r w:rsidR="00122137">
        <w:rPr>
          <w:rStyle w:val="default"/>
          <w:rFonts w:cs="FrankRuehl"/>
          <w:rtl/>
        </w:rPr>
        <w:t>–</w:t>
      </w:r>
    </w:p>
    <w:p w:rsidR="00122137" w:rsidRDefault="00122137"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ערר" </w:t>
      </w:r>
      <w:r>
        <w:rPr>
          <w:rStyle w:val="default"/>
          <w:rFonts w:cs="FrankRuehl"/>
          <w:rtl/>
        </w:rPr>
        <w:t>–</w:t>
      </w:r>
      <w:r>
        <w:rPr>
          <w:rStyle w:val="default"/>
          <w:rFonts w:cs="FrankRuehl" w:hint="cs"/>
          <w:rtl/>
        </w:rPr>
        <w:t xml:space="preserve"> כמשמעותה בסעיף 21 לחוק;</w:t>
      </w:r>
    </w:p>
    <w:p w:rsidR="00122137" w:rsidRDefault="00122137"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בתי דין מינהליים" </w:t>
      </w:r>
      <w:r>
        <w:rPr>
          <w:rStyle w:val="default"/>
          <w:rFonts w:cs="FrankRuehl"/>
          <w:rtl/>
        </w:rPr>
        <w:t>–</w:t>
      </w:r>
      <w:r>
        <w:rPr>
          <w:rStyle w:val="default"/>
          <w:rFonts w:cs="FrankRuehl" w:hint="cs"/>
          <w:rtl/>
        </w:rPr>
        <w:t xml:space="preserve"> חוק בתי דין מינהליים, התשנ"ב-1992;</w:t>
      </w:r>
    </w:p>
    <w:p w:rsidR="00122137" w:rsidRDefault="00122137"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"יושב ראש הוועדה" </w:t>
      </w:r>
      <w:r w:rsidR="00F870A2">
        <w:rPr>
          <w:rStyle w:val="default"/>
          <w:rFonts w:cs="FrankRuehl"/>
          <w:rtl/>
        </w:rPr>
        <w:t>–</w:t>
      </w:r>
      <w:r>
        <w:rPr>
          <w:rStyle w:val="default"/>
          <w:rFonts w:cs="FrankRuehl" w:hint="cs"/>
          <w:rtl/>
        </w:rPr>
        <w:t xml:space="preserve"> </w:t>
      </w:r>
      <w:r w:rsidR="00F870A2">
        <w:rPr>
          <w:rStyle w:val="default"/>
          <w:rFonts w:cs="FrankRuehl" w:hint="cs"/>
          <w:rtl/>
        </w:rPr>
        <w:t>כמשמעותו בסעיף 21(א)(1) לחוק;</w:t>
      </w:r>
    </w:p>
    <w:p w:rsidR="00F870A2" w:rsidRDefault="00F870A2"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"מען", </w:t>
      </w:r>
      <w:r w:rsidR="005C02AE">
        <w:rPr>
          <w:rStyle w:val="default"/>
          <w:rFonts w:cs="FrankRuehl" w:hint="cs"/>
          <w:rtl/>
        </w:rPr>
        <w:t xml:space="preserve">לעניין המצאת כתבי בי-דין </w:t>
      </w:r>
      <w:r w:rsidR="005C02AE">
        <w:rPr>
          <w:rStyle w:val="default"/>
          <w:rFonts w:cs="FrankRuehl"/>
          <w:rtl/>
        </w:rPr>
        <w:t>–</w:t>
      </w:r>
      <w:r w:rsidR="005C02AE">
        <w:rPr>
          <w:rStyle w:val="default"/>
          <w:rFonts w:cs="FrankRuehl" w:hint="cs"/>
          <w:rtl/>
        </w:rPr>
        <w:t xml:space="preserve"> כתובת הדואר האלקטרוני לשם המצאת כתבי בי-דין ומספר הטלפון;</w:t>
      </w:r>
    </w:p>
    <w:p w:rsidR="005C02AE" w:rsidRDefault="005C02AE"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"כתובת" </w:t>
      </w:r>
      <w:r>
        <w:rPr>
          <w:rStyle w:val="default"/>
          <w:rFonts w:cs="FrankRuehl"/>
          <w:rtl/>
        </w:rPr>
        <w:t>–</w:t>
      </w:r>
      <w:r>
        <w:rPr>
          <w:rStyle w:val="default"/>
          <w:rFonts w:cs="FrankRuehl" w:hint="cs"/>
          <w:rtl/>
        </w:rPr>
        <w:t xml:space="preserve"> שם היישוב, שם הרחוב, מספר הבית והמיקוד; בהעדר שם לרחוב או מספר הבניין </w:t>
      </w:r>
      <w:r>
        <w:rPr>
          <w:rStyle w:val="default"/>
          <w:rFonts w:cs="FrankRuehl"/>
          <w:rtl/>
        </w:rPr>
        <w:t>–</w:t>
      </w:r>
      <w:r>
        <w:rPr>
          <w:rStyle w:val="default"/>
          <w:rFonts w:cs="FrankRuehl" w:hint="cs"/>
          <w:rtl/>
        </w:rPr>
        <w:t xml:space="preserve"> סימן זיהוי אחר;</w:t>
      </w:r>
    </w:p>
    <w:p w:rsidR="005C02AE" w:rsidRDefault="005C02AE" w:rsidP="00477F48">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"ראש בית הדין" </w:t>
      </w:r>
      <w:r>
        <w:rPr>
          <w:rStyle w:val="default"/>
          <w:rFonts w:cs="FrankRuehl"/>
          <w:rtl/>
        </w:rPr>
        <w:t>–</w:t>
      </w:r>
      <w:r>
        <w:rPr>
          <w:rStyle w:val="default"/>
          <w:rFonts w:cs="FrankRuehl" w:hint="cs"/>
          <w:rtl/>
        </w:rPr>
        <w:t xml:space="preserve"> כמשמעותו בחוק בתי דין מינהליים.</w:t>
      </w:r>
    </w:p>
    <w:p w:rsidR="00477F48" w:rsidRDefault="00477F48" w:rsidP="005359E7">
      <w:pPr>
        <w:pStyle w:val="P00"/>
        <w:spacing w:before="72"/>
        <w:ind w:left="0" w:right="1134"/>
        <w:rPr>
          <w:rStyle w:val="default"/>
          <w:rFonts w:cs="FrankRuehl"/>
          <w:rtl/>
        </w:rPr>
      </w:pPr>
      <w:bookmarkStart w:id="2" w:name="Seif2"/>
      <w:bookmarkEnd w:id="2"/>
      <w:r>
        <w:rPr>
          <w:lang w:val="he-IL"/>
        </w:rPr>
        <w:pict>
          <v:rect id="_x0000_s2076" style="position:absolute;left:0;text-align:left;margin-left:464.5pt;margin-top:8.05pt;width:75.05pt;height:12.25pt;z-index:251651584" o:allowincell="f" filled="f" stroked="f" strokecolor="lime" strokeweight=".25pt">
            <v:textbox inset="0,0,0,0">
              <w:txbxContent>
                <w:p w:rsidR="00477F48" w:rsidRDefault="005C02AE" w:rsidP="00477F48">
                  <w:pPr>
                    <w:spacing w:line="160" w:lineRule="exact"/>
                    <w:jc w:val="left"/>
                    <w:rPr>
                      <w:rFonts w:cs="Miriam"/>
                      <w:noProof/>
                      <w:szCs w:val="18"/>
                      <w:rtl/>
                    </w:rPr>
                  </w:pPr>
                  <w:r>
                    <w:rPr>
                      <w:rFonts w:cs="Miriam" w:hint="cs"/>
                      <w:szCs w:val="18"/>
                      <w:rtl/>
                    </w:rPr>
                    <w:t>כתב ערר</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C37418">
        <w:rPr>
          <w:rStyle w:val="default"/>
          <w:rFonts w:cs="FrankRuehl" w:hint="cs"/>
          <w:rtl/>
        </w:rPr>
        <w:t>(</w:t>
      </w:r>
      <w:r w:rsidR="005C02AE">
        <w:rPr>
          <w:rStyle w:val="default"/>
          <w:rFonts w:cs="FrankRuehl" w:hint="cs"/>
          <w:rtl/>
        </w:rPr>
        <w:t>א)</w:t>
      </w:r>
      <w:r w:rsidR="005C02AE">
        <w:rPr>
          <w:rStyle w:val="default"/>
          <w:rFonts w:cs="FrankRuehl"/>
          <w:rtl/>
        </w:rPr>
        <w:tab/>
      </w:r>
      <w:r w:rsidR="005C02AE">
        <w:rPr>
          <w:rStyle w:val="default"/>
          <w:rFonts w:cs="FrankRuehl" w:hint="cs"/>
          <w:rtl/>
        </w:rPr>
        <w:t>כתב ערר יוגש באמצעות דואר אלקטרוני או באמצעות טופס מקוון, שיפורסם באתר האינטרנט של משרד המשפטים, כפי שייקבע בהודעת ראש בית הדין</w:t>
      </w:r>
      <w:r w:rsidR="00285D5C">
        <w:rPr>
          <w:rStyle w:val="a7"/>
          <w:rtl/>
        </w:rPr>
        <w:footnoteReference w:id="2"/>
      </w:r>
      <w:r w:rsidR="005C02AE">
        <w:rPr>
          <w:rStyle w:val="default"/>
          <w:rFonts w:cs="FrankRuehl" w:hint="cs"/>
          <w:rtl/>
        </w:rPr>
        <w:t>.</w:t>
      </w:r>
    </w:p>
    <w:p w:rsidR="005C02AE" w:rsidRDefault="005C02AE" w:rsidP="005359E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ראש בית הדין או יושב ראש הוועדה רשאים לאשר הגשת כתב ערר שלא באמצעות טופס מקוון, לרבות באמצעות דואר אלקטרוני או באמצעות הגשה ידנית, אם התקיימו טעמים מיוחדים המצדיקים זאת.</w:t>
      </w:r>
    </w:p>
    <w:p w:rsidR="005C02AE" w:rsidRDefault="005C02AE" w:rsidP="005359E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כתב ערר יכלול את הפרטים כמפורט להלן:</w:t>
      </w:r>
    </w:p>
    <w:p w:rsidR="005C02AE" w:rsidRDefault="005C02AE" w:rsidP="008B3C1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8B3C10">
        <w:rPr>
          <w:rStyle w:val="default"/>
          <w:rFonts w:cs="FrankRuehl" w:hint="cs"/>
          <w:rtl/>
        </w:rPr>
        <w:t xml:space="preserve">שם העורר, מספר זהותו, מענו וכתובתו של העסק או המשרד הרשום שבעדו מתבקש המענק, ובתאגיד </w:t>
      </w:r>
      <w:r w:rsidR="008B3C10">
        <w:rPr>
          <w:rStyle w:val="default"/>
          <w:rFonts w:cs="FrankRuehl"/>
          <w:rtl/>
        </w:rPr>
        <w:t>–</w:t>
      </w:r>
      <w:r w:rsidR="008B3C10">
        <w:rPr>
          <w:rStyle w:val="default"/>
          <w:rFonts w:cs="FrankRuehl" w:hint="cs"/>
          <w:rtl/>
        </w:rPr>
        <w:t xml:space="preserve"> מספר הרישום שלו, מענו וכתובתו;</w:t>
      </w:r>
    </w:p>
    <w:p w:rsidR="008B3C10" w:rsidRDefault="008B3C10" w:rsidP="008B3C1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העורר מיוצג </w:t>
      </w:r>
      <w:r>
        <w:rPr>
          <w:rStyle w:val="default"/>
          <w:rFonts w:cs="FrankRuehl"/>
          <w:rtl/>
        </w:rPr>
        <w:t>–</w:t>
      </w:r>
      <w:r>
        <w:rPr>
          <w:rStyle w:val="default"/>
          <w:rFonts w:cs="FrankRuehl" w:hint="cs"/>
          <w:rtl/>
        </w:rPr>
        <w:t xml:space="preserve"> גם שם המייצג, מענו וכל פרטי ההתקשרות עמו וכן ייפוי כוח תקף;</w:t>
      </w:r>
    </w:p>
    <w:p w:rsidR="008B3C10" w:rsidRDefault="008B3C10" w:rsidP="008B3C1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תמצית ההחלטה שעליה עוררים;</w:t>
      </w:r>
    </w:p>
    <w:p w:rsidR="008B3C10" w:rsidRDefault="008B3C10" w:rsidP="008B3C1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התאריך שבו הומצאה ההחלטה נושא הערר לעורר;</w:t>
      </w:r>
    </w:p>
    <w:p w:rsidR="008B3C10" w:rsidRDefault="008B3C10" w:rsidP="008B3C1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העובדות שעליהן מסתמך העורר;</w:t>
      </w:r>
    </w:p>
    <w:p w:rsidR="008B3C10" w:rsidRDefault="008B3C10" w:rsidP="008B3C10">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הנימוקים שעליהם מבסס העורר את עררו;</w:t>
      </w:r>
    </w:p>
    <w:p w:rsidR="008B3C10" w:rsidRDefault="008B3C10" w:rsidP="008B3C10">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רשימת המסמכים שעליהם מסתמך העורר, בציון המסמכים שאינם מצויים ברשותו;</w:t>
      </w:r>
    </w:p>
    <w:p w:rsidR="008B3C10" w:rsidRDefault="008B3C10" w:rsidP="008B3C10">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הסעד המבוקש;</w:t>
      </w:r>
    </w:p>
    <w:p w:rsidR="008B3C10" w:rsidRDefault="008B3C10" w:rsidP="008B3C10">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פרטים נוספים שניתן לכלול שיש בהם כדי לסייע בבירור הערר.</w:t>
      </w:r>
    </w:p>
    <w:p w:rsidR="008B3C10" w:rsidRDefault="008B3C10" w:rsidP="005359E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במסגרת הגשת כתב הערר יינתן מקום ייעודי </w:t>
      </w:r>
      <w:r>
        <w:rPr>
          <w:rStyle w:val="default"/>
          <w:rFonts w:cs="FrankRuehl"/>
          <w:rtl/>
        </w:rPr>
        <w:t>–</w:t>
      </w:r>
    </w:p>
    <w:p w:rsidR="008B3C10" w:rsidRDefault="008B3C10" w:rsidP="008B3C1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למילוי הצהרה מקוונת או לצירוף הצהרה, לשם אימות העובדות שבכתב הערר;</w:t>
      </w:r>
    </w:p>
    <w:p w:rsidR="008B3C10" w:rsidRDefault="008B3C10" w:rsidP="008B3C1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להגיש בקשה מקוונת או לצרף בקשה כי הדיון יתקיים בדלתיים סגורות לפי העילות המנויות בסעיף 25(ב) לחוק בתי דין מינהליים.</w:t>
      </w:r>
    </w:p>
    <w:p w:rsidR="008B3C10" w:rsidRDefault="008B3C10" w:rsidP="005359E7">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לכתב הערר יצורפו העתק של ההחלטה נושא הערר והעתקים של כל המסמכים הנוגעים לעניין; לא צורף מסמך כאמור לכתב הערר, אף שהוא מצוי ברשות העורר, לא יסתמך עליו בעל דין בדיון בערר אלא ברשות ועדת הערר ומטעמים מיוחדים שיירשמו.</w:t>
      </w:r>
    </w:p>
    <w:p w:rsidR="005359E7" w:rsidRDefault="00052410" w:rsidP="005359E7">
      <w:pPr>
        <w:pStyle w:val="P00"/>
        <w:spacing w:before="72"/>
        <w:ind w:left="0" w:right="1134"/>
        <w:rPr>
          <w:rStyle w:val="default"/>
          <w:rFonts w:cs="FrankRuehl"/>
          <w:rtl/>
        </w:rPr>
      </w:pPr>
      <w:bookmarkStart w:id="4" w:name="Seif3"/>
      <w:bookmarkEnd w:id="4"/>
      <w:r>
        <w:rPr>
          <w:lang w:val="he-IL"/>
        </w:rPr>
        <w:lastRenderedPageBreak/>
        <w:pict>
          <v:rect id="_x0000_s2079" style="position:absolute;left:0;text-align:left;margin-left:464.5pt;margin-top:8.05pt;width:75.05pt;height:13.75pt;z-index:251652608" o:allowincell="f" filled="f" stroked="f" strokecolor="lime" strokeweight=".25pt">
            <v:textbox inset="0,0,0,0">
              <w:txbxContent>
                <w:p w:rsidR="00052410" w:rsidRDefault="008B3C10" w:rsidP="00052410">
                  <w:pPr>
                    <w:spacing w:line="160" w:lineRule="exact"/>
                    <w:jc w:val="left"/>
                    <w:rPr>
                      <w:rFonts w:cs="Miriam"/>
                      <w:noProof/>
                      <w:szCs w:val="18"/>
                      <w:rtl/>
                    </w:rPr>
                  </w:pPr>
                  <w:r>
                    <w:rPr>
                      <w:rFonts w:cs="Miriam" w:hint="cs"/>
                      <w:szCs w:val="18"/>
                      <w:rtl/>
                    </w:rPr>
                    <w:t>פגם בכתב ערר</w:t>
                  </w:r>
                </w:p>
              </w:txbxContent>
            </v:textbox>
            <w10:anchorlock/>
          </v:rect>
        </w:pict>
      </w:r>
      <w:r w:rsidR="00125EBE">
        <w:rPr>
          <w:rStyle w:val="big-number"/>
          <w:rFonts w:hint="cs"/>
          <w:rtl/>
        </w:rPr>
        <w:t>3</w:t>
      </w:r>
      <w:r w:rsidRPr="005C7130">
        <w:rPr>
          <w:rStyle w:val="big-number"/>
          <w:rFonts w:cs="FrankRuehl"/>
          <w:szCs w:val="26"/>
          <w:rtl/>
        </w:rPr>
        <w:t>.</w:t>
      </w:r>
      <w:r w:rsidRPr="005C7130">
        <w:rPr>
          <w:rStyle w:val="big-number"/>
          <w:rFonts w:cs="FrankRuehl"/>
          <w:szCs w:val="26"/>
          <w:rtl/>
        </w:rPr>
        <w:tab/>
      </w:r>
      <w:r w:rsidR="008B3C10">
        <w:rPr>
          <w:rStyle w:val="default"/>
          <w:rFonts w:cs="FrankRuehl" w:hint="cs"/>
          <w:rtl/>
        </w:rPr>
        <w:t>כתב ערר שלא התקיימה לגביו הוראה מהוראות תקנה 2, רשאית ועדת הערר שלא לקבלו,למוחקו או להחזירו לעורר לשם תיקונו</w:t>
      </w:r>
      <w:r w:rsidR="00F9334E">
        <w:rPr>
          <w:rStyle w:val="default"/>
          <w:rFonts w:cs="FrankRuehl" w:hint="cs"/>
          <w:rtl/>
        </w:rPr>
        <w:t>.</w:t>
      </w:r>
    </w:p>
    <w:p w:rsidR="00052410" w:rsidRDefault="00052410" w:rsidP="00052410">
      <w:pPr>
        <w:pStyle w:val="P00"/>
        <w:spacing w:before="72"/>
        <w:ind w:left="0" w:right="1134"/>
        <w:rPr>
          <w:rStyle w:val="default"/>
          <w:rFonts w:cs="FrankRuehl"/>
          <w:rtl/>
        </w:rPr>
      </w:pPr>
      <w:bookmarkStart w:id="5" w:name="Seif4"/>
      <w:bookmarkEnd w:id="5"/>
      <w:r>
        <w:rPr>
          <w:lang w:val="he-IL"/>
        </w:rPr>
        <w:pict>
          <v:rect id="_x0000_s2080" style="position:absolute;left:0;text-align:left;margin-left:464.5pt;margin-top:8.05pt;width:75.05pt;height:28.85pt;z-index:251653632" o:allowincell="f" filled="f" stroked="f" strokecolor="lime" strokeweight=".25pt">
            <v:textbox inset="0,0,0,0">
              <w:txbxContent>
                <w:p w:rsidR="00052410" w:rsidRDefault="008B3C10" w:rsidP="00052410">
                  <w:pPr>
                    <w:spacing w:line="160" w:lineRule="exact"/>
                    <w:jc w:val="left"/>
                    <w:rPr>
                      <w:rFonts w:cs="Miriam"/>
                      <w:noProof/>
                      <w:szCs w:val="18"/>
                      <w:rtl/>
                    </w:rPr>
                  </w:pPr>
                  <w:r>
                    <w:rPr>
                      <w:rFonts w:cs="Miriam" w:hint="cs"/>
                      <w:szCs w:val="18"/>
                      <w:rtl/>
                    </w:rPr>
                    <w:t>המצאה והגשה של כתבי בי-דין או החלטות</w:t>
                  </w:r>
                </w:p>
              </w:txbxContent>
            </v:textbox>
            <w10:anchorlock/>
          </v:rect>
        </w:pict>
      </w:r>
      <w:r w:rsidR="00125EBE">
        <w:rPr>
          <w:rStyle w:val="big-number"/>
          <w:rFonts w:hint="cs"/>
          <w:rtl/>
        </w:rPr>
        <w:t>4</w:t>
      </w:r>
      <w:r w:rsidRPr="005C7130">
        <w:rPr>
          <w:rStyle w:val="big-number"/>
          <w:rFonts w:cs="FrankRuehl"/>
          <w:szCs w:val="26"/>
          <w:rtl/>
        </w:rPr>
        <w:t>.</w:t>
      </w:r>
      <w:r w:rsidRPr="005C7130">
        <w:rPr>
          <w:rStyle w:val="big-number"/>
          <w:rFonts w:cs="FrankRuehl"/>
          <w:szCs w:val="26"/>
          <w:rtl/>
        </w:rPr>
        <w:tab/>
      </w:r>
      <w:r w:rsidR="00047666">
        <w:rPr>
          <w:rStyle w:val="default"/>
          <w:rFonts w:cs="FrankRuehl" w:hint="cs"/>
          <w:rtl/>
        </w:rPr>
        <w:t>(</w:t>
      </w:r>
      <w:r w:rsidR="008B3C10">
        <w:rPr>
          <w:rStyle w:val="default"/>
          <w:rFonts w:cs="FrankRuehl" w:hint="cs"/>
          <w:rtl/>
        </w:rPr>
        <w:t>א</w:t>
      </w:r>
      <w:r w:rsidR="00047666">
        <w:rPr>
          <w:rStyle w:val="default"/>
          <w:rFonts w:cs="FrankRuehl" w:hint="cs"/>
          <w:rtl/>
        </w:rPr>
        <w:t>)</w:t>
      </w:r>
      <w:r w:rsidR="008B3C10">
        <w:rPr>
          <w:rStyle w:val="default"/>
          <w:rFonts w:cs="FrankRuehl"/>
          <w:rtl/>
        </w:rPr>
        <w:tab/>
      </w:r>
      <w:r w:rsidR="008B3C10">
        <w:rPr>
          <w:rStyle w:val="default"/>
          <w:rFonts w:cs="FrankRuehl" w:hint="cs"/>
          <w:rtl/>
        </w:rPr>
        <w:t>המצאה או הגשה של כתבי בי-דין או החלטות ועדת הערר שנקבעו בחוק או בתקנות אלה, ייעשו באופן מקוון, כפי שייקבע על ידי ראש בית הדין</w:t>
      </w:r>
      <w:r w:rsidR="00285D5C">
        <w:rPr>
          <w:rStyle w:val="a7"/>
          <w:rtl/>
        </w:rPr>
        <w:footnoteReference w:id="3"/>
      </w:r>
      <w:r w:rsidR="008B3C10">
        <w:rPr>
          <w:rStyle w:val="default"/>
          <w:rFonts w:cs="FrankRuehl" w:hint="cs"/>
          <w:rtl/>
        </w:rPr>
        <w:t>.</w:t>
      </w:r>
    </w:p>
    <w:p w:rsidR="008B3C10" w:rsidRDefault="008B3C10" w:rsidP="0005241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בתקנת משנה (א), ועדת הערר רשאית להורות כי המצאה או הגשה של כתבי בי-דין או החלטות ייעשו שלא באופן מקוון אלא בדרך אחרת, לרבות באמצעות דואר אלקטרוני או באמצעות הגשה ידנית, אם התקיימו טעמים מיוחדים המצדיקים זאת.</w:t>
      </w:r>
    </w:p>
    <w:p w:rsidR="008B3C10" w:rsidRDefault="008B3C10" w:rsidP="00052410">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המצאת כתבי בי-דין בין הצדדים תיעשה באמצעות שליחת עותק סרוק של כתבי בי-הדין, על כל נספחיו, אל כתובת דואר אלקטרוני שצוינה לפי תקנה 2(ג)(1) או 8(ב)(1), לפי העניין, ובלבד שתוצג הודעת דואר אלקטרוני מהצד המקבל, המאשרת את קבלת המסמך; לא הוצג אישור מהצד המקבל כאמור </w:t>
      </w:r>
      <w:r>
        <w:rPr>
          <w:rStyle w:val="default"/>
          <w:rFonts w:cs="FrankRuehl"/>
          <w:rtl/>
        </w:rPr>
        <w:t>–</w:t>
      </w:r>
      <w:r>
        <w:rPr>
          <w:rStyle w:val="default"/>
          <w:rFonts w:cs="FrankRuehl" w:hint="cs"/>
          <w:rtl/>
        </w:rPr>
        <w:t xml:space="preserve"> יראו את ההמצאה כאילו נעשתה ביום העבודה שלאחר מועד השליחה.</w:t>
      </w:r>
    </w:p>
    <w:p w:rsidR="00052410" w:rsidRDefault="00052410" w:rsidP="00052410">
      <w:pPr>
        <w:pStyle w:val="P00"/>
        <w:spacing w:before="72"/>
        <w:ind w:left="0" w:right="1134"/>
        <w:rPr>
          <w:rStyle w:val="default"/>
          <w:rFonts w:cs="FrankRuehl"/>
          <w:rtl/>
        </w:rPr>
      </w:pPr>
      <w:bookmarkStart w:id="6" w:name="Seif5"/>
      <w:bookmarkEnd w:id="6"/>
      <w:r>
        <w:rPr>
          <w:lang w:val="he-IL"/>
        </w:rPr>
        <w:pict>
          <v:rect id="_x0000_s2081" style="position:absolute;left:0;text-align:left;margin-left:464.5pt;margin-top:8.05pt;width:75.05pt;height:13.35pt;z-index:251654656" o:allowincell="f" filled="f" stroked="f" strokecolor="lime" strokeweight=".25pt">
            <v:textbox inset="0,0,0,0">
              <w:txbxContent>
                <w:p w:rsidR="00052410" w:rsidRDefault="008B3C10" w:rsidP="00052410">
                  <w:pPr>
                    <w:spacing w:line="160" w:lineRule="exact"/>
                    <w:jc w:val="left"/>
                    <w:rPr>
                      <w:rFonts w:cs="Miriam"/>
                      <w:noProof/>
                      <w:szCs w:val="18"/>
                      <w:rtl/>
                    </w:rPr>
                  </w:pPr>
                  <w:r>
                    <w:rPr>
                      <w:rFonts w:cs="Miriam" w:hint="cs"/>
                      <w:szCs w:val="18"/>
                      <w:rtl/>
                    </w:rPr>
                    <w:t>מקום השיפוט</w:t>
                  </w:r>
                </w:p>
              </w:txbxContent>
            </v:textbox>
            <w10:anchorlock/>
          </v:rect>
        </w:pict>
      </w:r>
      <w:r w:rsidR="00243BC4">
        <w:rPr>
          <w:rStyle w:val="big-number"/>
          <w:rFonts w:hint="cs"/>
          <w:rtl/>
        </w:rPr>
        <w:t>5</w:t>
      </w:r>
      <w:r w:rsidRPr="005C7130">
        <w:rPr>
          <w:rStyle w:val="big-number"/>
          <w:rFonts w:cs="FrankRuehl"/>
          <w:szCs w:val="26"/>
          <w:rtl/>
        </w:rPr>
        <w:t>.</w:t>
      </w:r>
      <w:r w:rsidRPr="005C7130">
        <w:rPr>
          <w:rStyle w:val="big-number"/>
          <w:rFonts w:cs="FrankRuehl"/>
          <w:szCs w:val="26"/>
          <w:rtl/>
        </w:rPr>
        <w:tab/>
      </w:r>
      <w:r w:rsidR="008B3C10">
        <w:rPr>
          <w:rStyle w:val="default"/>
          <w:rFonts w:cs="FrankRuehl" w:hint="cs"/>
          <w:rtl/>
        </w:rPr>
        <w:t>(א)</w:t>
      </w:r>
      <w:r w:rsidR="008B3C10">
        <w:rPr>
          <w:rStyle w:val="default"/>
          <w:rFonts w:cs="FrankRuehl"/>
          <w:rtl/>
        </w:rPr>
        <w:tab/>
      </w:r>
      <w:r w:rsidR="008B3C10">
        <w:rPr>
          <w:rStyle w:val="default"/>
          <w:rFonts w:cs="FrankRuehl" w:hint="cs"/>
          <w:rtl/>
        </w:rPr>
        <w:t>ערר שוועדת הערר קבעה כי יש לקיימו בנוכחות הצדדים, יידון בהתאם למקום העסק העיקרי שבעניינו הוגש הערר</w:t>
      </w:r>
      <w:r w:rsidR="000C37CF">
        <w:rPr>
          <w:rStyle w:val="default"/>
          <w:rFonts w:cs="FrankRuehl" w:hint="cs"/>
          <w:rtl/>
        </w:rPr>
        <w:t>.</w:t>
      </w:r>
    </w:p>
    <w:p w:rsidR="008B3C10" w:rsidRDefault="008B3C10" w:rsidP="0005241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יושב ראש הוועדה רשאי להורות על קיון הדיון במקום אחר, אם סבר שנפלה טעות בבחירת מקום הדיון או שמאזן הנוחות מצדיק זאת; ערר שהועבר כאמור לא יועבר עוד.</w:t>
      </w:r>
    </w:p>
    <w:p w:rsidR="00B42B36" w:rsidRDefault="00052410" w:rsidP="00052410">
      <w:pPr>
        <w:pStyle w:val="P00"/>
        <w:spacing w:before="72"/>
        <w:ind w:left="0" w:right="1134"/>
        <w:rPr>
          <w:rStyle w:val="default"/>
          <w:rFonts w:cs="FrankRuehl"/>
          <w:rtl/>
        </w:rPr>
      </w:pPr>
      <w:bookmarkStart w:id="7" w:name="Seif6"/>
      <w:bookmarkEnd w:id="7"/>
      <w:r>
        <w:rPr>
          <w:lang w:val="he-IL"/>
        </w:rPr>
        <w:pict>
          <v:rect id="_x0000_s2082" style="position:absolute;left:0;text-align:left;margin-left:464.5pt;margin-top:8.05pt;width:75.05pt;height:21.3pt;z-index:251655680" o:allowincell="f" filled="f" stroked="f" strokecolor="lime" strokeweight=".25pt">
            <v:textbox inset="0,0,0,0">
              <w:txbxContent>
                <w:p w:rsidR="007B5CFD" w:rsidRDefault="008B3C10" w:rsidP="00122137">
                  <w:pPr>
                    <w:spacing w:line="160" w:lineRule="exact"/>
                    <w:jc w:val="left"/>
                    <w:rPr>
                      <w:rFonts w:cs="Miriam"/>
                      <w:noProof/>
                      <w:szCs w:val="18"/>
                      <w:rtl/>
                    </w:rPr>
                  </w:pPr>
                  <w:r>
                    <w:rPr>
                      <w:rFonts w:cs="Miriam" w:hint="cs"/>
                      <w:szCs w:val="18"/>
                      <w:rtl/>
                    </w:rPr>
                    <w:t>הארכת מועד להגשת ערר</w:t>
                  </w:r>
                </w:p>
              </w:txbxContent>
            </v:textbox>
            <w10:anchorlock/>
          </v:rect>
        </w:pict>
      </w:r>
      <w:r w:rsidR="00243BC4">
        <w:rPr>
          <w:rStyle w:val="big-number"/>
          <w:rFonts w:hint="cs"/>
          <w:rtl/>
        </w:rPr>
        <w:t>6</w:t>
      </w:r>
      <w:r w:rsidRPr="005C7130">
        <w:rPr>
          <w:rStyle w:val="big-number"/>
          <w:rFonts w:cs="FrankRuehl"/>
          <w:szCs w:val="26"/>
          <w:rtl/>
        </w:rPr>
        <w:t>.</w:t>
      </w:r>
      <w:r w:rsidRPr="005C7130">
        <w:rPr>
          <w:rStyle w:val="big-number"/>
          <w:rFonts w:cs="FrankRuehl"/>
          <w:szCs w:val="26"/>
          <w:rtl/>
        </w:rPr>
        <w:tab/>
      </w:r>
      <w:r w:rsidR="008B3C10">
        <w:rPr>
          <w:rStyle w:val="default"/>
          <w:rFonts w:cs="FrankRuehl" w:hint="cs"/>
          <w:rtl/>
        </w:rPr>
        <w:t>(א)</w:t>
      </w:r>
      <w:r w:rsidR="008B3C10">
        <w:rPr>
          <w:rStyle w:val="default"/>
          <w:rFonts w:cs="FrankRuehl"/>
          <w:rtl/>
        </w:rPr>
        <w:tab/>
      </w:r>
      <w:r w:rsidR="008B3C10">
        <w:rPr>
          <w:rStyle w:val="default"/>
          <w:rFonts w:cs="FrankRuehl" w:hint="cs"/>
          <w:rtl/>
        </w:rPr>
        <w:t>עורר המבקש להאריך מועד להגשת ערר מעבר למועד הקבוע בסעיף 20(ב) לחוק, יגיש לוועדת הערר בהקדם בקשה בצירוף הצהרה שבה יאומתו העובדות שביסוד בקשתו, ויפרט בבקשה את טעמיו המיוחדים.</w:t>
      </w:r>
    </w:p>
    <w:p w:rsidR="008B3C10" w:rsidRDefault="008B3C10" w:rsidP="0005241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תינתן הארכת מועד כאמור בתקנת משנה (א) אלא לאחר שניתנה למשיב הזדמנות להגיב.</w:t>
      </w:r>
    </w:p>
    <w:p w:rsidR="008B3C10" w:rsidRDefault="008B3C10" w:rsidP="0005241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הארכת מועד להגשת ערר תינתן מטעמים מיוחדים שיירשמו.</w:t>
      </w:r>
    </w:p>
    <w:p w:rsidR="005359E7" w:rsidRDefault="005359E7" w:rsidP="005359E7">
      <w:pPr>
        <w:pStyle w:val="P00"/>
        <w:spacing w:before="72"/>
        <w:ind w:left="0" w:right="1134"/>
        <w:rPr>
          <w:rStyle w:val="default"/>
          <w:rFonts w:cs="FrankRuehl"/>
          <w:rtl/>
        </w:rPr>
      </w:pPr>
      <w:bookmarkStart w:id="8" w:name="Seif7"/>
      <w:bookmarkEnd w:id="8"/>
      <w:r>
        <w:rPr>
          <w:lang w:val="he-IL"/>
        </w:rPr>
        <w:pict>
          <v:rect id="_x0000_s2083" style="position:absolute;left:0;text-align:left;margin-left:464.5pt;margin-top:8.05pt;width:75.05pt;height:12pt;z-index:251656704" o:allowincell="f" filled="f" stroked="f" strokecolor="lime" strokeweight=".25pt">
            <v:textbox inset="0,0,0,0">
              <w:txbxContent>
                <w:p w:rsidR="005359E7" w:rsidRDefault="00191FB8" w:rsidP="005359E7">
                  <w:pPr>
                    <w:spacing w:line="160" w:lineRule="exact"/>
                    <w:jc w:val="left"/>
                    <w:rPr>
                      <w:rFonts w:cs="Miriam"/>
                      <w:noProof/>
                      <w:szCs w:val="18"/>
                      <w:rtl/>
                    </w:rPr>
                  </w:pPr>
                  <w:r>
                    <w:rPr>
                      <w:rFonts w:cs="Miriam" w:hint="cs"/>
                      <w:szCs w:val="18"/>
                      <w:rtl/>
                    </w:rPr>
                    <w:t>עיון בערר</w:t>
                  </w:r>
                </w:p>
              </w:txbxContent>
            </v:textbox>
            <w10:anchorlock/>
          </v:rect>
        </w:pict>
      </w:r>
      <w:r w:rsidR="0084021E">
        <w:rPr>
          <w:rStyle w:val="big-number"/>
          <w:rFonts w:hint="cs"/>
          <w:rtl/>
        </w:rPr>
        <w:t>7</w:t>
      </w:r>
      <w:r w:rsidRPr="005C7130">
        <w:rPr>
          <w:rStyle w:val="big-number"/>
          <w:rFonts w:cs="FrankRuehl"/>
          <w:szCs w:val="26"/>
          <w:rtl/>
        </w:rPr>
        <w:t>.</w:t>
      </w:r>
      <w:r w:rsidRPr="005C7130">
        <w:rPr>
          <w:rStyle w:val="big-number"/>
          <w:rFonts w:cs="FrankRuehl"/>
          <w:szCs w:val="26"/>
          <w:rtl/>
        </w:rPr>
        <w:tab/>
      </w:r>
      <w:r w:rsidR="00191FB8">
        <w:rPr>
          <w:rStyle w:val="default"/>
          <w:rFonts w:cs="FrankRuehl" w:hint="cs"/>
          <w:rtl/>
        </w:rPr>
        <w:t xml:space="preserve">ערר יובא, בהקדם האפשרי, לעיון ועדת הערר, והיא רשאית </w:t>
      </w:r>
      <w:r w:rsidR="00191FB8">
        <w:rPr>
          <w:rStyle w:val="default"/>
          <w:rFonts w:cs="FrankRuehl"/>
          <w:rtl/>
        </w:rPr>
        <w:t>–</w:t>
      </w:r>
    </w:p>
    <w:p w:rsidR="00191FB8" w:rsidRDefault="00191FB8" w:rsidP="00191FB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למחוק או לדחות את הערר, כולו או מקצתו, על הסף, מיוזמתה או לבקשת המשיב, ובלבד שניתנה לעורר הזדמנות להגיב על בקשה כאמור; החלטה כאמור תינתן אם מצאה ועדת הערר שאין לה סמכות או שלכאורה הערר אינו מגלה עילה להתערבות ועדת הערר, או שהוא טורדני או קנטרני;</w:t>
      </w:r>
    </w:p>
    <w:p w:rsidR="00191FB8" w:rsidRDefault="00191FB8" w:rsidP="00191FB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להחליט בבקשה להארכת מועד לפי תקנה 6;</w:t>
      </w:r>
    </w:p>
    <w:p w:rsidR="00191FB8" w:rsidRDefault="00191FB8" w:rsidP="00191FB8">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להורות לעורר להגיש הודעה משלימה בעניינים שהורתה עליהם או להגיש נוסח מתוקן של הערר באופן שהורתה;</w:t>
      </w:r>
    </w:p>
    <w:p w:rsidR="00191FB8" w:rsidRDefault="00191FB8" w:rsidP="00191FB8">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להחליט כי המשיב יגיש לוועדת הערר כתב תשובה לפי תקנה 8, לערר כולו או לעניינים שהגדירה.</w:t>
      </w:r>
    </w:p>
    <w:p w:rsidR="005359E7" w:rsidRDefault="005359E7" w:rsidP="005359E7">
      <w:pPr>
        <w:pStyle w:val="P00"/>
        <w:spacing w:before="72"/>
        <w:ind w:left="0" w:right="1134"/>
        <w:rPr>
          <w:rStyle w:val="default"/>
          <w:rFonts w:cs="FrankRuehl"/>
          <w:rtl/>
        </w:rPr>
      </w:pPr>
      <w:bookmarkStart w:id="9" w:name="Seif8"/>
      <w:bookmarkEnd w:id="9"/>
      <w:r>
        <w:rPr>
          <w:lang w:val="he-IL"/>
        </w:rPr>
        <w:pict>
          <v:rect id="_x0000_s2084" style="position:absolute;left:0;text-align:left;margin-left:464.5pt;margin-top:8.05pt;width:75.05pt;height:14.75pt;z-index:251657728" o:allowincell="f" filled="f" stroked="f" strokecolor="lime" strokeweight=".25pt">
            <v:textbox inset="0,0,0,0">
              <w:txbxContent>
                <w:p w:rsidR="005359E7" w:rsidRDefault="00191FB8" w:rsidP="002520EC">
                  <w:pPr>
                    <w:spacing w:line="160" w:lineRule="exact"/>
                    <w:jc w:val="left"/>
                    <w:rPr>
                      <w:rFonts w:cs="Miriam"/>
                      <w:noProof/>
                      <w:szCs w:val="18"/>
                      <w:rtl/>
                    </w:rPr>
                  </w:pPr>
                  <w:r>
                    <w:rPr>
                      <w:rFonts w:cs="Miriam" w:hint="cs"/>
                      <w:szCs w:val="18"/>
                      <w:rtl/>
                    </w:rPr>
                    <w:t>כתב תשובה</w:t>
                  </w:r>
                </w:p>
              </w:txbxContent>
            </v:textbox>
            <w10:anchorlock/>
          </v:rect>
        </w:pict>
      </w:r>
      <w:r w:rsidR="0084021E">
        <w:rPr>
          <w:rStyle w:val="big-number"/>
          <w:rFonts w:hint="cs"/>
          <w:rtl/>
        </w:rPr>
        <w:t>8</w:t>
      </w:r>
      <w:r w:rsidRPr="005C7130">
        <w:rPr>
          <w:rStyle w:val="big-number"/>
          <w:rFonts w:cs="FrankRuehl"/>
          <w:szCs w:val="26"/>
          <w:rtl/>
        </w:rPr>
        <w:t>.</w:t>
      </w:r>
      <w:r w:rsidRPr="005C7130">
        <w:rPr>
          <w:rStyle w:val="big-number"/>
          <w:rFonts w:cs="FrankRuehl"/>
          <w:szCs w:val="26"/>
          <w:rtl/>
        </w:rPr>
        <w:tab/>
      </w:r>
      <w:r w:rsidR="00191FB8">
        <w:rPr>
          <w:rStyle w:val="default"/>
          <w:rFonts w:cs="FrankRuehl" w:hint="cs"/>
          <w:rtl/>
        </w:rPr>
        <w:t>(א)</w:t>
      </w:r>
      <w:r w:rsidR="00191FB8">
        <w:rPr>
          <w:rStyle w:val="default"/>
          <w:rFonts w:cs="FrankRuehl"/>
          <w:rtl/>
        </w:rPr>
        <w:tab/>
      </w:r>
      <w:r w:rsidR="00191FB8">
        <w:rPr>
          <w:rStyle w:val="default"/>
          <w:rFonts w:cs="FrankRuehl" w:hint="cs"/>
          <w:rtl/>
        </w:rPr>
        <w:t xml:space="preserve">הורתה ועדת הערר על הגשת כתב תשובה לערר, יוגש כתב התשובה לוועדת הערר בתוך 30 ימים, אם ועדת הערר לא הורתה אחרת, זולת אם הוגשה בקשה לסילוק הערר על הסף; הוגשה ונדחתה בקשה לסילוק הערר על הסף </w:t>
      </w:r>
      <w:r w:rsidR="00191FB8">
        <w:rPr>
          <w:rStyle w:val="default"/>
          <w:rFonts w:cs="FrankRuehl"/>
          <w:rtl/>
        </w:rPr>
        <w:t>–</w:t>
      </w:r>
      <w:r w:rsidR="00191FB8">
        <w:rPr>
          <w:rStyle w:val="default"/>
          <w:rFonts w:cs="FrankRuehl" w:hint="cs"/>
          <w:rtl/>
        </w:rPr>
        <w:t xml:space="preserve"> יימנה המועד להגשת כתב התשובה ממועד ההחלטה הדוחה את הבקשה לסילוק על הסף.</w:t>
      </w:r>
    </w:p>
    <w:p w:rsidR="00191FB8" w:rsidRDefault="00191FB8" w:rsidP="005359E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בכתב תשובה יפורטו אלה:</w:t>
      </w:r>
    </w:p>
    <w:p w:rsidR="00191FB8" w:rsidRDefault="00191FB8" w:rsidP="00191FB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מען המשיב;</w:t>
      </w:r>
    </w:p>
    <w:p w:rsidR="00191FB8" w:rsidRDefault="00191FB8" w:rsidP="00191FB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פירוט הנימוקים שבעובדה ושבחוק שעליהם מתבססת התשובה;</w:t>
      </w:r>
    </w:p>
    <w:p w:rsidR="00191FB8" w:rsidRDefault="00191FB8" w:rsidP="00191FB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עמדת המשיב באשר לסעד המבוקש בערר.</w:t>
      </w:r>
    </w:p>
    <w:p w:rsidR="00191FB8" w:rsidRDefault="00191FB8" w:rsidP="005359E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3F363C">
        <w:rPr>
          <w:rStyle w:val="default"/>
          <w:rFonts w:cs="FrankRuehl" w:hint="cs"/>
          <w:rtl/>
        </w:rPr>
        <w:t>לכתב התשובה יצורפו העתקים של כל המסמכים הנוגעים לעניין.</w:t>
      </w:r>
    </w:p>
    <w:p w:rsidR="00EE0D29" w:rsidRDefault="003F363C" w:rsidP="00EE0D2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EE0D29">
        <w:rPr>
          <w:rStyle w:val="default"/>
          <w:rFonts w:cs="FrankRuehl" w:hint="cs"/>
          <w:rtl/>
        </w:rPr>
        <w:t>ביקש המשיב בכתב התשובה למחוק את הערר על הסף, כולו או מקצתו, יפרט את הטעמים לכך.</w:t>
      </w:r>
    </w:p>
    <w:p w:rsidR="00EE0D29" w:rsidRDefault="00EE0D29" w:rsidP="00EE0D2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כתב תשובה יומצא על ידי המשיב לעורר.</w:t>
      </w:r>
    </w:p>
    <w:p w:rsidR="00EE0D29" w:rsidRDefault="00EE0D29" w:rsidP="00EE0D29">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לא הגיש משיב כתב תשובה או בקשה לסילוק על הסף, רשאית ועדת הערר לפעול לבירור הערר לפי תקנה 9, ובלבד שמועד הדיון, אם ייקבע, יהיה לכל הפחות 14 ימים ממועד ההחלטה על זימון הדיון; נקבע דיון לפי תקנה זו, רשאי המשיב להגיש כתב תשובה עד שבעה ימים לפני מועד הדיון; לא הגיש המשיב כתב תשובה במועד זה, לא יהיה רשאי להשמיע את טענותיו בדיון בערר אלא ברשות ועדת הערר.</w:t>
      </w:r>
    </w:p>
    <w:p w:rsidR="0008343E" w:rsidRDefault="0008343E" w:rsidP="0008343E">
      <w:pPr>
        <w:pStyle w:val="P00"/>
        <w:spacing w:before="72"/>
        <w:ind w:left="0" w:right="1134"/>
        <w:rPr>
          <w:rStyle w:val="default"/>
          <w:rFonts w:cs="FrankRuehl"/>
          <w:rtl/>
        </w:rPr>
      </w:pPr>
      <w:bookmarkStart w:id="10" w:name="Seif9"/>
      <w:bookmarkEnd w:id="10"/>
      <w:r>
        <w:rPr>
          <w:lang w:val="he-IL"/>
        </w:rPr>
        <w:pict>
          <v:rect id="_x0000_s2085" style="position:absolute;left:0;text-align:left;margin-left:464.5pt;margin-top:8.05pt;width:75.05pt;height:12.6pt;z-index:251658752" o:allowincell="f" filled="f" stroked="f" strokecolor="lime" strokeweight=".25pt">
            <v:textbox inset="0,0,0,0">
              <w:txbxContent>
                <w:p w:rsidR="00542C6B" w:rsidRDefault="00EE0D29" w:rsidP="00542C6B">
                  <w:pPr>
                    <w:autoSpaceDE/>
                    <w:autoSpaceDN/>
                    <w:spacing w:line="160" w:lineRule="exact"/>
                    <w:jc w:val="left"/>
                    <w:rPr>
                      <w:rFonts w:cs="Miriam" w:hint="cs"/>
                      <w:sz w:val="18"/>
                      <w:szCs w:val="18"/>
                      <w:rtl/>
                    </w:rPr>
                  </w:pPr>
                  <w:r>
                    <w:rPr>
                      <w:rFonts w:cs="Miriam" w:hint="cs"/>
                      <w:szCs w:val="18"/>
                      <w:rtl/>
                    </w:rPr>
                    <w:t>בירור ערר</w:t>
                  </w:r>
                </w:p>
              </w:txbxContent>
            </v:textbox>
            <w10:anchorlock/>
          </v:rect>
        </w:pict>
      </w:r>
      <w:r w:rsidR="00DD5C66">
        <w:rPr>
          <w:rStyle w:val="big-number"/>
          <w:rFonts w:hint="cs"/>
          <w:rtl/>
        </w:rPr>
        <w:t>9</w:t>
      </w:r>
      <w:r w:rsidRPr="005C7130">
        <w:rPr>
          <w:rStyle w:val="big-number"/>
          <w:rFonts w:cs="FrankRuehl"/>
          <w:szCs w:val="26"/>
          <w:rtl/>
        </w:rPr>
        <w:t>.</w:t>
      </w:r>
      <w:r w:rsidRPr="005C7130">
        <w:rPr>
          <w:rStyle w:val="big-number"/>
          <w:rFonts w:cs="FrankRuehl"/>
          <w:szCs w:val="26"/>
          <w:rtl/>
        </w:rPr>
        <w:tab/>
      </w:r>
      <w:r w:rsidR="00EE0D29">
        <w:rPr>
          <w:rStyle w:val="default"/>
          <w:rFonts w:cs="FrankRuehl" w:hint="cs"/>
          <w:rtl/>
        </w:rPr>
        <w:t xml:space="preserve">הוגשו כתב ערר וכתב תשובה, רשאית ועדת הערר </w:t>
      </w:r>
      <w:r w:rsidR="00EE0D29">
        <w:rPr>
          <w:rStyle w:val="default"/>
          <w:rFonts w:cs="FrankRuehl"/>
          <w:rtl/>
        </w:rPr>
        <w:t>–</w:t>
      </w:r>
    </w:p>
    <w:p w:rsidR="00EE0D29" w:rsidRDefault="00EE0D29" w:rsidP="00EE0D2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לדון ולהחליט על פי הטענות והראיות שהוגשו בכתב בלבד, אם מצאה שאין בכך כדי לפגוע בעשיית צדק בעניינם של הצדדים;</w:t>
      </w:r>
    </w:p>
    <w:p w:rsidR="00EE0D29" w:rsidRDefault="00EE0D29" w:rsidP="00EE0D2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לקבוע מועד לדיון בערר; קבעה ועדת הערר כאמור, מי שהוסמך לכך מטעם ראש בית הדין או מטעם ועדת הערר ישלח לבעלי הדין הזמנות לדיון במועד מוקדם ככל האפשר ולא יאוחר משבעה ימים טרם מועד הדיון, זולת אם בנסיבות העניין קבעה ועדת הערר מועד אחר;</w:t>
      </w:r>
    </w:p>
    <w:p w:rsidR="00EE0D29" w:rsidRDefault="00EE0D29" w:rsidP="00EE0D29">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דיון כאמור בפסקה (2) יתקיים באמצעים טכנולוגיים, כאמור בתקנה 10, אלא אם כן מצא יושב ראש הוועדה, מיוזמתו או לבקשת אחד הצדדים, שיש בכך כדי לפגוע בעשיית צדק בעניינם של הצדדים.</w:t>
      </w:r>
    </w:p>
    <w:p w:rsidR="0008343E" w:rsidRDefault="0008343E" w:rsidP="0008343E">
      <w:pPr>
        <w:pStyle w:val="P00"/>
        <w:spacing w:before="72"/>
        <w:ind w:left="0" w:right="1134"/>
        <w:rPr>
          <w:rStyle w:val="default"/>
          <w:rFonts w:cs="FrankRuehl"/>
          <w:rtl/>
        </w:rPr>
      </w:pPr>
      <w:bookmarkStart w:id="11" w:name="Seif10"/>
      <w:bookmarkEnd w:id="11"/>
      <w:r>
        <w:rPr>
          <w:lang w:val="he-IL"/>
        </w:rPr>
        <w:pict>
          <v:rect id="_x0000_s2086" style="position:absolute;left:0;text-align:left;margin-left:464.5pt;margin-top:8.05pt;width:75.05pt;height:22.05pt;z-index:251659776" o:allowincell="f" filled="f" stroked="f" strokecolor="lime" strokeweight=".25pt">
            <v:textbox inset="0,0,0,0">
              <w:txbxContent>
                <w:p w:rsidR="0008343E" w:rsidRDefault="00EE0D29" w:rsidP="0008343E">
                  <w:pPr>
                    <w:spacing w:line="160" w:lineRule="exact"/>
                    <w:jc w:val="left"/>
                    <w:rPr>
                      <w:rFonts w:cs="Miriam"/>
                      <w:noProof/>
                      <w:szCs w:val="18"/>
                      <w:rtl/>
                    </w:rPr>
                  </w:pPr>
                  <w:r>
                    <w:rPr>
                      <w:rFonts w:cs="Miriam" w:hint="cs"/>
                      <w:szCs w:val="18"/>
                      <w:rtl/>
                    </w:rPr>
                    <w:t>דיון באמצעים טכנולוגיים</w:t>
                  </w:r>
                </w:p>
              </w:txbxContent>
            </v:textbox>
            <w10:anchorlock/>
          </v:rect>
        </w:pict>
      </w:r>
      <w:r>
        <w:rPr>
          <w:rStyle w:val="big-number"/>
          <w:rFonts w:hint="cs"/>
          <w:rtl/>
        </w:rPr>
        <w:t>10</w:t>
      </w:r>
      <w:r w:rsidRPr="005C7130">
        <w:rPr>
          <w:rStyle w:val="big-number"/>
          <w:rFonts w:cs="FrankRuehl"/>
          <w:szCs w:val="26"/>
          <w:rtl/>
        </w:rPr>
        <w:t>.</w:t>
      </w:r>
      <w:r w:rsidRPr="005C7130">
        <w:rPr>
          <w:rStyle w:val="big-number"/>
          <w:rFonts w:cs="FrankRuehl"/>
          <w:szCs w:val="26"/>
          <w:rtl/>
        </w:rPr>
        <w:tab/>
      </w:r>
      <w:r w:rsidR="002C2599">
        <w:rPr>
          <w:rStyle w:val="default"/>
          <w:rFonts w:cs="FrankRuehl" w:hint="cs"/>
          <w:rtl/>
        </w:rPr>
        <w:t>(א)</w:t>
      </w:r>
      <w:r w:rsidR="002C2599">
        <w:rPr>
          <w:rStyle w:val="default"/>
          <w:rFonts w:cs="FrankRuehl"/>
          <w:rtl/>
        </w:rPr>
        <w:tab/>
      </w:r>
      <w:r w:rsidR="00EE0D29">
        <w:rPr>
          <w:rStyle w:val="default"/>
          <w:rFonts w:cs="FrankRuehl" w:hint="cs"/>
          <w:rtl/>
        </w:rPr>
        <w:t xml:space="preserve">דיון שנקבע כי יש לקיימו באמצעים טכנולוגיים, יתקיים בהשתתפות העורר ומייצגו אם הוא מיוצג, חברי ועדת הערר, המשיב או מייצגו וכל אדם אחר שהשתתפותו בדיון נדרשת, באמצעות מכשירים טכנולוגיים שמאפשרים העברת תמונה וקול בזמן אמת (בתקנה זו </w:t>
      </w:r>
      <w:r w:rsidR="00EE0D29">
        <w:rPr>
          <w:rStyle w:val="default"/>
          <w:rFonts w:cs="FrankRuehl"/>
          <w:rtl/>
        </w:rPr>
        <w:t>–</w:t>
      </w:r>
      <w:r w:rsidR="00EE0D29">
        <w:rPr>
          <w:rStyle w:val="default"/>
          <w:rFonts w:cs="FrankRuehl" w:hint="cs"/>
          <w:rtl/>
        </w:rPr>
        <w:t xml:space="preserve"> דיון באמצעים טכנולוגיים).</w:t>
      </w:r>
    </w:p>
    <w:p w:rsidR="00EE0D29" w:rsidRDefault="00EE0D29" w:rsidP="0008343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E15578">
        <w:rPr>
          <w:rStyle w:val="default"/>
          <w:rFonts w:cs="FrankRuehl" w:hint="cs"/>
          <w:rtl/>
        </w:rPr>
        <w:t>דיון באמצעים טכנולוגיים ייעשה בדרך שתבטיח כי העורר, חבר ועדת ערר, המשיב וכל אחד אחר שהשתתפותו בדיון נדרשת, יוכלו לראות ולשמוע זה את זה במהלך הדיון ולהשמיע את עמדתם.</w:t>
      </w:r>
    </w:p>
    <w:p w:rsidR="00E15578" w:rsidRDefault="00E15578" w:rsidP="0008343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היה אחד המשתתפים בדיון אדם עם מוגבלות, תורה ועדת הערר על קיום הדיון באמצעים טכנולוגיים רק אם ניתן לקיימו באופן נגיש לצרכיו של האדם, תוך עריכת התאמות נגישות הנדרשות בהתאם להוראות שנקבעו לפי חוק שוויון זכויות לאנשים </w:t>
      </w:r>
      <w:r w:rsidR="00703CDE">
        <w:rPr>
          <w:rStyle w:val="default"/>
          <w:rFonts w:cs="FrankRuehl" w:hint="cs"/>
          <w:rtl/>
        </w:rPr>
        <w:t>עם מוגבלות, התשנ"ח-1998, חוק הליכי חקירה והעדה (התאמה לאנשים עם מוגבלות שכלית או נפשית), התשס"ו-2005, או לפי סימן ה' לתקנות שוויון זכויות לאנשים עם מוגבלות (התאמות נגישות לשירות), התשע"ג-2013, כנדרש בהתאם לסוג המגבלות.</w:t>
      </w:r>
    </w:p>
    <w:p w:rsidR="00703CDE" w:rsidRDefault="00703CDE" w:rsidP="0008343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ניתן לקיים את הדיון באופן נגיש כאמור בתקנה משנה (ג), יתקיים הדיון הנוגע לאותו אדם עם מוגבלות באופן שיאפשר את השתתפותו בישיבה, ובכלל זה בנוכחותו של אותו אדם.</w:t>
      </w:r>
    </w:p>
    <w:p w:rsidR="00703CDE" w:rsidRDefault="00703CDE" w:rsidP="0008343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היה העורר או המשיב מיוצג, תתאפשר שיחה חסויה בין כל צד לבין מייצגו במהלך הדיון.</w:t>
      </w:r>
    </w:p>
    <w:p w:rsidR="00703CDE" w:rsidRDefault="00703CDE" w:rsidP="0008343E">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ראש בית הדין מוסמך לקבוע הוראות לעניין האמצעי הטכנולוגי הנבחר לפי הוראות תקנה זו ולעניין אופן השימוש בו; הוראות כאמור יפורסמו באתר האינטרנט של משרד המשפטים.</w:t>
      </w:r>
    </w:p>
    <w:p w:rsidR="00703CDE" w:rsidRDefault="00703CDE" w:rsidP="0008343E">
      <w:pPr>
        <w:pStyle w:val="P00"/>
        <w:spacing w:before="72"/>
        <w:ind w:left="0" w:right="1134"/>
        <w:rPr>
          <w:rStyle w:val="default"/>
          <w:rFonts w:cs="FrankRuehl" w:hint="cs"/>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מצא יושב ראש הוועדה לפי תקנה 9(3) שיש בקיום הדיון באמצעים טכנולוגיים כדי לפגוע בעשיית הצדק בעניינם של הצדדים ונקבע דיון בנוכחות הצדדים, רשאי יושב ראש הוועדה, לבקשת אחד המשתתפים, להורות על השתתפותו באמצעים טכנולוגיים.</w:t>
      </w:r>
    </w:p>
    <w:p w:rsidR="0008343E" w:rsidRDefault="0008343E" w:rsidP="0008343E">
      <w:pPr>
        <w:pStyle w:val="P00"/>
        <w:spacing w:before="72"/>
        <w:ind w:left="0" w:right="1134"/>
        <w:rPr>
          <w:rStyle w:val="default"/>
          <w:rFonts w:cs="FrankRuehl"/>
          <w:rtl/>
        </w:rPr>
      </w:pPr>
      <w:bookmarkStart w:id="12" w:name="Seif11"/>
      <w:bookmarkEnd w:id="12"/>
      <w:r>
        <w:rPr>
          <w:lang w:val="he-IL"/>
        </w:rPr>
        <w:pict>
          <v:rect id="_x0000_s2087" style="position:absolute;left:0;text-align:left;margin-left:464.5pt;margin-top:8.05pt;width:75.05pt;height:12.3pt;z-index:251660800" o:allowincell="f" filled="f" stroked="f" strokecolor="lime" strokeweight=".25pt">
            <v:textbox inset="0,0,0,0">
              <w:txbxContent>
                <w:p w:rsidR="0008343E" w:rsidRDefault="00703CDE" w:rsidP="0008343E">
                  <w:pPr>
                    <w:spacing w:line="160" w:lineRule="exact"/>
                    <w:jc w:val="left"/>
                    <w:rPr>
                      <w:rFonts w:cs="Miriam"/>
                      <w:noProof/>
                      <w:szCs w:val="18"/>
                      <w:rtl/>
                    </w:rPr>
                  </w:pPr>
                  <w:r>
                    <w:rPr>
                      <w:rFonts w:cs="Miriam" w:hint="cs"/>
                      <w:szCs w:val="18"/>
                      <w:rtl/>
                    </w:rPr>
                    <w:t>פרוטוקול</w:t>
                  </w:r>
                </w:p>
              </w:txbxContent>
            </v:textbox>
            <w10:anchorlock/>
          </v:rect>
        </w:pict>
      </w:r>
      <w:r>
        <w:rPr>
          <w:rStyle w:val="big-number"/>
          <w:rFonts w:hint="cs"/>
          <w:rtl/>
        </w:rPr>
        <w:t>1</w:t>
      </w:r>
      <w:r w:rsidR="009636FF">
        <w:rPr>
          <w:rStyle w:val="big-number"/>
          <w:rFonts w:hint="cs"/>
          <w:rtl/>
        </w:rPr>
        <w:t>1</w:t>
      </w:r>
      <w:r w:rsidRPr="005C7130">
        <w:rPr>
          <w:rStyle w:val="big-number"/>
          <w:rFonts w:cs="FrankRuehl"/>
          <w:szCs w:val="26"/>
          <w:rtl/>
        </w:rPr>
        <w:t>.</w:t>
      </w:r>
      <w:r w:rsidRPr="005C7130">
        <w:rPr>
          <w:rStyle w:val="big-number"/>
          <w:rFonts w:cs="FrankRuehl"/>
          <w:szCs w:val="26"/>
          <w:rtl/>
        </w:rPr>
        <w:tab/>
      </w:r>
      <w:r w:rsidR="00703CDE">
        <w:rPr>
          <w:rStyle w:val="default"/>
          <w:rFonts w:cs="FrankRuehl" w:hint="cs"/>
          <w:rtl/>
        </w:rPr>
        <w:t>פרוטוקול הדיון יכול שייערך גם בדרך של הקלטה או באופן אחר שתקבע ועדת הערר, ובלבד שפרוטוקול שנערך כאמור יועלה על הכתב ויימסר לבעלי הדין</w:t>
      </w:r>
      <w:r w:rsidR="009636FF">
        <w:rPr>
          <w:rStyle w:val="default"/>
          <w:rFonts w:cs="FrankRuehl" w:hint="cs"/>
          <w:rtl/>
        </w:rPr>
        <w:t>.</w:t>
      </w:r>
    </w:p>
    <w:p w:rsidR="0008343E" w:rsidRDefault="0008343E" w:rsidP="0008343E">
      <w:pPr>
        <w:pStyle w:val="P00"/>
        <w:spacing w:before="72"/>
        <w:ind w:left="0" w:right="1134"/>
        <w:rPr>
          <w:rStyle w:val="default"/>
          <w:rFonts w:cs="FrankRuehl"/>
          <w:rtl/>
        </w:rPr>
      </w:pPr>
      <w:bookmarkStart w:id="13" w:name="Seif12"/>
      <w:bookmarkEnd w:id="13"/>
      <w:r>
        <w:rPr>
          <w:lang w:val="he-IL"/>
        </w:rPr>
        <w:pict>
          <v:rect id="_x0000_s2088" style="position:absolute;left:0;text-align:left;margin-left:464.5pt;margin-top:8.05pt;width:75.05pt;height:11.6pt;z-index:251661824" o:allowincell="f" filled="f" stroked="f" strokecolor="lime" strokeweight=".25pt">
            <v:textbox inset="0,0,0,0">
              <w:txbxContent>
                <w:p w:rsidR="0008343E" w:rsidRDefault="00703CDE" w:rsidP="0008343E">
                  <w:pPr>
                    <w:spacing w:line="160" w:lineRule="exact"/>
                    <w:jc w:val="left"/>
                    <w:rPr>
                      <w:rFonts w:cs="Miriam"/>
                      <w:noProof/>
                      <w:szCs w:val="18"/>
                      <w:rtl/>
                    </w:rPr>
                  </w:pPr>
                  <w:r>
                    <w:rPr>
                      <w:rFonts w:cs="Miriam" w:hint="cs"/>
                      <w:szCs w:val="18"/>
                      <w:rtl/>
                    </w:rPr>
                    <w:t>ההחלטה</w:t>
                  </w:r>
                </w:p>
              </w:txbxContent>
            </v:textbox>
            <w10:anchorlock/>
          </v:rect>
        </w:pict>
      </w:r>
      <w:r>
        <w:rPr>
          <w:rStyle w:val="big-number"/>
          <w:rFonts w:hint="cs"/>
          <w:rtl/>
        </w:rPr>
        <w:t>1</w:t>
      </w:r>
      <w:r w:rsidR="009636FF">
        <w:rPr>
          <w:rStyle w:val="big-number"/>
          <w:rFonts w:hint="cs"/>
          <w:rtl/>
        </w:rPr>
        <w:t>2</w:t>
      </w:r>
      <w:r w:rsidRPr="005C7130">
        <w:rPr>
          <w:rStyle w:val="big-number"/>
          <w:rFonts w:cs="FrankRuehl"/>
          <w:szCs w:val="26"/>
          <w:rtl/>
        </w:rPr>
        <w:t>.</w:t>
      </w:r>
      <w:r w:rsidRPr="005C7130">
        <w:rPr>
          <w:rStyle w:val="big-number"/>
          <w:rFonts w:cs="FrankRuehl"/>
          <w:szCs w:val="26"/>
          <w:rtl/>
        </w:rPr>
        <w:tab/>
      </w:r>
      <w:r w:rsidR="004620CC">
        <w:rPr>
          <w:rStyle w:val="default"/>
          <w:rFonts w:cs="FrankRuehl" w:hint="cs"/>
          <w:rtl/>
        </w:rPr>
        <w:t>(א)</w:t>
      </w:r>
      <w:r w:rsidR="004620CC">
        <w:rPr>
          <w:rStyle w:val="default"/>
          <w:rFonts w:cs="FrankRuehl"/>
          <w:rtl/>
        </w:rPr>
        <w:tab/>
      </w:r>
      <w:r w:rsidR="00703CDE">
        <w:rPr>
          <w:rStyle w:val="default"/>
          <w:rFonts w:cs="FrankRuehl" w:hint="cs"/>
          <w:rtl/>
        </w:rPr>
        <w:t>ועדת הערר תיתן את החלטתה בהקדם האפשרי.</w:t>
      </w:r>
    </w:p>
    <w:p w:rsidR="00703CDE" w:rsidRDefault="00703CDE" w:rsidP="0008343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ועדת הערר תמציא את החלטתה לבעלי הדין במועד סמוך ככל האפשר למתן ההחלטה ולא יאוחר משבעה ימים מיום שניתנה.</w:t>
      </w:r>
    </w:p>
    <w:p w:rsidR="0008343E" w:rsidRDefault="0008343E" w:rsidP="0008343E">
      <w:pPr>
        <w:pStyle w:val="P00"/>
        <w:spacing w:before="72"/>
        <w:ind w:left="0" w:right="1134"/>
        <w:rPr>
          <w:rStyle w:val="default"/>
          <w:rFonts w:cs="FrankRuehl"/>
          <w:rtl/>
        </w:rPr>
      </w:pPr>
      <w:bookmarkStart w:id="14" w:name="Seif13"/>
      <w:bookmarkEnd w:id="14"/>
      <w:r>
        <w:rPr>
          <w:lang w:val="he-IL"/>
        </w:rPr>
        <w:pict>
          <v:rect id="_x0000_s2089" style="position:absolute;left:0;text-align:left;margin-left:464.5pt;margin-top:8.05pt;width:75.05pt;height:15.4pt;z-index:251662848" o:allowincell="f" filled="f" stroked="f" strokecolor="lime" strokeweight=".25pt">
            <v:textbox inset="0,0,0,0">
              <w:txbxContent>
                <w:p w:rsidR="0008343E" w:rsidRDefault="008A2F5E" w:rsidP="0008343E">
                  <w:pPr>
                    <w:spacing w:line="160" w:lineRule="exact"/>
                    <w:jc w:val="left"/>
                    <w:rPr>
                      <w:rFonts w:cs="Miriam"/>
                      <w:noProof/>
                      <w:szCs w:val="18"/>
                      <w:rtl/>
                    </w:rPr>
                  </w:pPr>
                  <w:r>
                    <w:rPr>
                      <w:rFonts w:cs="Miriam" w:hint="cs"/>
                      <w:szCs w:val="18"/>
                      <w:rtl/>
                    </w:rPr>
                    <w:t>איחוד עררים</w:t>
                  </w:r>
                </w:p>
              </w:txbxContent>
            </v:textbox>
            <w10:anchorlock/>
          </v:rect>
        </w:pict>
      </w:r>
      <w:r>
        <w:rPr>
          <w:rStyle w:val="big-number"/>
          <w:rFonts w:hint="cs"/>
          <w:rtl/>
        </w:rPr>
        <w:t>1</w:t>
      </w:r>
      <w:r w:rsidR="0045749E">
        <w:rPr>
          <w:rStyle w:val="big-number"/>
          <w:rFonts w:hint="cs"/>
          <w:rtl/>
        </w:rPr>
        <w:t>3</w:t>
      </w:r>
      <w:r w:rsidRPr="005C7130">
        <w:rPr>
          <w:rStyle w:val="big-number"/>
          <w:rFonts w:cs="FrankRuehl"/>
          <w:szCs w:val="26"/>
          <w:rtl/>
        </w:rPr>
        <w:t>.</w:t>
      </w:r>
      <w:r w:rsidRPr="005C7130">
        <w:rPr>
          <w:rStyle w:val="big-number"/>
          <w:rFonts w:cs="FrankRuehl"/>
          <w:szCs w:val="26"/>
          <w:rtl/>
        </w:rPr>
        <w:tab/>
      </w:r>
      <w:r w:rsidR="00A60196">
        <w:rPr>
          <w:rStyle w:val="default"/>
          <w:rFonts w:cs="FrankRuehl" w:hint="cs"/>
          <w:rtl/>
        </w:rPr>
        <w:t>(א)</w:t>
      </w:r>
      <w:r w:rsidR="00A60196">
        <w:rPr>
          <w:rStyle w:val="default"/>
          <w:rFonts w:cs="FrankRuehl"/>
          <w:rtl/>
        </w:rPr>
        <w:tab/>
      </w:r>
      <w:r w:rsidR="008A2F5E">
        <w:rPr>
          <w:rStyle w:val="default"/>
          <w:rFonts w:cs="FrankRuehl" w:hint="cs"/>
          <w:rtl/>
        </w:rPr>
        <w:t>ועדת הערר רשאית להחליט על איחוד עררים התלויים ועומדים לפניה אם הוגשו בידי אותו עורר או שמתעוררות בהם שאלות משפטיות או עובדתיות דומות</w:t>
      </w:r>
      <w:r w:rsidR="00703880">
        <w:rPr>
          <w:rStyle w:val="default"/>
          <w:rFonts w:cs="FrankRuehl" w:hint="cs"/>
          <w:rtl/>
        </w:rPr>
        <w:t>.</w:t>
      </w:r>
    </w:p>
    <w:p w:rsidR="008A2F5E" w:rsidRDefault="008A2F5E" w:rsidP="0008343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ראש בית הדין רשאי להורות על איחוד עררים, בין שהחל הדיון בהם ובין שטרם החל, לפי העילות המנויות בתקנת משנה (א), ולהורות כי יידונו בוועדת ערר שיקבע.</w:t>
      </w:r>
    </w:p>
    <w:p w:rsidR="008A2F5E" w:rsidRDefault="008A2F5E" w:rsidP="0008343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החליטה ועדת הערר כאמור בתקנת משנה (א) או הורה ראש בית הדין על איחוד עררים כאמור בתקנת משנה (ב), רשאית ועדת הערר לדון בעררים במשותף ולתת בהם החלטה אחת, ובלבד שתינתן לצדדים ההזדמנות לשוב על טענותיהם לפני ועדת הערר הנעברת.</w:t>
      </w:r>
    </w:p>
    <w:p w:rsidR="0008343E" w:rsidRDefault="0008343E" w:rsidP="0008343E">
      <w:pPr>
        <w:pStyle w:val="P00"/>
        <w:spacing w:before="72"/>
        <w:ind w:left="0" w:right="1134"/>
        <w:rPr>
          <w:rStyle w:val="default"/>
          <w:rFonts w:cs="FrankRuehl"/>
          <w:rtl/>
        </w:rPr>
      </w:pPr>
      <w:bookmarkStart w:id="15" w:name="Seif14"/>
      <w:bookmarkEnd w:id="15"/>
      <w:r>
        <w:rPr>
          <w:lang w:val="he-IL"/>
        </w:rPr>
        <w:pict>
          <v:rect id="_x0000_s2090" style="position:absolute;left:0;text-align:left;margin-left:464.5pt;margin-top:8.05pt;width:75.05pt;height:13.55pt;z-index:251663872" o:allowincell="f" filled="f" stroked="f" strokecolor="lime" strokeweight=".25pt">
            <v:textbox inset="0,0,0,0">
              <w:txbxContent>
                <w:p w:rsidR="0008343E" w:rsidRDefault="008A2F5E" w:rsidP="0008343E">
                  <w:pPr>
                    <w:spacing w:line="160" w:lineRule="exact"/>
                    <w:jc w:val="left"/>
                    <w:rPr>
                      <w:rFonts w:cs="Miriam"/>
                      <w:noProof/>
                      <w:szCs w:val="18"/>
                      <w:rtl/>
                    </w:rPr>
                  </w:pPr>
                  <w:r>
                    <w:rPr>
                      <w:rFonts w:cs="Miriam" w:hint="cs"/>
                      <w:szCs w:val="18"/>
                      <w:rtl/>
                    </w:rPr>
                    <w:t>סמכויות יושב הראש</w:t>
                  </w:r>
                </w:p>
              </w:txbxContent>
            </v:textbox>
            <w10:anchorlock/>
          </v:rect>
        </w:pict>
      </w:r>
      <w:r>
        <w:rPr>
          <w:rStyle w:val="big-number"/>
          <w:rFonts w:hint="cs"/>
          <w:rtl/>
        </w:rPr>
        <w:t>1</w:t>
      </w:r>
      <w:r w:rsidR="00703880">
        <w:rPr>
          <w:rStyle w:val="big-number"/>
          <w:rFonts w:hint="cs"/>
          <w:rtl/>
        </w:rPr>
        <w:t>4</w:t>
      </w:r>
      <w:r w:rsidRPr="005C7130">
        <w:rPr>
          <w:rStyle w:val="big-number"/>
          <w:rFonts w:cs="FrankRuehl"/>
          <w:szCs w:val="26"/>
          <w:rtl/>
        </w:rPr>
        <w:t>.</w:t>
      </w:r>
      <w:r w:rsidRPr="005C7130">
        <w:rPr>
          <w:rStyle w:val="big-number"/>
          <w:rFonts w:cs="FrankRuehl"/>
          <w:szCs w:val="26"/>
          <w:rtl/>
        </w:rPr>
        <w:tab/>
      </w:r>
      <w:r w:rsidR="008A2F5E">
        <w:rPr>
          <w:rStyle w:val="default"/>
          <w:rFonts w:cs="FrankRuehl" w:hint="cs"/>
          <w:rtl/>
        </w:rPr>
        <w:t>בלי לגרוע מן האמור בתקנה 29 לתקנות בתי דין מינהליים, התשנ"ב-1992, סמכויות ועדת הערר לפי תקנות 2(ב), 4(ב), 7(2), 7(3), 7(4), 10(ג) ו-13(א) מוקנות גם ליושב ראש המותב</w:t>
      </w:r>
      <w:r w:rsidR="006F7456">
        <w:rPr>
          <w:rStyle w:val="default"/>
          <w:rFonts w:cs="FrankRuehl" w:hint="cs"/>
          <w:rtl/>
        </w:rPr>
        <w:t>.</w:t>
      </w:r>
    </w:p>
    <w:p w:rsidR="0008343E" w:rsidRDefault="0008343E" w:rsidP="0008343E">
      <w:pPr>
        <w:pStyle w:val="P00"/>
        <w:spacing w:before="72"/>
        <w:ind w:left="0" w:right="1134"/>
        <w:rPr>
          <w:rStyle w:val="default"/>
          <w:rFonts w:cs="FrankRuehl"/>
          <w:rtl/>
        </w:rPr>
      </w:pPr>
      <w:bookmarkStart w:id="16" w:name="Seif15"/>
      <w:bookmarkEnd w:id="16"/>
      <w:r>
        <w:rPr>
          <w:lang w:val="he-IL"/>
        </w:rPr>
        <w:pict>
          <v:rect id="_x0000_s2091" style="position:absolute;left:0;text-align:left;margin-left:464.5pt;margin-top:8.05pt;width:75.05pt;height:15.25pt;z-index:251664896" o:allowincell="f" filled="f" stroked="f" strokecolor="lime" strokeweight=".25pt">
            <v:textbox inset="0,0,0,0">
              <w:txbxContent>
                <w:p w:rsidR="00E76868" w:rsidRDefault="008A2F5E" w:rsidP="00E76868">
                  <w:pPr>
                    <w:autoSpaceDE/>
                    <w:autoSpaceDN/>
                    <w:spacing w:line="160" w:lineRule="exact"/>
                    <w:jc w:val="left"/>
                    <w:rPr>
                      <w:rFonts w:cs="Miriam" w:hint="cs"/>
                      <w:sz w:val="18"/>
                      <w:szCs w:val="18"/>
                      <w:rtl/>
                    </w:rPr>
                  </w:pPr>
                  <w:r>
                    <w:rPr>
                      <w:rFonts w:cs="Miriam" w:hint="cs"/>
                      <w:szCs w:val="18"/>
                      <w:rtl/>
                    </w:rPr>
                    <w:t>דרכי פרסום</w:t>
                  </w:r>
                </w:p>
              </w:txbxContent>
            </v:textbox>
            <w10:anchorlock/>
          </v:rect>
        </w:pict>
      </w:r>
      <w:r>
        <w:rPr>
          <w:rStyle w:val="big-number"/>
          <w:rFonts w:hint="cs"/>
          <w:rtl/>
        </w:rPr>
        <w:t>1</w:t>
      </w:r>
      <w:r w:rsidR="006F7456">
        <w:rPr>
          <w:rStyle w:val="big-number"/>
          <w:rFonts w:hint="cs"/>
          <w:rtl/>
        </w:rPr>
        <w:t>5</w:t>
      </w:r>
      <w:r w:rsidRPr="005C7130">
        <w:rPr>
          <w:rStyle w:val="big-number"/>
          <w:rFonts w:cs="FrankRuehl"/>
          <w:szCs w:val="26"/>
          <w:rtl/>
        </w:rPr>
        <w:t>.</w:t>
      </w:r>
      <w:r w:rsidRPr="005C7130">
        <w:rPr>
          <w:rStyle w:val="big-number"/>
          <w:rFonts w:cs="FrankRuehl"/>
          <w:szCs w:val="26"/>
          <w:rtl/>
        </w:rPr>
        <w:tab/>
      </w:r>
      <w:r w:rsidR="008A2F5E">
        <w:rPr>
          <w:rStyle w:val="default"/>
          <w:rFonts w:cs="FrankRuehl" w:hint="cs"/>
          <w:rtl/>
        </w:rPr>
        <w:t>הודעות ראש בית הדין לפי תקנות 2(א) ו-4(א) יפורסמו באתר האינטרנט של משרד המשפטים וכן יפורסמו ברשומות</w:t>
      </w:r>
      <w:r w:rsidR="00285D5C">
        <w:rPr>
          <w:rStyle w:val="a7"/>
          <w:rtl/>
        </w:rPr>
        <w:footnoteReference w:id="4"/>
      </w:r>
      <w:r w:rsidR="008A2F5E">
        <w:rPr>
          <w:rStyle w:val="default"/>
          <w:rFonts w:cs="FrankRuehl" w:hint="cs"/>
          <w:rtl/>
        </w:rPr>
        <w:t>; הנוסח שפורסם ברשומות הוא המחייב אף אם קדם לו פרסום בדרך אחרת</w:t>
      </w:r>
      <w:r w:rsidR="006F7456">
        <w:rPr>
          <w:rStyle w:val="default"/>
          <w:rFonts w:cs="FrankRuehl" w:hint="cs"/>
          <w:rtl/>
        </w:rPr>
        <w:t>.</w:t>
      </w:r>
    </w:p>
    <w:p w:rsidR="005359E7" w:rsidRDefault="005359E7" w:rsidP="005A403F">
      <w:pPr>
        <w:pStyle w:val="P00"/>
        <w:spacing w:before="72"/>
        <w:ind w:left="0" w:right="1134"/>
        <w:rPr>
          <w:rStyle w:val="default"/>
          <w:rFonts w:cs="FrankRuehl"/>
          <w:rtl/>
        </w:rPr>
      </w:pPr>
    </w:p>
    <w:p w:rsidR="00052410" w:rsidRDefault="00052410" w:rsidP="005A403F">
      <w:pPr>
        <w:pStyle w:val="P00"/>
        <w:spacing w:before="72"/>
        <w:ind w:left="0" w:right="1134"/>
        <w:rPr>
          <w:rStyle w:val="default"/>
          <w:rFonts w:cs="FrankRuehl"/>
          <w:rtl/>
        </w:rPr>
      </w:pPr>
    </w:p>
    <w:p w:rsidR="005C7130" w:rsidRDefault="002F448B" w:rsidP="002F448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ז' בחשוון התשפ"א (25 באוקטובר 2020)</w:t>
      </w:r>
      <w:r w:rsidR="005001DC">
        <w:rPr>
          <w:rStyle w:val="default"/>
          <w:rFonts w:cs="FrankRuehl"/>
          <w:rtl/>
        </w:rPr>
        <w:tab/>
      </w:r>
      <w:r>
        <w:rPr>
          <w:rStyle w:val="default"/>
          <w:rFonts w:cs="FrankRuehl" w:hint="cs"/>
          <w:rtl/>
        </w:rPr>
        <w:t>אבי ניסנקורן</w:t>
      </w:r>
    </w:p>
    <w:p w:rsidR="005A403F" w:rsidRPr="00F276F1" w:rsidRDefault="005001DC" w:rsidP="002F448B">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sidR="002F448B">
        <w:rPr>
          <w:rStyle w:val="default"/>
          <w:rFonts w:cs="FrankRuehl" w:hint="cs"/>
          <w:sz w:val="16"/>
          <w:szCs w:val="22"/>
          <w:rtl/>
        </w:rPr>
        <w:t>שר המשפטים</w:t>
      </w:r>
    </w:p>
    <w:p w:rsidR="00F07BA8" w:rsidRDefault="00F07BA8" w:rsidP="00F276F1">
      <w:pPr>
        <w:pStyle w:val="P00"/>
        <w:spacing w:before="72"/>
        <w:ind w:left="0" w:right="1134"/>
        <w:rPr>
          <w:rStyle w:val="default"/>
          <w:rFonts w:cs="FrankRuehl"/>
          <w:rtl/>
        </w:rPr>
      </w:pPr>
    </w:p>
    <w:p w:rsidR="000367AE" w:rsidRDefault="000367AE" w:rsidP="00F276F1">
      <w:pPr>
        <w:pStyle w:val="P00"/>
        <w:spacing w:before="72"/>
        <w:ind w:left="0" w:right="1134"/>
        <w:rPr>
          <w:rStyle w:val="default"/>
          <w:rFonts w:cs="FrankRuehl"/>
          <w:rtl/>
        </w:rPr>
      </w:pPr>
    </w:p>
    <w:p w:rsidR="00603DDE" w:rsidRDefault="00603DDE" w:rsidP="00F276F1">
      <w:pPr>
        <w:pStyle w:val="P00"/>
        <w:spacing w:before="72"/>
        <w:ind w:left="0" w:right="1134"/>
        <w:rPr>
          <w:rStyle w:val="default"/>
          <w:rFonts w:cs="FrankRuehl"/>
          <w:rtl/>
        </w:rPr>
      </w:pPr>
    </w:p>
    <w:p w:rsidR="00603DDE" w:rsidRDefault="00603DDE" w:rsidP="00F276F1">
      <w:pPr>
        <w:pStyle w:val="P00"/>
        <w:spacing w:before="72"/>
        <w:ind w:left="0" w:right="1134"/>
        <w:rPr>
          <w:rStyle w:val="default"/>
          <w:rFonts w:cs="FrankRuehl"/>
          <w:rtl/>
        </w:rPr>
      </w:pPr>
    </w:p>
    <w:p w:rsidR="00603DDE" w:rsidRDefault="00603DDE" w:rsidP="00603DDE">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rsidR="000367AE" w:rsidRPr="00603DDE" w:rsidRDefault="000367AE" w:rsidP="00603DDE">
      <w:pPr>
        <w:pStyle w:val="P00"/>
        <w:spacing w:before="72"/>
        <w:ind w:left="0" w:right="1134"/>
        <w:jc w:val="center"/>
        <w:rPr>
          <w:rStyle w:val="default"/>
          <w:rFonts w:cs="David"/>
          <w:color w:val="0000FF"/>
          <w:szCs w:val="24"/>
          <w:u w:val="single"/>
          <w:rtl/>
        </w:rPr>
      </w:pPr>
    </w:p>
    <w:sectPr w:rsidR="000367AE" w:rsidRPr="00603DDE">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0010" w:rsidRDefault="008A0010">
      <w:r>
        <w:separator/>
      </w:r>
    </w:p>
  </w:endnote>
  <w:endnote w:type="continuationSeparator" w:id="0">
    <w:p w:rsidR="008A0010" w:rsidRDefault="008A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03DDE">
      <w:rPr>
        <w:rFonts w:hAnsi="FrankRuehl" w:cs="FrankRuehl"/>
        <w:noProof/>
        <w:sz w:val="24"/>
        <w:szCs w:val="24"/>
        <w:rtl/>
      </w:rPr>
      <w:t>5</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0010" w:rsidRDefault="008A0010">
      <w:r>
        <w:separator/>
      </w:r>
    </w:p>
  </w:footnote>
  <w:footnote w:type="continuationSeparator" w:id="0">
    <w:p w:rsidR="008A0010" w:rsidRDefault="008A0010">
      <w:r>
        <w:continuationSeparator/>
      </w:r>
    </w:p>
  </w:footnote>
  <w:footnote w:id="1">
    <w:p w:rsidR="005A573E" w:rsidRPr="0083174F" w:rsidRDefault="005C7130" w:rsidP="005A573E">
      <w:pPr>
        <w:pStyle w:val="a5"/>
        <w:spacing w:before="72" w:line="240" w:lineRule="auto"/>
        <w:ind w:right="1134"/>
        <w:rPr>
          <w:rFonts w:ascii="FrankRuehl" w:hAnsi="FrankRuehl" w:cs="FrankRuehl" w:hint="cs"/>
          <w:sz w:val="22"/>
          <w:szCs w:val="22"/>
          <w:rtl/>
        </w:rPr>
      </w:pPr>
      <w:r>
        <w:rPr>
          <w:rStyle w:val="a7"/>
          <w:rtl/>
        </w:rPr>
        <w:t>*</w:t>
      </w:r>
      <w:r>
        <w:rPr>
          <w:rtl/>
        </w:rPr>
        <w:t xml:space="preserve"> </w:t>
      </w:r>
      <w:r>
        <w:rPr>
          <w:rFonts w:cs="FrankRuehl" w:hint="cs"/>
          <w:sz w:val="18"/>
          <w:szCs w:val="22"/>
          <w:rtl/>
        </w:rPr>
        <w:t>פורס</w:t>
      </w:r>
      <w:r w:rsidR="00122137">
        <w:rPr>
          <w:rFonts w:cs="FrankRuehl" w:hint="cs"/>
          <w:sz w:val="18"/>
          <w:szCs w:val="22"/>
          <w:rtl/>
        </w:rPr>
        <w:t>מו</w:t>
      </w:r>
      <w:r>
        <w:rPr>
          <w:rFonts w:cs="FrankRuehl" w:hint="cs"/>
          <w:sz w:val="18"/>
          <w:szCs w:val="22"/>
          <w:rtl/>
        </w:rPr>
        <w:t xml:space="preserve"> </w:t>
      </w:r>
      <w:bookmarkStart w:id="0" w:name="_Hlk46935299"/>
      <w:r w:rsidR="005A573E">
        <w:rPr>
          <w:rFonts w:cs="FrankRuehl"/>
          <w:sz w:val="18"/>
          <w:szCs w:val="22"/>
          <w:rtl/>
        </w:rPr>
        <w:fldChar w:fldCharType="begin"/>
      </w:r>
      <w:r w:rsidR="005A573E">
        <w:rPr>
          <w:rFonts w:cs="FrankRuehl"/>
          <w:sz w:val="18"/>
          <w:szCs w:val="22"/>
          <w:rtl/>
        </w:rPr>
        <w:instrText xml:space="preserve"> </w:instrText>
      </w:r>
      <w:r w:rsidR="005A573E">
        <w:rPr>
          <w:rFonts w:cs="FrankRuehl"/>
          <w:sz w:val="18"/>
          <w:szCs w:val="22"/>
        </w:rPr>
        <w:instrText>HYPERLINK</w:instrText>
      </w:r>
      <w:r w:rsidR="005A573E">
        <w:rPr>
          <w:rFonts w:cs="FrankRuehl"/>
          <w:sz w:val="18"/>
          <w:szCs w:val="22"/>
          <w:rtl/>
        </w:rPr>
        <w:instrText xml:space="preserve"> "</w:instrText>
      </w:r>
      <w:r w:rsidR="005A573E">
        <w:rPr>
          <w:rFonts w:cs="FrankRuehl"/>
          <w:sz w:val="18"/>
          <w:szCs w:val="22"/>
        </w:rPr>
        <w:instrText>https://www.nevo.co.il/law_word/law06/tak-8855.pdf</w:instrText>
      </w:r>
      <w:r w:rsidR="005A573E">
        <w:rPr>
          <w:rFonts w:cs="FrankRuehl"/>
          <w:sz w:val="18"/>
          <w:szCs w:val="22"/>
          <w:rtl/>
        </w:rPr>
        <w:instrText xml:space="preserve">" </w:instrText>
      </w:r>
      <w:r w:rsidR="000A0FE3" w:rsidRPr="005A573E">
        <w:rPr>
          <w:rFonts w:cs="FrankRuehl"/>
          <w:sz w:val="18"/>
          <w:szCs w:val="22"/>
        </w:rPr>
      </w:r>
      <w:r w:rsidR="005A573E">
        <w:rPr>
          <w:rFonts w:cs="FrankRuehl"/>
          <w:sz w:val="18"/>
          <w:szCs w:val="22"/>
          <w:rtl/>
        </w:rPr>
        <w:fldChar w:fldCharType="separate"/>
      </w:r>
      <w:r w:rsidR="00122137" w:rsidRPr="005A573E">
        <w:rPr>
          <w:rStyle w:val="Hyperlink"/>
          <w:rFonts w:cs="FrankRuehl" w:hint="cs"/>
          <w:sz w:val="18"/>
          <w:szCs w:val="22"/>
          <w:rtl/>
        </w:rPr>
        <w:t>ק"ת תשפ"א</w:t>
      </w:r>
      <w:r w:rsidR="00637BA9" w:rsidRPr="005A573E">
        <w:rPr>
          <w:rStyle w:val="Hyperlink"/>
          <w:rFonts w:cs="FrankRuehl" w:hint="cs"/>
          <w:sz w:val="18"/>
          <w:szCs w:val="22"/>
          <w:rtl/>
        </w:rPr>
        <w:t xml:space="preserve"> מס' </w:t>
      </w:r>
      <w:r w:rsidR="00122137" w:rsidRPr="005A573E">
        <w:rPr>
          <w:rStyle w:val="Hyperlink"/>
          <w:rFonts w:cs="FrankRuehl" w:hint="cs"/>
          <w:sz w:val="18"/>
          <w:szCs w:val="22"/>
          <w:rtl/>
        </w:rPr>
        <w:t>8855</w:t>
      </w:r>
      <w:r w:rsidR="005A573E">
        <w:rPr>
          <w:rFonts w:cs="FrankRuehl"/>
          <w:sz w:val="18"/>
          <w:szCs w:val="22"/>
          <w:rtl/>
        </w:rPr>
        <w:fldChar w:fldCharType="end"/>
      </w:r>
      <w:r w:rsidR="00637BA9">
        <w:rPr>
          <w:rFonts w:cs="FrankRuehl" w:hint="cs"/>
          <w:sz w:val="18"/>
          <w:szCs w:val="22"/>
          <w:rtl/>
        </w:rPr>
        <w:t xml:space="preserve"> מיום </w:t>
      </w:r>
      <w:r w:rsidR="00122137">
        <w:rPr>
          <w:rFonts w:cs="FrankRuehl" w:hint="cs"/>
          <w:sz w:val="18"/>
          <w:szCs w:val="22"/>
          <w:rtl/>
        </w:rPr>
        <w:t>28.10</w:t>
      </w:r>
      <w:r w:rsidR="00637BA9">
        <w:rPr>
          <w:rFonts w:cs="FrankRuehl" w:hint="cs"/>
          <w:sz w:val="18"/>
          <w:szCs w:val="22"/>
          <w:rtl/>
        </w:rPr>
        <w:t xml:space="preserve">.2020 עמ' </w:t>
      </w:r>
      <w:bookmarkEnd w:id="0"/>
      <w:r w:rsidR="00122137">
        <w:rPr>
          <w:rFonts w:cs="FrankRuehl" w:hint="cs"/>
          <w:sz w:val="18"/>
          <w:szCs w:val="22"/>
          <w:rtl/>
        </w:rPr>
        <w:t>276</w:t>
      </w:r>
      <w:r w:rsidR="00637BA9">
        <w:rPr>
          <w:rFonts w:cs="FrankRuehl" w:hint="cs"/>
          <w:sz w:val="18"/>
          <w:szCs w:val="22"/>
          <w:rtl/>
        </w:rPr>
        <w:t>.</w:t>
      </w:r>
    </w:p>
  </w:footnote>
  <w:footnote w:id="2">
    <w:p w:rsidR="00285D5C" w:rsidRDefault="00285D5C" w:rsidP="00285D5C">
      <w:pPr>
        <w:pStyle w:val="a5"/>
        <w:spacing w:before="72" w:line="240" w:lineRule="auto"/>
        <w:ind w:right="1134"/>
        <w:rPr>
          <w:rFonts w:hint="cs"/>
          <w:rtl/>
        </w:rPr>
      </w:pPr>
      <w:r>
        <w:rPr>
          <w:rStyle w:val="a7"/>
        </w:rPr>
        <w:footnoteRef/>
      </w:r>
      <w:r w:rsidRPr="00285D5C">
        <w:rPr>
          <w:rFonts w:cs="FrankRuehl"/>
          <w:sz w:val="18"/>
          <w:szCs w:val="22"/>
          <w:rtl/>
        </w:rPr>
        <w:t xml:space="preserve"> </w:t>
      </w:r>
      <w:bookmarkStart w:id="3" w:name="_Hlk84527025"/>
      <w:r w:rsidRPr="00285D5C">
        <w:rPr>
          <w:rFonts w:cs="FrankRuehl" w:hint="cs"/>
          <w:sz w:val="18"/>
          <w:szCs w:val="22"/>
          <w:rtl/>
        </w:rPr>
        <w:t xml:space="preserve">ר' </w:t>
      </w:r>
      <w:hyperlink r:id="rId1" w:history="1">
        <w:r w:rsidRPr="00285D5C">
          <w:rPr>
            <w:rStyle w:val="Hyperlink"/>
            <w:rFonts w:cs="FrankRuehl" w:hint="cs"/>
            <w:sz w:val="18"/>
            <w:szCs w:val="22"/>
            <w:rtl/>
          </w:rPr>
          <w:t>י"פ תשפ"ב מס' 9905</w:t>
        </w:r>
      </w:hyperlink>
      <w:r w:rsidRPr="00285D5C">
        <w:rPr>
          <w:rFonts w:cs="FrankRuehl" w:hint="cs"/>
          <w:sz w:val="18"/>
          <w:szCs w:val="22"/>
          <w:rtl/>
        </w:rPr>
        <w:t xml:space="preserve"> מיום 7.10.2021 עמ' 333.</w:t>
      </w:r>
      <w:bookmarkEnd w:id="3"/>
    </w:p>
  </w:footnote>
  <w:footnote w:id="3">
    <w:p w:rsidR="00285D5C" w:rsidRDefault="00285D5C" w:rsidP="00285D5C">
      <w:pPr>
        <w:pStyle w:val="a5"/>
        <w:spacing w:before="72" w:line="240" w:lineRule="auto"/>
        <w:ind w:right="1134"/>
        <w:rPr>
          <w:rFonts w:hint="cs"/>
          <w:rtl/>
        </w:rPr>
      </w:pPr>
      <w:r>
        <w:rPr>
          <w:rStyle w:val="a7"/>
        </w:rPr>
        <w:footnoteRef/>
      </w:r>
      <w:r>
        <w:rPr>
          <w:rtl/>
        </w:rPr>
        <w:t xml:space="preserve"> </w:t>
      </w:r>
      <w:r w:rsidRPr="00285D5C">
        <w:rPr>
          <w:rFonts w:cs="FrankRuehl" w:hint="cs"/>
          <w:sz w:val="18"/>
          <w:szCs w:val="22"/>
          <w:rtl/>
        </w:rPr>
        <w:t xml:space="preserve">ר' </w:t>
      </w:r>
      <w:hyperlink r:id="rId2" w:history="1">
        <w:r w:rsidRPr="00285D5C">
          <w:rPr>
            <w:rStyle w:val="Hyperlink"/>
            <w:rFonts w:cs="FrankRuehl" w:hint="cs"/>
            <w:sz w:val="18"/>
            <w:szCs w:val="22"/>
            <w:rtl/>
          </w:rPr>
          <w:t>י"פ תשפ"ב מס' 9905</w:t>
        </w:r>
      </w:hyperlink>
      <w:r w:rsidRPr="00285D5C">
        <w:rPr>
          <w:rFonts w:cs="FrankRuehl" w:hint="cs"/>
          <w:sz w:val="18"/>
          <w:szCs w:val="22"/>
          <w:rtl/>
        </w:rPr>
        <w:t xml:space="preserve"> מיום 7.10.2021 עמ' 333.</w:t>
      </w:r>
    </w:p>
  </w:footnote>
  <w:footnote w:id="4">
    <w:p w:rsidR="00285D5C" w:rsidRDefault="00285D5C" w:rsidP="00285D5C">
      <w:pPr>
        <w:pStyle w:val="a5"/>
        <w:spacing w:before="72" w:line="240" w:lineRule="auto"/>
        <w:ind w:right="1134"/>
        <w:rPr>
          <w:rFonts w:hint="cs"/>
        </w:rPr>
      </w:pPr>
      <w:r>
        <w:rPr>
          <w:rStyle w:val="a7"/>
        </w:rPr>
        <w:footnoteRef/>
      </w:r>
      <w:r>
        <w:rPr>
          <w:rtl/>
        </w:rPr>
        <w:t xml:space="preserve"> </w:t>
      </w:r>
      <w:r w:rsidRPr="00285D5C">
        <w:rPr>
          <w:rFonts w:cs="FrankRuehl" w:hint="cs"/>
          <w:sz w:val="18"/>
          <w:szCs w:val="22"/>
          <w:rtl/>
        </w:rPr>
        <w:t xml:space="preserve">ר' </w:t>
      </w:r>
      <w:hyperlink r:id="rId3" w:history="1">
        <w:r w:rsidRPr="00285D5C">
          <w:rPr>
            <w:rStyle w:val="Hyperlink"/>
            <w:rFonts w:cs="FrankRuehl" w:hint="cs"/>
            <w:sz w:val="18"/>
            <w:szCs w:val="22"/>
            <w:rtl/>
          </w:rPr>
          <w:t>י"פ תשפ"ב מס' 9905</w:t>
        </w:r>
      </w:hyperlink>
      <w:r w:rsidRPr="00285D5C">
        <w:rPr>
          <w:rFonts w:cs="FrankRuehl" w:hint="cs"/>
          <w:sz w:val="18"/>
          <w:szCs w:val="22"/>
          <w:rtl/>
        </w:rPr>
        <w:t xml:space="preserve"> מיום 7.10.2021 עמ' 333.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22137">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תקנות</w:t>
    </w:r>
    <w:r w:rsidR="00477F48">
      <w:rPr>
        <w:rFonts w:hAnsi="FrankRuehl" w:cs="FrankRuehl" w:hint="cs"/>
        <w:color w:val="000000"/>
        <w:sz w:val="28"/>
        <w:szCs w:val="28"/>
        <w:rtl/>
      </w:rPr>
      <w:t xml:space="preserve"> </w:t>
    </w:r>
    <w:r w:rsidR="00155141">
      <w:rPr>
        <w:rFonts w:hAnsi="FrankRuehl" w:cs="FrankRuehl" w:hint="cs"/>
        <w:color w:val="000000"/>
        <w:sz w:val="28"/>
        <w:szCs w:val="28"/>
        <w:rtl/>
      </w:rPr>
      <w:t>התכנית לסיוע כלכלי (נגיף הקורונה החדש) (הוראת שעה</w:t>
    </w:r>
    <w:r w:rsidR="00052410">
      <w:rPr>
        <w:rFonts w:hAnsi="FrankRuehl" w:cs="FrankRuehl" w:hint="cs"/>
        <w:color w:val="000000"/>
        <w:sz w:val="28"/>
        <w:szCs w:val="28"/>
        <w:rtl/>
      </w:rPr>
      <w:t>)</w:t>
    </w:r>
    <w:r>
      <w:rPr>
        <w:rFonts w:hAnsi="FrankRuehl" w:cs="FrankRuehl" w:hint="cs"/>
        <w:color w:val="000000"/>
        <w:sz w:val="28"/>
        <w:szCs w:val="28"/>
        <w:rtl/>
      </w:rPr>
      <w:t xml:space="preserve"> (סדרי הדין והמינהל בוועדת הערר)</w:t>
    </w:r>
    <w:r w:rsidR="005C7130">
      <w:rPr>
        <w:rFonts w:hAnsi="FrankRuehl" w:cs="FrankRuehl" w:hint="cs"/>
        <w:color w:val="000000"/>
        <w:sz w:val="28"/>
        <w:szCs w:val="28"/>
        <w:rtl/>
      </w:rPr>
      <w:t>, תש</w:t>
    </w:r>
    <w:r>
      <w:rPr>
        <w:rFonts w:hAnsi="FrankRuehl" w:cs="FrankRuehl" w:hint="cs"/>
        <w:color w:val="000000"/>
        <w:sz w:val="28"/>
        <w:szCs w:val="28"/>
        <w:rtl/>
      </w:rPr>
      <w:t>פ"א</w:t>
    </w:r>
    <w:r w:rsidR="005C7130">
      <w:rPr>
        <w:rFonts w:hAnsi="FrankRuehl" w:cs="FrankRuehl" w:hint="cs"/>
        <w:color w:val="000000"/>
        <w:sz w:val="28"/>
        <w:szCs w:val="28"/>
        <w:rtl/>
      </w:rPr>
      <w:t>-2020</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7A74"/>
    <w:rsid w:val="00014478"/>
    <w:rsid w:val="00020CD9"/>
    <w:rsid w:val="00025FA4"/>
    <w:rsid w:val="000273AA"/>
    <w:rsid w:val="000367AE"/>
    <w:rsid w:val="00041CE3"/>
    <w:rsid w:val="00047666"/>
    <w:rsid w:val="00052410"/>
    <w:rsid w:val="0008343E"/>
    <w:rsid w:val="000A0FE3"/>
    <w:rsid w:val="000A10EE"/>
    <w:rsid w:val="000C37CF"/>
    <w:rsid w:val="000E19B6"/>
    <w:rsid w:val="000F2DF8"/>
    <w:rsid w:val="00100BAC"/>
    <w:rsid w:val="00104D92"/>
    <w:rsid w:val="00104E71"/>
    <w:rsid w:val="00116DD3"/>
    <w:rsid w:val="00116F54"/>
    <w:rsid w:val="00121AE5"/>
    <w:rsid w:val="00122137"/>
    <w:rsid w:val="00125EBE"/>
    <w:rsid w:val="0014670E"/>
    <w:rsid w:val="00147941"/>
    <w:rsid w:val="00152875"/>
    <w:rsid w:val="00155141"/>
    <w:rsid w:val="001556BD"/>
    <w:rsid w:val="001646E9"/>
    <w:rsid w:val="00165954"/>
    <w:rsid w:val="001759C0"/>
    <w:rsid w:val="00191FB8"/>
    <w:rsid w:val="001A6652"/>
    <w:rsid w:val="001B51E2"/>
    <w:rsid w:val="001B7263"/>
    <w:rsid w:val="001B76DB"/>
    <w:rsid w:val="001C0680"/>
    <w:rsid w:val="001D2590"/>
    <w:rsid w:val="00200F6F"/>
    <w:rsid w:val="00211983"/>
    <w:rsid w:val="00214967"/>
    <w:rsid w:val="00222136"/>
    <w:rsid w:val="002314E0"/>
    <w:rsid w:val="0023161E"/>
    <w:rsid w:val="00231B33"/>
    <w:rsid w:val="00243BC4"/>
    <w:rsid w:val="002520EC"/>
    <w:rsid w:val="00256B6C"/>
    <w:rsid w:val="00260640"/>
    <w:rsid w:val="00266E23"/>
    <w:rsid w:val="00272CAF"/>
    <w:rsid w:val="00285D5C"/>
    <w:rsid w:val="00292A51"/>
    <w:rsid w:val="002B418A"/>
    <w:rsid w:val="002C2599"/>
    <w:rsid w:val="002E56DD"/>
    <w:rsid w:val="002F448B"/>
    <w:rsid w:val="002F4BF3"/>
    <w:rsid w:val="003022AD"/>
    <w:rsid w:val="00313CF7"/>
    <w:rsid w:val="003143D8"/>
    <w:rsid w:val="0036795A"/>
    <w:rsid w:val="003A1E18"/>
    <w:rsid w:val="003C13A7"/>
    <w:rsid w:val="003D2539"/>
    <w:rsid w:val="003F363C"/>
    <w:rsid w:val="004031E1"/>
    <w:rsid w:val="00410975"/>
    <w:rsid w:val="00453E1C"/>
    <w:rsid w:val="00456C15"/>
    <w:rsid w:val="004571F8"/>
    <w:rsid w:val="0045749E"/>
    <w:rsid w:val="004620CC"/>
    <w:rsid w:val="00466BE2"/>
    <w:rsid w:val="00477F48"/>
    <w:rsid w:val="004811E7"/>
    <w:rsid w:val="004F2432"/>
    <w:rsid w:val="005001DC"/>
    <w:rsid w:val="00510287"/>
    <w:rsid w:val="00512AB6"/>
    <w:rsid w:val="0051437C"/>
    <w:rsid w:val="00515E45"/>
    <w:rsid w:val="005359E7"/>
    <w:rsid w:val="00542861"/>
    <w:rsid w:val="00542C6B"/>
    <w:rsid w:val="00552FC9"/>
    <w:rsid w:val="00553B33"/>
    <w:rsid w:val="005922D2"/>
    <w:rsid w:val="0059402E"/>
    <w:rsid w:val="00595E92"/>
    <w:rsid w:val="005A403F"/>
    <w:rsid w:val="005A573E"/>
    <w:rsid w:val="005A6B6C"/>
    <w:rsid w:val="005B7FE5"/>
    <w:rsid w:val="005C02AE"/>
    <w:rsid w:val="005C7130"/>
    <w:rsid w:val="005C7A3F"/>
    <w:rsid w:val="005D499F"/>
    <w:rsid w:val="00603DDE"/>
    <w:rsid w:val="00611947"/>
    <w:rsid w:val="00622278"/>
    <w:rsid w:val="00625F55"/>
    <w:rsid w:val="00634ADB"/>
    <w:rsid w:val="006367D9"/>
    <w:rsid w:val="00637BA9"/>
    <w:rsid w:val="00642A68"/>
    <w:rsid w:val="00652014"/>
    <w:rsid w:val="00667DD0"/>
    <w:rsid w:val="00676B69"/>
    <w:rsid w:val="006851EC"/>
    <w:rsid w:val="006A6EEB"/>
    <w:rsid w:val="006D03E7"/>
    <w:rsid w:val="006F7456"/>
    <w:rsid w:val="00703880"/>
    <w:rsid w:val="00703CDE"/>
    <w:rsid w:val="0074326D"/>
    <w:rsid w:val="0074354E"/>
    <w:rsid w:val="007506BE"/>
    <w:rsid w:val="00757832"/>
    <w:rsid w:val="00764634"/>
    <w:rsid w:val="007754CC"/>
    <w:rsid w:val="007B2744"/>
    <w:rsid w:val="007B5CFD"/>
    <w:rsid w:val="007C2F94"/>
    <w:rsid w:val="007C7F44"/>
    <w:rsid w:val="007D3B09"/>
    <w:rsid w:val="007D4377"/>
    <w:rsid w:val="00804DDB"/>
    <w:rsid w:val="0083174F"/>
    <w:rsid w:val="0084021E"/>
    <w:rsid w:val="008414D6"/>
    <w:rsid w:val="008500A7"/>
    <w:rsid w:val="00852821"/>
    <w:rsid w:val="008674F8"/>
    <w:rsid w:val="0087139D"/>
    <w:rsid w:val="008816AC"/>
    <w:rsid w:val="00891550"/>
    <w:rsid w:val="008A0010"/>
    <w:rsid w:val="008A2F5E"/>
    <w:rsid w:val="008B3C10"/>
    <w:rsid w:val="008D6551"/>
    <w:rsid w:val="008E41C9"/>
    <w:rsid w:val="008F1A9A"/>
    <w:rsid w:val="008F77E7"/>
    <w:rsid w:val="00921353"/>
    <w:rsid w:val="00933430"/>
    <w:rsid w:val="009601D4"/>
    <w:rsid w:val="0096362E"/>
    <w:rsid w:val="009636FF"/>
    <w:rsid w:val="00966EF3"/>
    <w:rsid w:val="009739A0"/>
    <w:rsid w:val="0097473A"/>
    <w:rsid w:val="00974FCA"/>
    <w:rsid w:val="0097644A"/>
    <w:rsid w:val="009816BE"/>
    <w:rsid w:val="00987AEE"/>
    <w:rsid w:val="00993023"/>
    <w:rsid w:val="009A0BC2"/>
    <w:rsid w:val="00A03E7D"/>
    <w:rsid w:val="00A04831"/>
    <w:rsid w:val="00A26BC6"/>
    <w:rsid w:val="00A315EC"/>
    <w:rsid w:val="00A411F0"/>
    <w:rsid w:val="00A60196"/>
    <w:rsid w:val="00A60B11"/>
    <w:rsid w:val="00A65659"/>
    <w:rsid w:val="00A6569A"/>
    <w:rsid w:val="00A724B8"/>
    <w:rsid w:val="00A764ED"/>
    <w:rsid w:val="00A77494"/>
    <w:rsid w:val="00A83875"/>
    <w:rsid w:val="00A92EFA"/>
    <w:rsid w:val="00AC1369"/>
    <w:rsid w:val="00AC7502"/>
    <w:rsid w:val="00AD4F42"/>
    <w:rsid w:val="00AF2DB2"/>
    <w:rsid w:val="00B06B60"/>
    <w:rsid w:val="00B14E20"/>
    <w:rsid w:val="00B24867"/>
    <w:rsid w:val="00B26B15"/>
    <w:rsid w:val="00B42B36"/>
    <w:rsid w:val="00B54A81"/>
    <w:rsid w:val="00B6732F"/>
    <w:rsid w:val="00B738B2"/>
    <w:rsid w:val="00B837C7"/>
    <w:rsid w:val="00B83BC2"/>
    <w:rsid w:val="00B83BF2"/>
    <w:rsid w:val="00B85C0D"/>
    <w:rsid w:val="00B94C64"/>
    <w:rsid w:val="00BE3804"/>
    <w:rsid w:val="00BE3CB0"/>
    <w:rsid w:val="00C2460A"/>
    <w:rsid w:val="00C37418"/>
    <w:rsid w:val="00C40C83"/>
    <w:rsid w:val="00C4109B"/>
    <w:rsid w:val="00C7298A"/>
    <w:rsid w:val="00C74037"/>
    <w:rsid w:val="00C74C55"/>
    <w:rsid w:val="00CB25D2"/>
    <w:rsid w:val="00CE6E68"/>
    <w:rsid w:val="00D0427B"/>
    <w:rsid w:val="00D12635"/>
    <w:rsid w:val="00D375B7"/>
    <w:rsid w:val="00D40117"/>
    <w:rsid w:val="00D54A0F"/>
    <w:rsid w:val="00D711BD"/>
    <w:rsid w:val="00D721DE"/>
    <w:rsid w:val="00D727B4"/>
    <w:rsid w:val="00D833EC"/>
    <w:rsid w:val="00D96E68"/>
    <w:rsid w:val="00DD5C66"/>
    <w:rsid w:val="00E05CFC"/>
    <w:rsid w:val="00E15578"/>
    <w:rsid w:val="00E2233B"/>
    <w:rsid w:val="00E22E2D"/>
    <w:rsid w:val="00E26672"/>
    <w:rsid w:val="00E33718"/>
    <w:rsid w:val="00E47691"/>
    <w:rsid w:val="00E548D9"/>
    <w:rsid w:val="00E7078D"/>
    <w:rsid w:val="00E72EFC"/>
    <w:rsid w:val="00E73149"/>
    <w:rsid w:val="00E76868"/>
    <w:rsid w:val="00E8086D"/>
    <w:rsid w:val="00EC2426"/>
    <w:rsid w:val="00EC285A"/>
    <w:rsid w:val="00ED620C"/>
    <w:rsid w:val="00EE0D29"/>
    <w:rsid w:val="00EE38DE"/>
    <w:rsid w:val="00EE5F3E"/>
    <w:rsid w:val="00EE692C"/>
    <w:rsid w:val="00F07BA8"/>
    <w:rsid w:val="00F276F1"/>
    <w:rsid w:val="00F40AB8"/>
    <w:rsid w:val="00F44ACF"/>
    <w:rsid w:val="00F45B29"/>
    <w:rsid w:val="00F52EC0"/>
    <w:rsid w:val="00F57796"/>
    <w:rsid w:val="00F81D57"/>
    <w:rsid w:val="00F870A2"/>
    <w:rsid w:val="00F927A6"/>
    <w:rsid w:val="00F9334E"/>
    <w:rsid w:val="00F97231"/>
    <w:rsid w:val="00FA184B"/>
    <w:rsid w:val="00FA4D49"/>
    <w:rsid w:val="00FA7E73"/>
    <w:rsid w:val="00FB52E4"/>
    <w:rsid w:val="00FB550C"/>
    <w:rsid w:val="00FC046A"/>
    <w:rsid w:val="00FD7585"/>
    <w:rsid w:val="00FF6CA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E345083C-FB41-47C7-ADEF-7B9BF885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styleId="a9">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a">
    <w:name w:val="Body Text"/>
    <w:basedOn w:val="a"/>
    <w:link w:val="ab"/>
    <w:rsid w:val="008F1A9A"/>
    <w:rPr>
      <w:rFonts w:cs="Times New Roman"/>
      <w:sz w:val="18"/>
      <w:szCs w:val="18"/>
    </w:rPr>
  </w:style>
  <w:style w:type="character" w:customStyle="1" w:styleId="ab">
    <w:name w:val="גוף טקסט תו"/>
    <w:link w:val="aa"/>
    <w:rsid w:val="008F1A9A"/>
    <w:rPr>
      <w:sz w:val="18"/>
      <w:szCs w:val="18"/>
      <w:lang w:eastAsia="he-IL"/>
    </w:rPr>
  </w:style>
  <w:style w:type="character" w:styleId="FollowedHyperlink">
    <w:name w:val="FollowedHyperlink"/>
    <w:rsid w:val="008F1A9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10/yalkut-9905.pdf" TargetMode="External"/><Relationship Id="rId2" Type="http://schemas.openxmlformats.org/officeDocument/2006/relationships/hyperlink" Target="https://www.nevo.co.il/law_word/law10/yalkut-9905.pdf" TargetMode="External"/><Relationship Id="rId1" Type="http://schemas.openxmlformats.org/officeDocument/2006/relationships/hyperlink" Target="https://www.nevo.co.il/law_word/law10/yalkut-99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F1325-25DB-4DB4-891F-6AA6CE5BE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9833</CharactersWithSpaces>
  <SharedDoc>false</SharedDoc>
  <HLinks>
    <vt:vector size="120" baseType="variant">
      <vt:variant>
        <vt:i4>393283</vt:i4>
      </vt:variant>
      <vt:variant>
        <vt:i4>90</vt:i4>
      </vt:variant>
      <vt:variant>
        <vt:i4>0</vt:i4>
      </vt:variant>
      <vt:variant>
        <vt:i4>5</vt:i4>
      </vt:variant>
      <vt:variant>
        <vt:lpwstr>http://www.nevo.co.il/advertisements/nevo-100.doc</vt:lpwstr>
      </vt:variant>
      <vt:variant>
        <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1048688</vt:i4>
      </vt:variant>
      <vt:variant>
        <vt:i4>9</vt:i4>
      </vt:variant>
      <vt:variant>
        <vt:i4>0</vt:i4>
      </vt:variant>
      <vt:variant>
        <vt:i4>5</vt:i4>
      </vt:variant>
      <vt:variant>
        <vt:lpwstr>https://www.nevo.co.il/law_word/law10/yalkut-9905.pdf</vt:lpwstr>
      </vt:variant>
      <vt:variant>
        <vt:lpwstr/>
      </vt:variant>
      <vt:variant>
        <vt:i4>1048688</vt:i4>
      </vt:variant>
      <vt:variant>
        <vt:i4>6</vt:i4>
      </vt:variant>
      <vt:variant>
        <vt:i4>0</vt:i4>
      </vt:variant>
      <vt:variant>
        <vt:i4>5</vt:i4>
      </vt:variant>
      <vt:variant>
        <vt:lpwstr>https://www.nevo.co.il/law_word/law10/yalkut-9905.pdf</vt:lpwstr>
      </vt:variant>
      <vt:variant>
        <vt:lpwstr/>
      </vt:variant>
      <vt:variant>
        <vt:i4>1048688</vt:i4>
      </vt:variant>
      <vt:variant>
        <vt:i4>3</vt:i4>
      </vt:variant>
      <vt:variant>
        <vt:i4>0</vt:i4>
      </vt:variant>
      <vt:variant>
        <vt:i4>5</vt:i4>
      </vt:variant>
      <vt:variant>
        <vt:lpwstr>https://www.nevo.co.il/law_word/law10/yalkut-9905.pdf</vt:lpwstr>
      </vt:variant>
      <vt:variant>
        <vt:lpwstr/>
      </vt:variant>
      <vt:variant>
        <vt:i4>8060959</vt:i4>
      </vt:variant>
      <vt:variant>
        <vt:i4>0</vt:i4>
      </vt:variant>
      <vt:variant>
        <vt:i4>0</vt:i4>
      </vt:variant>
      <vt:variant>
        <vt:i4>5</vt:i4>
      </vt:variant>
      <vt:variant>
        <vt:lpwstr>https://www.nevo.co.il/law_word/law06/tak-8855.pdf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תקנות התכנית לסיוע כלכלי (נגיף הקורונה החדש) (הוראת שעה) (סדרי הדין והמינהל בוועדת הערר), תשפ"א-2020</vt:lpwstr>
  </property>
  <property fmtid="{D5CDD505-2E9C-101B-9397-08002B2CF9AE}" pid="5" name="LAWNUMBER">
    <vt:lpwstr>0384</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K8">
    <vt:lpwstr/>
  </property>
  <property fmtid="{D5CDD505-2E9C-101B-9397-08002B2CF9AE}" pid="47" name="LINKK9">
    <vt:lpwstr/>
  </property>
  <property fmtid="{D5CDD505-2E9C-101B-9397-08002B2CF9AE}" pid="48" name="LINKK10">
    <vt:lpwstr/>
  </property>
  <property fmtid="{D5CDD505-2E9C-101B-9397-08002B2CF9AE}" pid="49" name="LINKI1">
    <vt:lpwstr/>
  </property>
  <property fmtid="{D5CDD505-2E9C-101B-9397-08002B2CF9AE}" pid="50" name="LINKI2">
    <vt:lpwstr/>
  </property>
  <property fmtid="{D5CDD505-2E9C-101B-9397-08002B2CF9AE}" pid="51" name="LINKI3">
    <vt:lpwstr/>
  </property>
  <property fmtid="{D5CDD505-2E9C-101B-9397-08002B2CF9AE}" pid="52" name="LINKI4">
    <vt:lpwstr/>
  </property>
  <property fmtid="{D5CDD505-2E9C-101B-9397-08002B2CF9AE}" pid="53" name="LINKI5">
    <vt:lpwstr/>
  </property>
  <property fmtid="{D5CDD505-2E9C-101B-9397-08002B2CF9AE}" pid="54" name="LINKK4">
    <vt:lpwstr/>
  </property>
  <property fmtid="{D5CDD505-2E9C-101B-9397-08002B2CF9AE}" pid="55" name="LINKK5">
    <vt:lpwstr/>
  </property>
  <property fmtid="{D5CDD505-2E9C-101B-9397-08002B2CF9AE}" pid="56" name="LINKK6">
    <vt:lpwstr/>
  </property>
  <property fmtid="{D5CDD505-2E9C-101B-9397-08002B2CF9AE}" pid="57" name="LINKK7">
    <vt:lpwstr/>
  </property>
  <property fmtid="{D5CDD505-2E9C-101B-9397-08002B2CF9AE}" pid="58" name="MEKOR_NAME1">
    <vt:lpwstr>חוק התכנית לסיוע כלכלי (נגיף הקורונה החדש) (הוראת שעה), תש"ף-2020</vt:lpwstr>
  </property>
  <property fmtid="{D5CDD505-2E9C-101B-9397-08002B2CF9AE}" pid="59" name="MEKOR_LAWID1">
    <vt:lpwstr>188094</vt:lpwstr>
  </property>
  <property fmtid="{D5CDD505-2E9C-101B-9397-08002B2CF9AE}" pid="60" name="MEKOR_SAIF1">
    <vt:lpwstr>21XוX</vt:lpwstr>
  </property>
  <property fmtid="{D5CDD505-2E9C-101B-9397-08002B2CF9AE}" pid="61" name="LINKK1">
    <vt:lpwstr>https://www.nevo.co.il/law_word/law06/tak-8855.pdf‏;רשומות - תקנות כלליות#פורסמו ק"ת תשפ"א מס' ‏‏8855 #מיום 28.10.2020 עמ' 276‏</vt:lpwstr>
  </property>
  <property fmtid="{D5CDD505-2E9C-101B-9397-08002B2CF9AE}" pid="62" name="LINKK2">
    <vt:lpwstr/>
  </property>
  <property fmtid="{D5CDD505-2E9C-101B-9397-08002B2CF9AE}" pid="63" name="LINKK3">
    <vt:lpwstr/>
  </property>
</Properties>
</file>