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06D" w:rsidRDefault="00BF306D" w:rsidP="00FE6EBC">
      <w:pPr>
        <w:pStyle w:val="big-header"/>
        <w:ind w:left="0" w:right="1134"/>
        <w:rPr>
          <w:rFonts w:cs="FrankRuehl" w:hint="cs"/>
          <w:sz w:val="32"/>
          <w:rtl/>
        </w:rPr>
      </w:pPr>
      <w:r>
        <w:rPr>
          <w:rFonts w:cs="FrankRuehl" w:hint="cs"/>
          <w:sz w:val="32"/>
          <w:rtl/>
        </w:rPr>
        <w:t xml:space="preserve">תקנות התעבורה (איסור שימוש ברכב </w:t>
      </w:r>
      <w:r>
        <w:rPr>
          <w:rFonts w:cs="FrankRuehl"/>
          <w:sz w:val="32"/>
          <w:rtl/>
        </w:rPr>
        <w:t>–</w:t>
      </w:r>
      <w:r>
        <w:rPr>
          <w:rFonts w:cs="FrankRuehl" w:hint="cs"/>
          <w:sz w:val="32"/>
          <w:rtl/>
        </w:rPr>
        <w:t xml:space="preserve"> מגרשי אחסנה), תשס"ו-2006</w:t>
      </w:r>
    </w:p>
    <w:p w:rsidR="00D36D3B" w:rsidRDefault="00D36D3B" w:rsidP="00D36D3B">
      <w:pPr>
        <w:spacing w:line="320" w:lineRule="auto"/>
        <w:rPr>
          <w:rFonts w:hint="cs"/>
          <w:rtl/>
        </w:rPr>
      </w:pPr>
    </w:p>
    <w:p w:rsidR="00FA0077" w:rsidRDefault="00FA0077" w:rsidP="00D36D3B">
      <w:pPr>
        <w:spacing w:line="320" w:lineRule="auto"/>
        <w:rPr>
          <w:rFonts w:hint="cs"/>
          <w:rtl/>
        </w:rPr>
      </w:pPr>
    </w:p>
    <w:p w:rsidR="00D36D3B" w:rsidRPr="00D36D3B" w:rsidRDefault="00D36D3B" w:rsidP="00D36D3B">
      <w:pPr>
        <w:spacing w:line="320" w:lineRule="auto"/>
        <w:rPr>
          <w:rFonts w:cs="Miriam" w:hint="cs"/>
          <w:szCs w:val="22"/>
          <w:rtl/>
        </w:rPr>
      </w:pPr>
      <w:r w:rsidRPr="00D36D3B">
        <w:rPr>
          <w:rFonts w:cs="Miriam"/>
          <w:szCs w:val="22"/>
          <w:rtl/>
        </w:rPr>
        <w:t>רשויות ומשפט מנהלי</w:t>
      </w:r>
      <w:r w:rsidRPr="00D36D3B">
        <w:rPr>
          <w:rFonts w:cs="FrankRuehl"/>
          <w:szCs w:val="26"/>
          <w:rtl/>
        </w:rPr>
        <w:t xml:space="preserve"> – תעבורה – רכב – איסור שימוש ברכב</w:t>
      </w:r>
    </w:p>
    <w:p w:rsidR="00BF306D" w:rsidRDefault="00BF306D">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BF306D" w:rsidRDefault="00BF306D">
            <w:hyperlink w:anchor="Seif0" w:tooltip="אחסנת רכב" w:history="1">
              <w:r>
                <w:rPr>
                  <w:rStyle w:val="Hyperlink"/>
                </w:rPr>
                <w:t>Go</w:t>
              </w:r>
            </w:hyperlink>
          </w:p>
        </w:tc>
        <w:tc>
          <w:tcPr>
            <w:tcW w:w="5669" w:type="dxa"/>
          </w:tcPr>
          <w:p w:rsidR="00BF306D" w:rsidRDefault="00BF306D">
            <w:pPr>
              <w:rPr>
                <w:rtl/>
              </w:rPr>
            </w:pPr>
            <w:r>
              <w:rPr>
                <w:rtl/>
              </w:rPr>
              <w:t>אחסנת רכב</w:t>
            </w:r>
          </w:p>
        </w:tc>
        <w:tc>
          <w:tcPr>
            <w:tcW w:w="1247" w:type="dxa"/>
          </w:tcPr>
          <w:p w:rsidR="00BF306D" w:rsidRDefault="00BF306D">
            <w:r>
              <w:rPr>
                <w:rtl/>
              </w:rPr>
              <w:t xml:space="preserve">סעיף 1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BF306D" w:rsidRDefault="00BF306D">
            <w:hyperlink w:anchor="Seif1" w:tooltip="מגרש אחסנה" w:history="1">
              <w:r>
                <w:rPr>
                  <w:rStyle w:val="Hyperlink"/>
                </w:rPr>
                <w:t>Go</w:t>
              </w:r>
            </w:hyperlink>
          </w:p>
        </w:tc>
        <w:tc>
          <w:tcPr>
            <w:tcW w:w="5669" w:type="dxa"/>
          </w:tcPr>
          <w:p w:rsidR="00BF306D" w:rsidRDefault="00BF306D">
            <w:pPr>
              <w:rPr>
                <w:rtl/>
              </w:rPr>
            </w:pPr>
            <w:r>
              <w:rPr>
                <w:rtl/>
              </w:rPr>
              <w:t>מגרש אחסנה</w:t>
            </w:r>
          </w:p>
        </w:tc>
        <w:tc>
          <w:tcPr>
            <w:tcW w:w="1247" w:type="dxa"/>
          </w:tcPr>
          <w:p w:rsidR="00BF306D" w:rsidRDefault="00BF306D">
            <w:r>
              <w:rPr>
                <w:rtl/>
              </w:rPr>
              <w:t xml:space="preserve">סעיף 2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rsidR="00BF306D" w:rsidRDefault="00BF306D">
            <w:hyperlink w:anchor="Seif2" w:tooltip="שילוט מגרש אחסנה" w:history="1">
              <w:r>
                <w:rPr>
                  <w:rStyle w:val="Hyperlink"/>
                </w:rPr>
                <w:t>Go</w:t>
              </w:r>
            </w:hyperlink>
          </w:p>
        </w:tc>
        <w:tc>
          <w:tcPr>
            <w:tcW w:w="5669" w:type="dxa"/>
          </w:tcPr>
          <w:p w:rsidR="00BF306D" w:rsidRDefault="00BF306D">
            <w:pPr>
              <w:rPr>
                <w:rtl/>
              </w:rPr>
            </w:pPr>
            <w:r>
              <w:rPr>
                <w:rtl/>
              </w:rPr>
              <w:t>שילוט מגרש אחסנה</w:t>
            </w:r>
          </w:p>
        </w:tc>
        <w:tc>
          <w:tcPr>
            <w:tcW w:w="1247" w:type="dxa"/>
          </w:tcPr>
          <w:p w:rsidR="00BF306D" w:rsidRDefault="00BF306D">
            <w:r>
              <w:rPr>
                <w:rtl/>
              </w:rPr>
              <w:t xml:space="preserve">סעיף 3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3" w:tooltip="מספרם של מגרשי האחסנה ומיקומם" w:history="1">
              <w:r>
                <w:rPr>
                  <w:rStyle w:val="Hyperlink"/>
                </w:rPr>
                <w:t>Go</w:t>
              </w:r>
            </w:hyperlink>
          </w:p>
        </w:tc>
        <w:tc>
          <w:tcPr>
            <w:tcW w:w="5669" w:type="dxa"/>
          </w:tcPr>
          <w:p w:rsidR="00BF306D" w:rsidRDefault="00BF306D">
            <w:pPr>
              <w:rPr>
                <w:rtl/>
              </w:rPr>
            </w:pPr>
            <w:r>
              <w:rPr>
                <w:rtl/>
              </w:rPr>
              <w:t>מספרם של מגרשי האחסנה ומיקומם</w:t>
            </w:r>
          </w:p>
        </w:tc>
        <w:tc>
          <w:tcPr>
            <w:tcW w:w="1247" w:type="dxa"/>
          </w:tcPr>
          <w:p w:rsidR="00BF306D" w:rsidRDefault="00BF306D">
            <w:r>
              <w:rPr>
                <w:rtl/>
              </w:rPr>
              <w:t xml:space="preserve">סעיף 4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4" w:tooltip="גודל מגרש האחסנה" w:history="1">
              <w:r>
                <w:rPr>
                  <w:rStyle w:val="Hyperlink"/>
                </w:rPr>
                <w:t>Go</w:t>
              </w:r>
            </w:hyperlink>
          </w:p>
        </w:tc>
        <w:tc>
          <w:tcPr>
            <w:tcW w:w="5669" w:type="dxa"/>
          </w:tcPr>
          <w:p w:rsidR="00BF306D" w:rsidRDefault="00BF306D">
            <w:pPr>
              <w:rPr>
                <w:rtl/>
              </w:rPr>
            </w:pPr>
            <w:r>
              <w:rPr>
                <w:rtl/>
              </w:rPr>
              <w:t>גודל מגרש האחסנה</w:t>
            </w:r>
          </w:p>
        </w:tc>
        <w:tc>
          <w:tcPr>
            <w:tcW w:w="1247" w:type="dxa"/>
          </w:tcPr>
          <w:p w:rsidR="00BF306D" w:rsidRDefault="00BF306D">
            <w:r>
              <w:rPr>
                <w:rtl/>
              </w:rPr>
              <w:t xml:space="preserve">סעיף 5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5" w:tooltip="תנאים לגורר" w:history="1">
              <w:r>
                <w:rPr>
                  <w:rStyle w:val="Hyperlink"/>
                </w:rPr>
                <w:t>Go</w:t>
              </w:r>
            </w:hyperlink>
          </w:p>
        </w:tc>
        <w:tc>
          <w:tcPr>
            <w:tcW w:w="5669" w:type="dxa"/>
          </w:tcPr>
          <w:p w:rsidR="00BF306D" w:rsidRDefault="00BF306D">
            <w:pPr>
              <w:rPr>
                <w:rtl/>
              </w:rPr>
            </w:pPr>
            <w:r>
              <w:rPr>
                <w:rtl/>
              </w:rPr>
              <w:t>תנאים לגורר</w:t>
            </w:r>
          </w:p>
        </w:tc>
        <w:tc>
          <w:tcPr>
            <w:tcW w:w="1247" w:type="dxa"/>
          </w:tcPr>
          <w:p w:rsidR="00BF306D" w:rsidRDefault="00BF306D">
            <w:r>
              <w:rPr>
                <w:rtl/>
              </w:rPr>
              <w:t xml:space="preserve">סעיף 6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6" w:tooltip="ביטול או השהיית אישור מגרש אחסנה" w:history="1">
              <w:r>
                <w:rPr>
                  <w:rStyle w:val="Hyperlink"/>
                </w:rPr>
                <w:t>Go</w:t>
              </w:r>
            </w:hyperlink>
          </w:p>
        </w:tc>
        <w:tc>
          <w:tcPr>
            <w:tcW w:w="5669" w:type="dxa"/>
          </w:tcPr>
          <w:p w:rsidR="00BF306D" w:rsidRDefault="00BF306D">
            <w:pPr>
              <w:rPr>
                <w:rtl/>
              </w:rPr>
            </w:pPr>
            <w:r>
              <w:rPr>
                <w:rtl/>
              </w:rPr>
              <w:t>ביטול או השהיית אישור מגרש אחסנה</w:t>
            </w:r>
          </w:p>
        </w:tc>
        <w:tc>
          <w:tcPr>
            <w:tcW w:w="1247" w:type="dxa"/>
          </w:tcPr>
          <w:p w:rsidR="00BF306D" w:rsidRDefault="00BF306D">
            <w:r>
              <w:rPr>
                <w:rtl/>
              </w:rPr>
              <w:t xml:space="preserve">סעיף 7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7" w:tooltip="תשלום הוצאות על אחסנת כלי רכב וגרירתו" w:history="1">
              <w:r>
                <w:rPr>
                  <w:rStyle w:val="Hyperlink"/>
                </w:rPr>
                <w:t>Go</w:t>
              </w:r>
            </w:hyperlink>
          </w:p>
        </w:tc>
        <w:tc>
          <w:tcPr>
            <w:tcW w:w="5669" w:type="dxa"/>
          </w:tcPr>
          <w:p w:rsidR="00BF306D" w:rsidRDefault="00BF306D">
            <w:pPr>
              <w:rPr>
                <w:rtl/>
              </w:rPr>
            </w:pPr>
            <w:r>
              <w:rPr>
                <w:rtl/>
              </w:rPr>
              <w:t>תשלום הוצאות על אחסנת כלי רכב וגרירתו</w:t>
            </w:r>
          </w:p>
        </w:tc>
        <w:tc>
          <w:tcPr>
            <w:tcW w:w="1247" w:type="dxa"/>
          </w:tcPr>
          <w:p w:rsidR="00BF306D" w:rsidRDefault="00BF306D">
            <w:r>
              <w:rPr>
                <w:rtl/>
              </w:rPr>
              <w:t xml:space="preserve">סעיף 8 </w:t>
            </w:r>
          </w:p>
        </w:tc>
      </w:tr>
      <w:tr w:rsidR="00BF306D">
        <w:tblPrEx>
          <w:tblCellMar>
            <w:top w:w="0" w:type="dxa"/>
            <w:bottom w:w="0" w:type="dxa"/>
          </w:tblCellMar>
        </w:tblPrEx>
        <w:trPr>
          <w:jc w:val="right"/>
        </w:trPr>
        <w:tc>
          <w:tcPr>
            <w:tcW w:w="850" w:type="dxa"/>
          </w:tcPr>
          <w:p w:rsidR="00BF306D" w:rsidRDefault="00BF306D">
            <w:r>
              <w:rPr>
                <w:rtl/>
              </w:rPr>
              <w:fldChar w:fldCharType="begin"/>
            </w:r>
            <w:r>
              <w:rPr>
                <w:rtl/>
              </w:rPr>
              <w:instrText xml:space="preserve"> </w:instrText>
            </w:r>
            <w:r>
              <w:instrText>PAGEREF Seif8</w:instrText>
            </w:r>
            <w:r>
              <w:rPr>
                <w:rtl/>
              </w:rPr>
              <w:instrText xml:space="preserve"> </w:instrText>
            </w:r>
            <w:r>
              <w:rPr>
                <w:rtl/>
              </w:rPr>
              <w:fldChar w:fldCharType="separate"/>
            </w:r>
            <w:r>
              <w:rPr>
                <w:rtl/>
              </w:rPr>
              <w:t>3</w:t>
            </w:r>
            <w:r>
              <w:rPr>
                <w:rtl/>
              </w:rPr>
              <w:fldChar w:fldCharType="end"/>
            </w:r>
          </w:p>
        </w:tc>
        <w:tc>
          <w:tcPr>
            <w:tcW w:w="567" w:type="dxa"/>
          </w:tcPr>
          <w:p w:rsidR="00BF306D" w:rsidRDefault="00BF306D">
            <w:hyperlink w:anchor="Seif8" w:tooltip="תוקף" w:history="1">
              <w:r>
                <w:rPr>
                  <w:rStyle w:val="Hyperlink"/>
                </w:rPr>
                <w:t>Go</w:t>
              </w:r>
            </w:hyperlink>
          </w:p>
        </w:tc>
        <w:tc>
          <w:tcPr>
            <w:tcW w:w="5669" w:type="dxa"/>
          </w:tcPr>
          <w:p w:rsidR="00BF306D" w:rsidRDefault="00BF306D">
            <w:pPr>
              <w:rPr>
                <w:rtl/>
              </w:rPr>
            </w:pPr>
            <w:r>
              <w:rPr>
                <w:rtl/>
              </w:rPr>
              <w:t>תוקף</w:t>
            </w:r>
          </w:p>
        </w:tc>
        <w:tc>
          <w:tcPr>
            <w:tcW w:w="1247" w:type="dxa"/>
          </w:tcPr>
          <w:p w:rsidR="00BF306D" w:rsidRDefault="00BF306D">
            <w:r>
              <w:rPr>
                <w:rtl/>
              </w:rPr>
              <w:t xml:space="preserve">סעיף 9 </w:t>
            </w:r>
          </w:p>
        </w:tc>
      </w:tr>
    </w:tbl>
    <w:p w:rsidR="00BF306D" w:rsidRDefault="00BF306D" w:rsidP="00FE6EBC">
      <w:pPr>
        <w:pStyle w:val="big-header"/>
        <w:ind w:left="0" w:right="1134"/>
        <w:rPr>
          <w:rStyle w:val="default"/>
          <w:rFonts w:hint="cs"/>
          <w:sz w:val="22"/>
          <w:szCs w:val="22"/>
          <w:rtl/>
        </w:rPr>
      </w:pPr>
      <w:r>
        <w:rPr>
          <w:rFonts w:cs="FrankRuehl"/>
          <w:sz w:val="32"/>
          <w:rtl/>
        </w:rPr>
        <w:br w:type="page"/>
      </w:r>
      <w:r w:rsidR="00FE6EBC">
        <w:rPr>
          <w:rFonts w:cs="FrankRuehl" w:hint="cs"/>
          <w:sz w:val="32"/>
          <w:rtl/>
          <w:lang w:eastAsia="en-US"/>
        </w:rPr>
        <w:lastRenderedPageBreak/>
        <w:pict>
          <v:shapetype id="_x0000_t202" coordsize="21600,21600" o:spt="202" path="m,l,21600r21600,l21600,xe">
            <v:stroke joinstyle="miter"/>
            <v:path gradientshapeok="t" o:connecttype="rect"/>
          </v:shapetype>
          <v:shape id="_x0000_s1195" type="#_x0000_t202" style="position:absolute;left:0;text-align:left;margin-left:470.35pt;margin-top:25.5pt;width:1in;height:9pt;z-index:251662848" filled="f" stroked="f">
            <v:textbox inset="1mm,0,1mm,0">
              <w:txbxContent>
                <w:p w:rsidR="00FE6EBC" w:rsidRDefault="00FE6EBC" w:rsidP="00FE6EBC">
                  <w:pPr>
                    <w:spacing w:line="160" w:lineRule="exact"/>
                    <w:rPr>
                      <w:rFonts w:cs="Miriam" w:hint="cs"/>
                      <w:noProof/>
                      <w:sz w:val="18"/>
                      <w:szCs w:val="18"/>
                      <w:rtl/>
                    </w:rPr>
                  </w:pPr>
                  <w:r>
                    <w:rPr>
                      <w:rFonts w:cs="Miriam" w:hint="cs"/>
                      <w:sz w:val="18"/>
                      <w:szCs w:val="18"/>
                      <w:rtl/>
                    </w:rPr>
                    <w:t>תק' תשע"א-2010</w:t>
                  </w:r>
                </w:p>
              </w:txbxContent>
            </v:textbox>
            <w10:anchorlock/>
          </v:shape>
        </w:pict>
      </w:r>
      <w:r>
        <w:rPr>
          <w:rFonts w:cs="FrankRuehl" w:hint="cs"/>
          <w:sz w:val="32"/>
          <w:rtl/>
        </w:rPr>
        <w:t xml:space="preserve">תקנות התעבורה (איסור שימוש ברכב </w:t>
      </w:r>
      <w:r>
        <w:rPr>
          <w:rFonts w:cs="FrankRuehl"/>
          <w:sz w:val="32"/>
          <w:rtl/>
        </w:rPr>
        <w:t>–</w:t>
      </w:r>
      <w:r>
        <w:rPr>
          <w:rFonts w:cs="FrankRuehl" w:hint="cs"/>
          <w:sz w:val="32"/>
          <w:rtl/>
        </w:rPr>
        <w:t xml:space="preserve"> מגרשי אחסנה), תשס"ו-2006</w:t>
      </w:r>
      <w:r>
        <w:rPr>
          <w:rStyle w:val="default"/>
          <w:sz w:val="22"/>
          <w:szCs w:val="22"/>
          <w:rtl/>
        </w:rPr>
        <w:footnoteReference w:customMarkFollows="1" w:id="1"/>
        <w:t>*</w:t>
      </w:r>
    </w:p>
    <w:p w:rsidR="00FE6EBC" w:rsidRPr="00FA0077" w:rsidRDefault="00FE6EBC" w:rsidP="00FE6EBC">
      <w:pPr>
        <w:pStyle w:val="P00"/>
        <w:spacing w:before="0"/>
        <w:ind w:left="0" w:right="1134"/>
        <w:rPr>
          <w:rStyle w:val="default"/>
          <w:rFonts w:cs="FrankRuehl" w:hint="cs"/>
          <w:vanish/>
          <w:color w:val="FF0000"/>
          <w:sz w:val="20"/>
          <w:szCs w:val="20"/>
          <w:shd w:val="clear" w:color="auto" w:fill="FFFF99"/>
          <w:rtl/>
        </w:rPr>
      </w:pPr>
      <w:bookmarkStart w:id="0" w:name="Rov12"/>
      <w:r w:rsidRPr="00FA0077">
        <w:rPr>
          <w:rStyle w:val="default"/>
          <w:rFonts w:cs="FrankRuehl" w:hint="cs"/>
          <w:vanish/>
          <w:color w:val="FF0000"/>
          <w:sz w:val="20"/>
          <w:szCs w:val="20"/>
          <w:shd w:val="clear" w:color="auto" w:fill="FFFF99"/>
          <w:rtl/>
        </w:rPr>
        <w:t>מיום 30.12.2010</w:t>
      </w:r>
    </w:p>
    <w:p w:rsidR="00FE6EBC" w:rsidRPr="00FA0077" w:rsidRDefault="00FE6EBC" w:rsidP="00FE6EBC">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תשע"א-2010</w:t>
      </w:r>
    </w:p>
    <w:p w:rsidR="00FE6EBC" w:rsidRPr="00FA0077" w:rsidRDefault="00FE6EBC" w:rsidP="00FE6EBC">
      <w:pPr>
        <w:pStyle w:val="P00"/>
        <w:spacing w:before="0"/>
        <w:ind w:left="0" w:right="1134"/>
        <w:rPr>
          <w:rStyle w:val="default"/>
          <w:rFonts w:cs="FrankRuehl" w:hint="cs"/>
          <w:vanish/>
          <w:sz w:val="20"/>
          <w:szCs w:val="20"/>
          <w:shd w:val="clear" w:color="auto" w:fill="FFFF99"/>
          <w:rtl/>
        </w:rPr>
      </w:pPr>
      <w:hyperlink r:id="rId7" w:history="1">
        <w:r w:rsidRPr="00FA0077">
          <w:rPr>
            <w:rStyle w:val="Hyperlink"/>
            <w:rFonts w:cs="FrankRuehl" w:hint="cs"/>
            <w:vanish/>
            <w:szCs w:val="20"/>
            <w:shd w:val="clear" w:color="auto" w:fill="FFFF99"/>
            <w:rtl/>
          </w:rPr>
          <w:t>ק"ת תשע"א מס' 6959</w:t>
        </w:r>
      </w:hyperlink>
      <w:r w:rsidRPr="00FA0077">
        <w:rPr>
          <w:rStyle w:val="default"/>
          <w:rFonts w:cs="FrankRuehl" w:hint="cs"/>
          <w:vanish/>
          <w:sz w:val="20"/>
          <w:szCs w:val="20"/>
          <w:shd w:val="clear" w:color="auto" w:fill="FFFF99"/>
          <w:rtl/>
        </w:rPr>
        <w:t xml:space="preserve"> מיום 30.12.2010 עמ' 420</w:t>
      </w:r>
    </w:p>
    <w:p w:rsidR="00FE6EBC" w:rsidRPr="00FE6EBC" w:rsidRDefault="00FE6EBC" w:rsidP="00FE6EBC">
      <w:pPr>
        <w:pStyle w:val="P00"/>
        <w:ind w:left="0" w:right="1134"/>
        <w:rPr>
          <w:rStyle w:val="default"/>
          <w:rFonts w:cs="FrankRuehl" w:hint="cs"/>
          <w:sz w:val="2"/>
          <w:szCs w:val="2"/>
          <w:rtl/>
        </w:rPr>
      </w:pPr>
      <w:r w:rsidRPr="00FA0077">
        <w:rPr>
          <w:rStyle w:val="default"/>
          <w:rFonts w:cs="FrankRuehl" w:hint="cs"/>
          <w:vanish/>
          <w:sz w:val="22"/>
          <w:szCs w:val="22"/>
          <w:shd w:val="clear" w:color="auto" w:fill="FFFF99"/>
          <w:rtl/>
        </w:rPr>
        <w:t xml:space="preserve">תקנות התעבורה (איסור שימוש ברכב </w:t>
      </w:r>
      <w:r w:rsidRPr="00FA0077">
        <w:rPr>
          <w:rStyle w:val="default"/>
          <w:rFonts w:cs="FrankRuehl"/>
          <w:vanish/>
          <w:sz w:val="22"/>
          <w:szCs w:val="22"/>
          <w:shd w:val="clear" w:color="auto" w:fill="FFFF99"/>
          <w:rtl/>
        </w:rPr>
        <w:t>–</w:t>
      </w:r>
      <w:r w:rsidRPr="00FA0077">
        <w:rPr>
          <w:rStyle w:val="default"/>
          <w:rFonts w:cs="FrankRuehl" w:hint="cs"/>
          <w:vanish/>
          <w:sz w:val="22"/>
          <w:szCs w:val="22"/>
          <w:shd w:val="clear" w:color="auto" w:fill="FFFF99"/>
          <w:rtl/>
        </w:rPr>
        <w:t xml:space="preserve"> מגרשי אחסנה) </w:t>
      </w:r>
      <w:r w:rsidRPr="00FA0077">
        <w:rPr>
          <w:rStyle w:val="default"/>
          <w:rFonts w:cs="FrankRuehl" w:hint="cs"/>
          <w:strike/>
          <w:vanish/>
          <w:sz w:val="22"/>
          <w:szCs w:val="22"/>
          <w:shd w:val="clear" w:color="auto" w:fill="FFFF99"/>
          <w:rtl/>
        </w:rPr>
        <w:t>(הוראת שעה)</w:t>
      </w:r>
      <w:r w:rsidRPr="00FA0077">
        <w:rPr>
          <w:rStyle w:val="default"/>
          <w:rFonts w:cs="FrankRuehl" w:hint="cs"/>
          <w:vanish/>
          <w:sz w:val="22"/>
          <w:szCs w:val="22"/>
          <w:shd w:val="clear" w:color="auto" w:fill="FFFF99"/>
          <w:rtl/>
        </w:rPr>
        <w:t>, תשס"ו-2006</w:t>
      </w:r>
      <w:bookmarkEnd w:id="0"/>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57א(ב)(2) ו</w:t>
      </w:r>
      <w:r>
        <w:rPr>
          <w:rStyle w:val="default"/>
          <w:rFonts w:cs="FrankRuehl" w:hint="cs"/>
          <w:rtl/>
        </w:rPr>
        <w:t>-</w:t>
      </w:r>
      <w:r>
        <w:rPr>
          <w:rStyle w:val="default"/>
          <w:rFonts w:cs="FrankRuehl"/>
          <w:rtl/>
        </w:rPr>
        <w:t>57ו לפקודת התעבורה (להלן – הפקודה), בהסכמת שר התחבורה והבטיחות בדרכים ובהתייעצות עמו, ובאישור ועדת הכלכלה של הכנסת, אני מתקין תקנות אלה:</w:t>
      </w:r>
    </w:p>
    <w:p w:rsidR="00BF306D" w:rsidRDefault="00BF306D">
      <w:pPr>
        <w:pStyle w:val="P00"/>
        <w:spacing w:before="72"/>
        <w:ind w:left="0" w:right="1134"/>
        <w:rPr>
          <w:rStyle w:val="default"/>
          <w:rFonts w:cs="FrankRuehl" w:hint="cs"/>
          <w:rtl/>
        </w:rPr>
      </w:pPr>
      <w:bookmarkStart w:id="1" w:name="Seif0"/>
      <w:bookmarkEnd w:id="1"/>
      <w:r>
        <w:rPr>
          <w:rFonts w:cs="Miriam"/>
          <w:lang w:val="he-IL"/>
        </w:rPr>
        <w:pict>
          <v:rect id="_x0000_s1026" style="position:absolute;left:0;text-align:left;margin-left:464.35pt;margin-top:7.1pt;width:75.05pt;height:17.95pt;z-index:251652608" o:allowincell="f" filled="f" stroked="f" strokecolor="lime" strokeweight=".25pt">
            <v:textbox style="mso-next-textbox:#_x0000_s1026" inset="0,0,0,0">
              <w:txbxContent>
                <w:p w:rsidR="00BF306D" w:rsidRDefault="00BF306D">
                  <w:pPr>
                    <w:spacing w:line="160" w:lineRule="exact"/>
                    <w:rPr>
                      <w:rFonts w:cs="Miriam" w:hint="cs"/>
                      <w:noProof/>
                      <w:sz w:val="18"/>
                      <w:szCs w:val="18"/>
                      <w:rtl/>
                    </w:rPr>
                  </w:pPr>
                  <w:r>
                    <w:rPr>
                      <w:rFonts w:cs="Miriam" w:hint="cs"/>
                      <w:sz w:val="18"/>
                      <w:szCs w:val="18"/>
                      <w:rtl/>
                    </w:rPr>
                    <w:t>אחסנת רכב</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רכב שניתנה לגביו הודעת איסור שימוש (להלן – ההודעה), רשאי שוטר להורות</w:t>
      </w:r>
      <w:r>
        <w:rPr>
          <w:rStyle w:val="default"/>
          <w:rFonts w:cs="FrankRuehl" w:hint="cs"/>
          <w:rtl/>
        </w:rPr>
        <w:t xml:space="preserve"> </w:t>
      </w:r>
      <w:r>
        <w:rPr>
          <w:rStyle w:val="default"/>
          <w:rFonts w:cs="FrankRuehl"/>
          <w:rtl/>
        </w:rPr>
        <w:t>לבעל הרכב, או למי שהרכב ברשותו באותה שעה, להעבירו או לגררו למגרש אחסנה שאושר לכך בהתאם לתקנות אלה, בתוך פרק זמן סביר שיינקב בהודעה (להלן – מגרש אחסנה).</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מגרש האחסנה שיאוחסן בו הרכב, ייקבע בהתחשב בהצעתו של הנהג, מבין מגרשי האחסנה שיש בהם, באותה שעה, מקום לאחסון הרכב, ולאחר שהוצג לפניו המידע אודות מיקומם של מגרשי האחסנה והוצאות האחסנה בכל אחד מהם.</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הועבר הרכב למגרש אחסנה בתוך פרק הזמן הנקוב בהודעה או בצו איסור שימוש, רשאי קצין משטרה לגררו או להורות לגררו למגרש אחסנה באמצעות גורר שאושר</w:t>
      </w:r>
      <w:r>
        <w:rPr>
          <w:rStyle w:val="default"/>
          <w:rFonts w:cs="FrankRuehl" w:hint="cs"/>
          <w:rtl/>
        </w:rPr>
        <w:t xml:space="preserve"> </w:t>
      </w:r>
      <w:r>
        <w:rPr>
          <w:rStyle w:val="default"/>
          <w:rFonts w:cs="FrankRuehl"/>
          <w:rtl/>
        </w:rPr>
        <w:t>לכך בהתאם לתקנות אלה (להלן – גורר), ובלבד שהבטיח כי הגורר נקט אמצעי זהירות סבירים הדרושים להבטיח את בטיחות הגרירה ולמנוע נזק לרכב בעת גרירתו.</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איסור השימוש יחל במועד מתן ההודעה ואולם בחישוב התקופה הנקובה בהודעה לא תבוא במנין התקופה שחלפה עד העמדת הרכב במגרש האחסנה.</w:t>
      </w:r>
    </w:p>
    <w:p w:rsidR="00BF306D" w:rsidRDefault="00BF306D">
      <w:pPr>
        <w:pStyle w:val="P00"/>
        <w:spacing w:before="72"/>
        <w:ind w:left="0" w:right="1134"/>
        <w:rPr>
          <w:rStyle w:val="default"/>
          <w:rFonts w:cs="FrankRuehl" w:hint="cs"/>
          <w:rtl/>
        </w:rPr>
      </w:pPr>
      <w:bookmarkStart w:id="2" w:name="Seif1"/>
      <w:bookmarkEnd w:id="2"/>
      <w:r>
        <w:rPr>
          <w:rFonts w:cs="Miriam"/>
          <w:lang w:val="he-IL"/>
        </w:rPr>
        <w:pict>
          <v:rect id="_x0000_s1170" style="position:absolute;left:0;text-align:left;margin-left:464.35pt;margin-top:7.1pt;width:75.05pt;height:9.95pt;z-index:251653632" o:allowincell="f" filled="f" stroked="f" strokecolor="lime" strokeweight=".25pt">
            <v:textbox style="mso-next-textbox:#_x0000_s1170" inset="0,0,0,0">
              <w:txbxContent>
                <w:p w:rsidR="00BF306D" w:rsidRDefault="00BF306D">
                  <w:pPr>
                    <w:spacing w:line="160" w:lineRule="exact"/>
                    <w:rPr>
                      <w:rFonts w:cs="Miriam" w:hint="cs"/>
                      <w:noProof/>
                      <w:sz w:val="18"/>
                      <w:szCs w:val="18"/>
                      <w:rtl/>
                    </w:rPr>
                  </w:pPr>
                  <w:r>
                    <w:rPr>
                      <w:rFonts w:cs="Miriam" w:hint="cs"/>
                      <w:sz w:val="18"/>
                      <w:szCs w:val="18"/>
                      <w:rtl/>
                    </w:rPr>
                    <w:t>מגרש אחסנה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כמגרש אחסנה ישמש רק מגרש חניה שראש מחלקת התנועה של משטרת ישראל</w:t>
      </w:r>
      <w:r>
        <w:rPr>
          <w:rStyle w:val="default"/>
          <w:rFonts w:cs="FrankRuehl" w:hint="cs"/>
          <w:rtl/>
        </w:rPr>
        <w:t xml:space="preserve"> </w:t>
      </w:r>
      <w:r>
        <w:rPr>
          <w:rStyle w:val="default"/>
          <w:rFonts w:cs="FrankRuehl"/>
          <w:rtl/>
        </w:rPr>
        <w:t>(להלן – ראש מת"ן) אישר כי הוא מתאים לאחסנה ושמירה של כלי רכב, וכי מפעיל מגרש</w:t>
      </w:r>
      <w:r>
        <w:rPr>
          <w:rStyle w:val="default"/>
          <w:rFonts w:cs="FrankRuehl" w:hint="cs"/>
          <w:rtl/>
        </w:rPr>
        <w:t xml:space="preserve"> </w:t>
      </w:r>
      <w:r>
        <w:rPr>
          <w:rStyle w:val="default"/>
          <w:rFonts w:cs="FrankRuehl"/>
          <w:rtl/>
        </w:rPr>
        <w:t>האחסנה זכה במכרז להפעלת מגרש אחסנה שפרסמה המשטרה והוא עומד בתנאים שנקבעו</w:t>
      </w:r>
      <w:r>
        <w:rPr>
          <w:rStyle w:val="default"/>
          <w:rFonts w:cs="FrankRuehl" w:hint="cs"/>
          <w:rtl/>
        </w:rPr>
        <w:t xml:space="preserve"> </w:t>
      </w:r>
      <w:r>
        <w:rPr>
          <w:rStyle w:val="default"/>
          <w:rFonts w:cs="FrankRuehl"/>
          <w:rtl/>
        </w:rPr>
        <w:t>בתקנות אלה ובתנאי המכרז; העתק ממפרט המכרז יועמד לעיון הציבור באגף התנועה של משטרת ישראל ובאתר האינטרנט של המשטרה.</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תוקפו של אישור ראש מת"ן כאמור בתקנת משנה (א), יהיה לתקופה שלא תעלה על 12 חדשים, וניתן להאריכו לתקופה נוספת של עד 24 חודשים.</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יאשר ראש מת"ן מגרש כמגרש אחסנה אלא אם כן נתקיימו בו תנאים אלה:</w:t>
      </w:r>
    </w:p>
    <w:p w:rsidR="00BF306D" w:rsidRDefault="00BF306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מגודר והכניסה אליו תהיה רק דרך כניסה מבוקרת;</w:t>
      </w:r>
    </w:p>
    <w:p w:rsidR="00BF306D" w:rsidRDefault="00BF306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הותקנה בו תאורה שתאפשר זיהוי של תנועת אנשים וכלי רכב במשך כל שעות היממה;</w:t>
      </w:r>
    </w:p>
    <w:p w:rsidR="00BF306D" w:rsidRDefault="00BF306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 מגרש האחסנה תופקד שמירה כל שעות היממה בהיקף הנדרש לצורך פיקוח על תנועת אנשים וכלי רכב;</w:t>
      </w:r>
    </w:p>
    <w:p w:rsidR="00BF306D" w:rsidRDefault="00BF306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משטרת ישראל אישרה כי אין מניעה שמפעיל מגרש האחסנה ישמש בתפקיד זה.</w:t>
      </w:r>
    </w:p>
    <w:p w:rsidR="00BF306D" w:rsidRDefault="00BF306D">
      <w:pPr>
        <w:pStyle w:val="P00"/>
        <w:spacing w:before="72"/>
        <w:ind w:left="0" w:right="1134"/>
        <w:rPr>
          <w:rStyle w:val="default"/>
          <w:rFonts w:cs="FrankRuehl" w:hint="cs"/>
          <w:rtl/>
        </w:rPr>
      </w:pPr>
      <w:bookmarkStart w:id="3" w:name="Seif2"/>
      <w:bookmarkEnd w:id="3"/>
      <w:r>
        <w:rPr>
          <w:rFonts w:cs="Miriam"/>
          <w:lang w:val="he-IL"/>
        </w:rPr>
        <w:pict>
          <v:rect id="_x0000_s1184" style="position:absolute;left:0;text-align:left;margin-left:464.35pt;margin-top:7.1pt;width:75.05pt;height:11.95pt;z-index:251654656" o:allowincell="f" filled="f" stroked="f" strokecolor="lime" strokeweight=".25pt">
            <v:textbox style="mso-next-textbox:#_x0000_s1184" inset="0,0,0,0">
              <w:txbxContent>
                <w:p w:rsidR="00BF306D" w:rsidRDefault="00BF306D">
                  <w:pPr>
                    <w:spacing w:line="160" w:lineRule="exact"/>
                    <w:rPr>
                      <w:rFonts w:cs="Miriam" w:hint="cs"/>
                      <w:noProof/>
                      <w:sz w:val="18"/>
                      <w:szCs w:val="18"/>
                      <w:rtl/>
                    </w:rPr>
                  </w:pPr>
                  <w:r>
                    <w:rPr>
                      <w:rFonts w:cs="Miriam" w:hint="cs"/>
                      <w:sz w:val="18"/>
                      <w:szCs w:val="18"/>
                      <w:rtl/>
                    </w:rPr>
                    <w:t>שילוט מגרש אחסנה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מפעיל של מגרש אחסנה יציב במקום בולט לעין, בשער הכניסה למגרש האחסנה שלט בגודל בולט לעין, בעברית ובשפה נוספת, שבו יפורטו כל אלה:</w:t>
      </w:r>
    </w:p>
    <w:p w:rsidR="00BF306D" w:rsidRDefault="00BF306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המפעיל של מגרש האחסנה ומספר טלפון לשם התקשרות עמו ועם אדם נוסף מטעמו במשך כל שעות היממה;</w:t>
      </w:r>
    </w:p>
    <w:p w:rsidR="00BF306D" w:rsidRDefault="00BF306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שעות העבודה במגרש האחסנה;</w:t>
      </w:r>
    </w:p>
    <w:p w:rsidR="00BF306D" w:rsidRDefault="00BF306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התעריפים לתשלום בעד מתן שירותי אחסנה ובעד מתן שירותי גרירה בהתאם </w:t>
      </w:r>
      <w:r>
        <w:rPr>
          <w:rStyle w:val="default"/>
          <w:rFonts w:cs="FrankRuehl"/>
          <w:rtl/>
        </w:rPr>
        <w:lastRenderedPageBreak/>
        <w:t>לתקנות אלה.</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השלט, לרבות שפת הכיתוב נוסף על השפה העברית, יאושר בידי ראש מת"ן.</w:t>
      </w:r>
    </w:p>
    <w:p w:rsidR="00BF306D" w:rsidRDefault="00BF306D">
      <w:pPr>
        <w:pStyle w:val="P00"/>
        <w:spacing w:before="72"/>
        <w:ind w:left="0" w:right="1134"/>
        <w:rPr>
          <w:rStyle w:val="default"/>
          <w:rFonts w:cs="FrankRuehl" w:hint="cs"/>
          <w:rtl/>
        </w:rPr>
      </w:pPr>
      <w:bookmarkStart w:id="4" w:name="Seif3"/>
      <w:bookmarkEnd w:id="4"/>
      <w:r>
        <w:rPr>
          <w:rFonts w:cs="Miriam"/>
          <w:lang w:val="he-IL"/>
        </w:rPr>
        <w:pict>
          <v:rect id="_x0000_s1185" style="position:absolute;left:0;text-align:left;margin-left:464.35pt;margin-top:7.1pt;width:75.05pt;height:17.95pt;z-index:251655680" o:allowincell="f" filled="f" stroked="f" strokecolor="lime" strokeweight=".25pt">
            <v:textbox style="mso-next-textbox:#_x0000_s1185" inset="0,0,0,0">
              <w:txbxContent>
                <w:p w:rsidR="00BF306D" w:rsidRDefault="00BF306D">
                  <w:pPr>
                    <w:spacing w:line="160" w:lineRule="exact"/>
                    <w:rPr>
                      <w:rFonts w:cs="Miriam" w:hint="cs"/>
                      <w:noProof/>
                      <w:sz w:val="18"/>
                      <w:szCs w:val="18"/>
                      <w:rtl/>
                    </w:rPr>
                  </w:pPr>
                  <w:r>
                    <w:rPr>
                      <w:rFonts w:cs="Miriam" w:hint="cs"/>
                      <w:sz w:val="18"/>
                      <w:szCs w:val="18"/>
                      <w:rtl/>
                    </w:rPr>
                    <w:t>מספרם של מגרשי האחסנה ומיקומם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המספר הכולל של מגרשי האחסנה לא יפחת מ</w:t>
      </w:r>
      <w:r>
        <w:rPr>
          <w:rStyle w:val="default"/>
          <w:rFonts w:cs="FrankRuehl" w:hint="cs"/>
          <w:rtl/>
        </w:rPr>
        <w:t>-</w:t>
      </w:r>
      <w:r>
        <w:rPr>
          <w:rStyle w:val="default"/>
          <w:rFonts w:cs="FrankRuehl"/>
          <w:rtl/>
        </w:rPr>
        <w:t>6 ולא יעלה על 20, והם ימוקמו במחוזות משטרת ישראל המפורטים להלן, כשבכל מחוז ימוקם מגרש אחד לפחות:</w:t>
      </w:r>
    </w:p>
    <w:p w:rsidR="00BF306D" w:rsidRDefault="00BF306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מחוז הצפון;</w:t>
      </w:r>
    </w:p>
    <w:p w:rsidR="00BF306D" w:rsidRDefault="00BF306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מחוזות תל אביב והמרכז;</w:t>
      </w:r>
    </w:p>
    <w:p w:rsidR="00BF306D" w:rsidRDefault="00BF306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מחוז הדרום;</w:t>
      </w:r>
    </w:p>
    <w:p w:rsidR="00BF306D" w:rsidRDefault="00BF306D">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מחוז ירושלים.</w:t>
      </w:r>
    </w:p>
    <w:p w:rsidR="00BF306D" w:rsidRDefault="00BF306D">
      <w:pPr>
        <w:pStyle w:val="P00"/>
        <w:spacing w:before="72"/>
        <w:ind w:left="0" w:right="1134"/>
        <w:rPr>
          <w:rStyle w:val="default"/>
          <w:rFonts w:cs="FrankRuehl" w:hint="cs"/>
          <w:rtl/>
        </w:rPr>
      </w:pPr>
      <w:bookmarkStart w:id="5" w:name="Seif4"/>
      <w:bookmarkEnd w:id="5"/>
      <w:r>
        <w:rPr>
          <w:rFonts w:cs="Miriam"/>
          <w:lang w:val="he-IL"/>
        </w:rPr>
        <w:pict>
          <v:rect id="_x0000_s1186" style="position:absolute;left:0;text-align:left;margin-left:464.35pt;margin-top:7.1pt;width:75.05pt;height:15.65pt;z-index:251656704" o:allowincell="f" filled="f" stroked="f" strokecolor="lime" strokeweight=".25pt">
            <v:textbox style="mso-next-textbox:#_x0000_s1186" inset="0,0,0,0">
              <w:txbxContent>
                <w:p w:rsidR="00BF306D" w:rsidRDefault="00BF306D">
                  <w:pPr>
                    <w:spacing w:line="160" w:lineRule="exact"/>
                    <w:rPr>
                      <w:rFonts w:cs="Miriam" w:hint="cs"/>
                      <w:noProof/>
                      <w:sz w:val="18"/>
                      <w:szCs w:val="18"/>
                      <w:rtl/>
                    </w:rPr>
                  </w:pPr>
                  <w:r>
                    <w:rPr>
                      <w:rFonts w:cs="Miriam" w:hint="cs"/>
                      <w:sz w:val="18"/>
                      <w:szCs w:val="18"/>
                      <w:rtl/>
                    </w:rPr>
                    <w:t>גודל מגרש האחסנה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גודלו של מגרש אחסנה לא יפחת מ</w:t>
      </w:r>
      <w:r>
        <w:rPr>
          <w:rStyle w:val="default"/>
          <w:rFonts w:cs="FrankRuehl" w:hint="cs"/>
          <w:rtl/>
        </w:rPr>
        <w:t>-</w:t>
      </w:r>
      <w:r>
        <w:rPr>
          <w:rStyle w:val="default"/>
          <w:rFonts w:cs="FrankRuehl"/>
          <w:rtl/>
        </w:rPr>
        <w:t>3 דונם.</w:t>
      </w:r>
    </w:p>
    <w:p w:rsidR="00BF306D" w:rsidRDefault="00BF306D">
      <w:pPr>
        <w:pStyle w:val="P00"/>
        <w:spacing w:before="72"/>
        <w:ind w:left="0" w:right="1134"/>
        <w:rPr>
          <w:rStyle w:val="default"/>
          <w:rFonts w:cs="FrankRuehl" w:hint="cs"/>
          <w:rtl/>
        </w:rPr>
      </w:pPr>
      <w:bookmarkStart w:id="6" w:name="Seif5"/>
      <w:bookmarkEnd w:id="6"/>
      <w:r>
        <w:rPr>
          <w:rFonts w:cs="Miriam"/>
          <w:lang w:val="he-IL"/>
        </w:rPr>
        <w:pict>
          <v:rect id="_x0000_s1187" style="position:absolute;left:0;text-align:left;margin-left:464.35pt;margin-top:7.1pt;width:75.05pt;height:8.95pt;z-index:251657728" o:allowincell="f" filled="f" stroked="f" strokecolor="lime" strokeweight=".25pt">
            <v:textbox style="mso-next-textbox:#_x0000_s1187" inset="0,0,0,0">
              <w:txbxContent>
                <w:p w:rsidR="00BF306D" w:rsidRDefault="00BF306D">
                  <w:pPr>
                    <w:spacing w:line="160" w:lineRule="exact"/>
                    <w:rPr>
                      <w:rFonts w:cs="Miriam" w:hint="cs"/>
                      <w:noProof/>
                      <w:sz w:val="18"/>
                      <w:szCs w:val="18"/>
                      <w:rtl/>
                    </w:rPr>
                  </w:pPr>
                  <w:r>
                    <w:rPr>
                      <w:rFonts w:cs="Miriam" w:hint="cs"/>
                      <w:sz w:val="18"/>
                      <w:szCs w:val="18"/>
                      <w:rtl/>
                    </w:rPr>
                    <w:t>תנאים לגורר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לא ישמש כגורר לצורך תקנה 1(ג), אלא מי שנתקיימו בו דרישות אלה:</w:t>
      </w:r>
    </w:p>
    <w:p w:rsidR="00BF306D" w:rsidRDefault="00BF306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ברשותו רכב גרר תקין ובטיחותי;</w:t>
      </w:r>
    </w:p>
    <w:p w:rsidR="00BF306D" w:rsidRDefault="00BF306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משטרת ישראל אישרה כי אין מניעה שישמש גורר.</w:t>
      </w:r>
    </w:p>
    <w:p w:rsidR="00BF306D" w:rsidRDefault="00BF306D">
      <w:pPr>
        <w:pStyle w:val="P00"/>
        <w:spacing w:before="72"/>
        <w:ind w:left="0" w:right="1134"/>
        <w:rPr>
          <w:rStyle w:val="default"/>
          <w:rFonts w:cs="FrankRuehl" w:hint="cs"/>
          <w:rtl/>
        </w:rPr>
      </w:pPr>
      <w:bookmarkStart w:id="7" w:name="Seif6"/>
      <w:bookmarkEnd w:id="7"/>
      <w:r>
        <w:rPr>
          <w:rFonts w:cs="Miriam"/>
          <w:lang w:val="he-IL"/>
        </w:rPr>
        <w:pict>
          <v:rect id="_x0000_s1188" style="position:absolute;left:0;text-align:left;margin-left:464.35pt;margin-top:7.1pt;width:75.05pt;height:17.95pt;z-index:251658752" o:allowincell="f" filled="f" stroked="f" strokecolor="lime" strokeweight=".25pt">
            <v:textbox style="mso-next-textbox:#_x0000_s1188" inset="0,0,0,0">
              <w:txbxContent>
                <w:p w:rsidR="00BF306D" w:rsidRDefault="00BF306D">
                  <w:pPr>
                    <w:spacing w:line="160" w:lineRule="exact"/>
                    <w:rPr>
                      <w:rFonts w:cs="Miriam" w:hint="cs"/>
                      <w:noProof/>
                      <w:sz w:val="18"/>
                      <w:szCs w:val="18"/>
                      <w:rtl/>
                    </w:rPr>
                  </w:pPr>
                  <w:r>
                    <w:rPr>
                      <w:rFonts w:cs="Miriam" w:hint="cs"/>
                      <w:sz w:val="18"/>
                      <w:szCs w:val="18"/>
                      <w:rtl/>
                    </w:rPr>
                    <w:t>ביטול או השהיית אישור מגרש אחסנה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מצא ראש מת"ן כי במגרש אחסנה או בגורר לא מתקיימים עוד תנאים שנקבעו טרם</w:t>
      </w:r>
      <w:r>
        <w:rPr>
          <w:rStyle w:val="default"/>
          <w:rFonts w:cs="FrankRuehl" w:hint="cs"/>
          <w:rtl/>
        </w:rPr>
        <w:t xml:space="preserve"> </w:t>
      </w:r>
      <w:r>
        <w:rPr>
          <w:rStyle w:val="default"/>
          <w:rFonts w:cs="FrankRuehl"/>
          <w:rtl/>
        </w:rPr>
        <w:t>מתן אישור כאמור בתקנה 2 או 6, לפי הענין, או נתגלו ליקויים מהותיים בפעולתו של</w:t>
      </w:r>
      <w:r>
        <w:rPr>
          <w:rStyle w:val="default"/>
          <w:rFonts w:cs="FrankRuehl" w:hint="cs"/>
          <w:rtl/>
        </w:rPr>
        <w:t xml:space="preserve"> </w:t>
      </w:r>
      <w:r>
        <w:rPr>
          <w:rStyle w:val="default"/>
          <w:rFonts w:cs="FrankRuehl"/>
          <w:rtl/>
        </w:rPr>
        <w:t>מפעיל מגרש האחסנה או הגורר, רשאי הוא לבטל את האישור או להשהות את תוקפו,</w:t>
      </w:r>
      <w:r>
        <w:rPr>
          <w:rStyle w:val="default"/>
          <w:rFonts w:cs="FrankRuehl" w:hint="cs"/>
          <w:rtl/>
        </w:rPr>
        <w:t xml:space="preserve"> </w:t>
      </w:r>
      <w:r>
        <w:rPr>
          <w:rStyle w:val="default"/>
          <w:rFonts w:cs="FrankRuehl"/>
          <w:rtl/>
        </w:rPr>
        <w:t>לאחר שהעביר למפעיל מגרש האחסנה או הגורר התראה בכתב, והליקויים לא תוקנו בתוך התקופה שנקבעה במכתב ההתראה.</w:t>
      </w:r>
    </w:p>
    <w:p w:rsidR="00BF306D" w:rsidRDefault="00BF306D">
      <w:pPr>
        <w:pStyle w:val="P00"/>
        <w:spacing w:before="72"/>
        <w:ind w:left="0" w:right="1134"/>
        <w:rPr>
          <w:rStyle w:val="default"/>
          <w:rFonts w:cs="FrankRuehl" w:hint="cs"/>
          <w:rtl/>
        </w:rPr>
      </w:pPr>
      <w:bookmarkStart w:id="8" w:name="Seif7"/>
      <w:bookmarkEnd w:id="8"/>
      <w:r>
        <w:rPr>
          <w:rFonts w:cs="Miriam"/>
          <w:lang w:val="he-IL"/>
        </w:rPr>
        <w:pict>
          <v:rect id="_x0000_s1189" style="position:absolute;left:0;text-align:left;margin-left:464.35pt;margin-top:7.1pt;width:75.05pt;height:23.65pt;z-index:251659776" o:allowincell="f" filled="f" stroked="f" strokecolor="lime" strokeweight=".25pt">
            <v:textbox style="mso-next-textbox:#_x0000_s1189" inset="0,0,0,0">
              <w:txbxContent>
                <w:p w:rsidR="00BF306D" w:rsidRDefault="00BF306D">
                  <w:pPr>
                    <w:spacing w:line="160" w:lineRule="exact"/>
                    <w:rPr>
                      <w:rFonts w:cs="Miriam" w:hint="cs"/>
                      <w:noProof/>
                      <w:sz w:val="18"/>
                      <w:szCs w:val="18"/>
                      <w:rtl/>
                    </w:rPr>
                  </w:pPr>
                  <w:r>
                    <w:rPr>
                      <w:rFonts w:cs="Miriam" w:hint="cs"/>
                      <w:sz w:val="18"/>
                      <w:szCs w:val="18"/>
                      <w:rtl/>
                    </w:rPr>
                    <w:t>תשלום הוצאות על אחסנת כלי רכב וגרירתו</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בעד אחסנת כלי הרכב ישלם בעל הרכב או מי מטעמו, למפעיל מגרש האחסנה</w:t>
      </w:r>
      <w:r>
        <w:rPr>
          <w:rStyle w:val="default"/>
          <w:rFonts w:cs="FrankRuehl" w:hint="cs"/>
          <w:rtl/>
        </w:rPr>
        <w:t xml:space="preserve"> </w:t>
      </w:r>
      <w:r>
        <w:rPr>
          <w:rStyle w:val="default"/>
          <w:rFonts w:cs="FrankRuehl"/>
          <w:rtl/>
        </w:rPr>
        <w:t>שכלי הרכב אוחסן בו, תשלום בשיעור שהציע מפעיל מגרש האחסנה במסגרת מכרז לאחסון</w:t>
      </w:r>
      <w:r>
        <w:rPr>
          <w:rStyle w:val="default"/>
          <w:rFonts w:cs="FrankRuehl" w:hint="cs"/>
          <w:rtl/>
        </w:rPr>
        <w:t xml:space="preserve"> </w:t>
      </w:r>
      <w:r>
        <w:rPr>
          <w:rStyle w:val="default"/>
          <w:rFonts w:cs="FrankRuehl"/>
          <w:rtl/>
        </w:rPr>
        <w:t>כלי הרכב במגרש האחסנה או לפי הקבוע בתוספת, לפי הנמוך מביניהם, זולת אם בית המשפט הורה אחרת.</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בעד גרירת כלי רכב ישלם בעל הרכב או מי מטעמו, לגורר שגרר את כלי הרכב או מי מטעמו, תשלום בשיעור שלא יעלה על הקבוע בתוספת, זולת אם בית המשפט הורה אחרת.</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רכב לא ישוחרר ממגרש אחסנה בטרם שולמו התשלומים בשל גרירת הרכב ואחסנתו, אלא אם כן בית המשפט הורה אחרת.</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התשלום יבוצע במזומן, בכרטיס אשראי ובכל דרך אחרת שיורה ראש מת"ן בנהלים.</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ראש מת"ן יקבע נהלים לענין תיעוד התשלום.</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הסכומים המפורטים בתוספת יעודכנו אחת ל</w:t>
      </w:r>
      <w:r>
        <w:rPr>
          <w:rStyle w:val="default"/>
          <w:rFonts w:cs="FrankRuehl" w:hint="cs"/>
          <w:rtl/>
        </w:rPr>
        <w:t>-</w:t>
      </w:r>
      <w:r>
        <w:rPr>
          <w:rStyle w:val="default"/>
          <w:rFonts w:cs="FrankRuehl"/>
          <w:rtl/>
        </w:rPr>
        <w:t>18 חודשים, בשיעור שינוי המדד החדש לעומת המדד היסודי, ואולם אם בטרם חלפו 18 חודשים עלה המדד בשיעור העולה על 4% ממועד קביעתו או שינויו הקודם, יעודכנו הסכומים המפורטים בתוספת לפי שיעור עליית המדד החדש, לעומת המדד היסודי.</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ראש מת"ן יפרסם בהודעה ברשומות את נוסח התוספת, כפי שהשתנתה עקב עדכון הסכומים, לפי הוראות תקנה זו.</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בתקנה זו –</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הידוע במועדי עדכון הסכומים הקבועים בתוספת;</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היסודי" – מדד חודש ספטמבר 2005;</w:t>
      </w:r>
    </w:p>
    <w:p w:rsidR="00BF306D" w:rsidRDefault="00BF306D">
      <w:pPr>
        <w:pStyle w:val="P00"/>
        <w:spacing w:before="72"/>
        <w:ind w:left="0" w:right="1134"/>
        <w:rPr>
          <w:rStyle w:val="default"/>
          <w:rFonts w:cs="FrankRuehl" w:hint="cs"/>
          <w:rtl/>
        </w:rPr>
      </w:pPr>
      <w:r>
        <w:rPr>
          <w:rStyle w:val="default"/>
          <w:rFonts w:cs="FrankRuehl" w:hint="cs"/>
          <w:rtl/>
        </w:rPr>
        <w:tab/>
      </w:r>
      <w:r>
        <w:rPr>
          <w:rStyle w:val="default"/>
          <w:rFonts w:cs="FrankRuehl"/>
          <w:rtl/>
        </w:rPr>
        <w:t>"מדד" – מדד המחירים לצרכן שמפרסמת הלשכה המרכזית לסטטיסטיקה.</w:t>
      </w:r>
    </w:p>
    <w:p w:rsidR="00BF306D" w:rsidRDefault="00BF306D" w:rsidP="00FE6EBC">
      <w:pPr>
        <w:pStyle w:val="P00"/>
        <w:spacing w:before="72"/>
        <w:ind w:left="0" w:right="1134"/>
        <w:rPr>
          <w:rStyle w:val="default"/>
          <w:rFonts w:cs="FrankRuehl" w:hint="cs"/>
          <w:rtl/>
        </w:rPr>
      </w:pPr>
      <w:bookmarkStart w:id="9" w:name="Seif8"/>
      <w:bookmarkEnd w:id="9"/>
      <w:r>
        <w:rPr>
          <w:rFonts w:cs="Miriam"/>
          <w:lang w:val="he-IL"/>
        </w:rPr>
        <w:pict>
          <v:rect id="_x0000_s1190" style="position:absolute;left:0;text-align:left;margin-left:464.35pt;margin-top:7.1pt;width:75.05pt;height:12.95pt;z-index:251660800" o:allowincell="f" filled="f" stroked="f" strokecolor="lime" strokeweight=".25pt">
            <v:textbox style="mso-next-textbox:#_x0000_s1190" inset="0,0,0,0">
              <w:txbxContent>
                <w:p w:rsidR="00BF306D" w:rsidRDefault="00FE6EBC" w:rsidP="004C0F90">
                  <w:pPr>
                    <w:spacing w:line="160" w:lineRule="exact"/>
                    <w:rPr>
                      <w:rFonts w:cs="Miriam" w:hint="cs"/>
                      <w:noProof/>
                      <w:sz w:val="18"/>
                      <w:szCs w:val="18"/>
                      <w:rtl/>
                    </w:rPr>
                  </w:pPr>
                  <w:r>
                    <w:rPr>
                      <w:rFonts w:cs="Miriam" w:hint="cs"/>
                      <w:sz w:val="18"/>
                      <w:szCs w:val="18"/>
                      <w:rtl/>
                    </w:rPr>
                    <w:t>תק' תשע"א-2010</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FE6EBC">
        <w:rPr>
          <w:rStyle w:val="default"/>
          <w:rFonts w:cs="FrankRuehl" w:hint="cs"/>
          <w:rtl/>
        </w:rPr>
        <w:t>(בוטלה</w:t>
      </w:r>
      <w:r>
        <w:rPr>
          <w:rStyle w:val="default"/>
          <w:rFonts w:cs="FrankRuehl" w:hint="cs"/>
          <w:rtl/>
        </w:rPr>
        <w:t>)</w:t>
      </w:r>
      <w:r>
        <w:rPr>
          <w:rStyle w:val="default"/>
          <w:rFonts w:cs="FrankRuehl"/>
          <w:rtl/>
        </w:rPr>
        <w:t>.</w:t>
      </w:r>
    </w:p>
    <w:p w:rsidR="00BF306D" w:rsidRPr="00FA0077" w:rsidRDefault="00BF306D">
      <w:pPr>
        <w:pStyle w:val="P00"/>
        <w:spacing w:before="0"/>
        <w:ind w:left="0" w:right="1134"/>
        <w:rPr>
          <w:rStyle w:val="default"/>
          <w:rFonts w:cs="FrankRuehl" w:hint="cs"/>
          <w:vanish/>
          <w:color w:val="FF0000"/>
          <w:sz w:val="20"/>
          <w:szCs w:val="20"/>
          <w:shd w:val="clear" w:color="auto" w:fill="FFFF99"/>
          <w:rtl/>
        </w:rPr>
      </w:pPr>
      <w:bookmarkStart w:id="10" w:name="Rov13"/>
      <w:r w:rsidRPr="00FA0077">
        <w:rPr>
          <w:rStyle w:val="default"/>
          <w:rFonts w:cs="FrankRuehl" w:hint="cs"/>
          <w:vanish/>
          <w:color w:val="FF0000"/>
          <w:sz w:val="20"/>
          <w:szCs w:val="20"/>
          <w:shd w:val="clear" w:color="auto" w:fill="FFFF99"/>
          <w:rtl/>
        </w:rPr>
        <w:t>מיום 30.3.2008</w:t>
      </w:r>
    </w:p>
    <w:p w:rsidR="00BF306D" w:rsidRPr="00FA0077" w:rsidRDefault="00BF306D">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תשס"ח-2008</w:t>
      </w:r>
    </w:p>
    <w:p w:rsidR="00BF306D" w:rsidRPr="00FA0077" w:rsidRDefault="00BF306D">
      <w:pPr>
        <w:pStyle w:val="P00"/>
        <w:spacing w:before="0"/>
        <w:ind w:left="0" w:right="1134"/>
        <w:rPr>
          <w:rStyle w:val="default"/>
          <w:rFonts w:cs="FrankRuehl" w:hint="cs"/>
          <w:vanish/>
          <w:sz w:val="20"/>
          <w:szCs w:val="20"/>
          <w:shd w:val="clear" w:color="auto" w:fill="FFFF99"/>
          <w:rtl/>
        </w:rPr>
      </w:pPr>
      <w:hyperlink r:id="rId8" w:history="1">
        <w:r w:rsidRPr="00FA0077">
          <w:rPr>
            <w:rStyle w:val="Hyperlink"/>
            <w:rFonts w:cs="FrankRuehl" w:hint="cs"/>
            <w:vanish/>
            <w:szCs w:val="20"/>
            <w:shd w:val="clear" w:color="auto" w:fill="FFFF99"/>
            <w:rtl/>
          </w:rPr>
          <w:t>ק"ת תשס"ח מס' 6659</w:t>
        </w:r>
      </w:hyperlink>
      <w:r w:rsidRPr="00FA0077">
        <w:rPr>
          <w:rStyle w:val="default"/>
          <w:rFonts w:cs="FrankRuehl" w:hint="cs"/>
          <w:vanish/>
          <w:sz w:val="20"/>
          <w:szCs w:val="20"/>
          <w:shd w:val="clear" w:color="auto" w:fill="FFFF99"/>
          <w:rtl/>
        </w:rPr>
        <w:t xml:space="preserve"> מיום 30.3.2008 עמ' 676</w:t>
      </w:r>
    </w:p>
    <w:p w:rsidR="00BF306D" w:rsidRPr="00FA0077" w:rsidRDefault="00BF306D">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החלפת תקנה 9</w:t>
      </w:r>
    </w:p>
    <w:p w:rsidR="00BF306D" w:rsidRPr="00FA0077" w:rsidRDefault="00BF306D">
      <w:pPr>
        <w:pStyle w:val="P00"/>
        <w:ind w:left="0" w:right="1134"/>
        <w:rPr>
          <w:rStyle w:val="default"/>
          <w:rFonts w:cs="FrankRuehl" w:hint="cs"/>
          <w:vanish/>
          <w:sz w:val="20"/>
          <w:szCs w:val="20"/>
          <w:shd w:val="clear" w:color="auto" w:fill="FFFF99"/>
          <w:rtl/>
        </w:rPr>
      </w:pPr>
      <w:r w:rsidRPr="00FA0077">
        <w:rPr>
          <w:rStyle w:val="default"/>
          <w:rFonts w:cs="FrankRuehl" w:hint="cs"/>
          <w:vanish/>
          <w:sz w:val="20"/>
          <w:szCs w:val="20"/>
          <w:shd w:val="clear" w:color="auto" w:fill="FFFF99"/>
          <w:rtl/>
        </w:rPr>
        <w:t>הנוסח הקודם:</w:t>
      </w:r>
    </w:p>
    <w:p w:rsidR="00BF306D" w:rsidRPr="00FA0077" w:rsidRDefault="00BF306D">
      <w:pPr>
        <w:pStyle w:val="P00"/>
        <w:spacing w:before="0"/>
        <w:ind w:left="0" w:right="1134"/>
        <w:rPr>
          <w:rStyle w:val="default"/>
          <w:rFonts w:cs="FrankRuehl" w:hint="cs"/>
          <w:vanish/>
          <w:sz w:val="22"/>
          <w:szCs w:val="22"/>
          <w:shd w:val="clear" w:color="auto" w:fill="FFFF99"/>
          <w:rtl/>
        </w:rPr>
      </w:pPr>
      <w:r w:rsidRPr="00FA0077">
        <w:rPr>
          <w:rStyle w:val="big-number"/>
          <w:rFonts w:cs="FrankRuehl" w:hint="cs"/>
          <w:strike/>
          <w:vanish/>
          <w:sz w:val="22"/>
          <w:szCs w:val="22"/>
          <w:shd w:val="clear" w:color="auto" w:fill="FFFF99"/>
          <w:rtl/>
        </w:rPr>
        <w:t>9</w:t>
      </w:r>
      <w:r w:rsidRPr="00FA0077">
        <w:rPr>
          <w:rStyle w:val="big-number"/>
          <w:rFonts w:cs="FrankRuehl"/>
          <w:strike/>
          <w:vanish/>
          <w:sz w:val="22"/>
          <w:szCs w:val="22"/>
          <w:shd w:val="clear" w:color="auto" w:fill="FFFF99"/>
          <w:rtl/>
        </w:rPr>
        <w:t>.</w:t>
      </w:r>
      <w:r w:rsidRPr="00FA0077">
        <w:rPr>
          <w:rStyle w:val="big-number"/>
          <w:rFonts w:cs="FrankRuehl"/>
          <w:strike/>
          <w:vanish/>
          <w:sz w:val="22"/>
          <w:szCs w:val="22"/>
          <w:shd w:val="clear" w:color="auto" w:fill="FFFF99"/>
          <w:rtl/>
        </w:rPr>
        <w:tab/>
      </w:r>
      <w:r w:rsidRPr="00FA0077">
        <w:rPr>
          <w:rStyle w:val="default"/>
          <w:rFonts w:cs="FrankRuehl"/>
          <w:strike/>
          <w:vanish/>
          <w:sz w:val="22"/>
          <w:szCs w:val="22"/>
          <w:shd w:val="clear" w:color="auto" w:fill="FFFF99"/>
          <w:rtl/>
        </w:rPr>
        <w:t>תוקפן של תקנות אלה שנתיים מיום פרסומן.</w:t>
      </w:r>
    </w:p>
    <w:p w:rsidR="009E5E78" w:rsidRPr="00FA0077" w:rsidRDefault="009E5E78">
      <w:pPr>
        <w:pStyle w:val="P00"/>
        <w:spacing w:before="0"/>
        <w:ind w:left="0" w:right="1134"/>
        <w:rPr>
          <w:rStyle w:val="default"/>
          <w:rFonts w:cs="FrankRuehl" w:hint="cs"/>
          <w:vanish/>
          <w:sz w:val="20"/>
          <w:szCs w:val="20"/>
          <w:shd w:val="clear" w:color="auto" w:fill="FFFF99"/>
          <w:rtl/>
        </w:rPr>
      </w:pPr>
    </w:p>
    <w:p w:rsidR="009E5E78" w:rsidRPr="00FA0077" w:rsidRDefault="009E5E78">
      <w:pPr>
        <w:pStyle w:val="P00"/>
        <w:spacing w:before="0"/>
        <w:ind w:left="0" w:right="1134"/>
        <w:rPr>
          <w:rStyle w:val="default"/>
          <w:rFonts w:cs="FrankRuehl" w:hint="cs"/>
          <w:vanish/>
          <w:color w:val="FF0000"/>
          <w:sz w:val="20"/>
          <w:szCs w:val="20"/>
          <w:shd w:val="clear" w:color="auto" w:fill="FFFF99"/>
          <w:rtl/>
        </w:rPr>
      </w:pPr>
      <w:r w:rsidRPr="00FA0077">
        <w:rPr>
          <w:rStyle w:val="default"/>
          <w:rFonts w:cs="FrankRuehl" w:hint="cs"/>
          <w:vanish/>
          <w:color w:val="FF0000"/>
          <w:sz w:val="20"/>
          <w:szCs w:val="20"/>
          <w:shd w:val="clear" w:color="auto" w:fill="FFFF99"/>
          <w:rtl/>
        </w:rPr>
        <w:t>מיום 31.12.2008</w:t>
      </w:r>
    </w:p>
    <w:p w:rsidR="009E5E78" w:rsidRPr="00FA0077" w:rsidRDefault="009E5E78">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תשס"ט-2008</w:t>
      </w:r>
    </w:p>
    <w:p w:rsidR="009E5E78" w:rsidRPr="00FA0077" w:rsidRDefault="009E5E78">
      <w:pPr>
        <w:pStyle w:val="P00"/>
        <w:spacing w:before="0"/>
        <w:ind w:left="0" w:right="1134"/>
        <w:rPr>
          <w:rStyle w:val="default"/>
          <w:rFonts w:cs="FrankRuehl" w:hint="cs"/>
          <w:vanish/>
          <w:sz w:val="20"/>
          <w:szCs w:val="20"/>
          <w:shd w:val="clear" w:color="auto" w:fill="FFFF99"/>
          <w:rtl/>
        </w:rPr>
      </w:pPr>
      <w:hyperlink r:id="rId9" w:history="1">
        <w:r w:rsidRPr="00FA0077">
          <w:rPr>
            <w:rStyle w:val="Hyperlink"/>
            <w:rFonts w:cs="FrankRuehl" w:hint="cs"/>
            <w:vanish/>
            <w:szCs w:val="20"/>
            <w:shd w:val="clear" w:color="auto" w:fill="FFFF99"/>
            <w:rtl/>
          </w:rPr>
          <w:t>ק"ת תשס"ט מס' 6736</w:t>
        </w:r>
      </w:hyperlink>
      <w:r w:rsidRPr="00FA0077">
        <w:rPr>
          <w:rStyle w:val="default"/>
          <w:rFonts w:cs="FrankRuehl" w:hint="cs"/>
          <w:vanish/>
          <w:sz w:val="20"/>
          <w:szCs w:val="20"/>
          <w:shd w:val="clear" w:color="auto" w:fill="FFFF99"/>
          <w:rtl/>
        </w:rPr>
        <w:t xml:space="preserve"> מיום 31.12.2008 עמ' 291</w:t>
      </w:r>
    </w:p>
    <w:p w:rsidR="004C0F90" w:rsidRPr="00FA0077" w:rsidRDefault="004C0F90" w:rsidP="004C0F90">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החלפת תקנה 9</w:t>
      </w:r>
    </w:p>
    <w:p w:rsidR="004C0F90" w:rsidRPr="00FA0077" w:rsidRDefault="004C0F90" w:rsidP="004C0F90">
      <w:pPr>
        <w:pStyle w:val="P00"/>
        <w:ind w:left="0" w:right="1134"/>
        <w:rPr>
          <w:rStyle w:val="default"/>
          <w:rFonts w:cs="FrankRuehl" w:hint="cs"/>
          <w:vanish/>
          <w:sz w:val="20"/>
          <w:szCs w:val="20"/>
          <w:shd w:val="clear" w:color="auto" w:fill="FFFF99"/>
          <w:rtl/>
        </w:rPr>
      </w:pPr>
      <w:r w:rsidRPr="00FA0077">
        <w:rPr>
          <w:rStyle w:val="default"/>
          <w:rFonts w:cs="FrankRuehl" w:hint="cs"/>
          <w:vanish/>
          <w:sz w:val="20"/>
          <w:szCs w:val="20"/>
          <w:shd w:val="clear" w:color="auto" w:fill="FFFF99"/>
          <w:rtl/>
        </w:rPr>
        <w:t>הנוסח הקודם:</w:t>
      </w:r>
    </w:p>
    <w:p w:rsidR="004C0F90" w:rsidRPr="00FA0077" w:rsidRDefault="004C0F90" w:rsidP="004C0F90">
      <w:pPr>
        <w:pStyle w:val="P00"/>
        <w:spacing w:before="0"/>
        <w:ind w:left="0" w:right="1134"/>
        <w:rPr>
          <w:rStyle w:val="default"/>
          <w:rFonts w:cs="FrankRuehl" w:hint="cs"/>
          <w:strike/>
          <w:vanish/>
          <w:sz w:val="22"/>
          <w:szCs w:val="22"/>
          <w:shd w:val="clear" w:color="auto" w:fill="FFFF99"/>
          <w:rtl/>
        </w:rPr>
      </w:pPr>
      <w:r w:rsidRPr="00FA0077">
        <w:rPr>
          <w:rStyle w:val="big-number"/>
          <w:rFonts w:cs="FrankRuehl" w:hint="cs"/>
          <w:strike/>
          <w:vanish/>
          <w:sz w:val="22"/>
          <w:szCs w:val="22"/>
          <w:shd w:val="clear" w:color="auto" w:fill="FFFF99"/>
          <w:rtl/>
        </w:rPr>
        <w:t>9</w:t>
      </w:r>
      <w:r w:rsidRPr="00FA0077">
        <w:rPr>
          <w:rStyle w:val="big-number"/>
          <w:rFonts w:cs="FrankRuehl"/>
          <w:strike/>
          <w:vanish/>
          <w:sz w:val="22"/>
          <w:szCs w:val="22"/>
          <w:shd w:val="clear" w:color="auto" w:fill="FFFF99"/>
          <w:rtl/>
        </w:rPr>
        <w:t>.</w:t>
      </w:r>
      <w:r w:rsidRPr="00FA0077">
        <w:rPr>
          <w:rStyle w:val="big-number"/>
          <w:rFonts w:cs="FrankRuehl"/>
          <w:strike/>
          <w:vanish/>
          <w:sz w:val="22"/>
          <w:szCs w:val="22"/>
          <w:shd w:val="clear" w:color="auto" w:fill="FFFF99"/>
          <w:rtl/>
        </w:rPr>
        <w:tab/>
      </w:r>
      <w:r w:rsidRPr="00FA0077">
        <w:rPr>
          <w:rStyle w:val="default"/>
          <w:rFonts w:cs="FrankRuehl"/>
          <w:strike/>
          <w:vanish/>
          <w:sz w:val="22"/>
          <w:szCs w:val="22"/>
          <w:shd w:val="clear" w:color="auto" w:fill="FFFF99"/>
          <w:rtl/>
        </w:rPr>
        <w:t>תוקפן של תקנות אלה</w:t>
      </w:r>
      <w:r w:rsidRPr="00FA0077">
        <w:rPr>
          <w:rStyle w:val="default"/>
          <w:rFonts w:cs="FrankRuehl" w:hint="cs"/>
          <w:strike/>
          <w:vanish/>
          <w:sz w:val="22"/>
          <w:szCs w:val="22"/>
          <w:shd w:val="clear" w:color="auto" w:fill="FFFF99"/>
          <w:rtl/>
        </w:rPr>
        <w:t xml:space="preserve"> עד יום ה' בטבת התשס"ט (1 בינואר 2009)</w:t>
      </w:r>
      <w:r w:rsidRPr="00FA0077">
        <w:rPr>
          <w:rStyle w:val="default"/>
          <w:rFonts w:cs="FrankRuehl"/>
          <w:strike/>
          <w:vanish/>
          <w:sz w:val="22"/>
          <w:szCs w:val="22"/>
          <w:shd w:val="clear" w:color="auto" w:fill="FFFF99"/>
          <w:rtl/>
        </w:rPr>
        <w:t>.</w:t>
      </w:r>
    </w:p>
    <w:p w:rsidR="004C0F90" w:rsidRPr="00FA0077" w:rsidRDefault="004C0F90">
      <w:pPr>
        <w:pStyle w:val="P00"/>
        <w:spacing w:before="0"/>
        <w:ind w:left="0" w:right="1134"/>
        <w:rPr>
          <w:rStyle w:val="default"/>
          <w:rFonts w:cs="FrankRuehl" w:hint="cs"/>
          <w:vanish/>
          <w:sz w:val="20"/>
          <w:szCs w:val="20"/>
          <w:shd w:val="clear" w:color="auto" w:fill="FFFF99"/>
          <w:rtl/>
        </w:rPr>
      </w:pPr>
    </w:p>
    <w:p w:rsidR="004C0F90" w:rsidRPr="00FA0077" w:rsidRDefault="004C0F90">
      <w:pPr>
        <w:pStyle w:val="P00"/>
        <w:spacing w:before="0"/>
        <w:ind w:left="0" w:right="1134"/>
        <w:rPr>
          <w:rStyle w:val="default"/>
          <w:rFonts w:cs="FrankRuehl" w:hint="cs"/>
          <w:vanish/>
          <w:color w:val="FF0000"/>
          <w:sz w:val="20"/>
          <w:szCs w:val="20"/>
          <w:shd w:val="clear" w:color="auto" w:fill="FFFF99"/>
          <w:rtl/>
        </w:rPr>
      </w:pPr>
      <w:r w:rsidRPr="00FA0077">
        <w:rPr>
          <w:rStyle w:val="default"/>
          <w:rFonts w:cs="FrankRuehl" w:hint="cs"/>
          <w:vanish/>
          <w:color w:val="FF0000"/>
          <w:sz w:val="20"/>
          <w:szCs w:val="20"/>
          <w:shd w:val="clear" w:color="auto" w:fill="FFFF99"/>
          <w:rtl/>
        </w:rPr>
        <w:t>מיום 1.1.2010</w:t>
      </w:r>
    </w:p>
    <w:p w:rsidR="004C0F90" w:rsidRPr="00FA0077" w:rsidRDefault="004C0F90">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תש"ע-2010</w:t>
      </w:r>
    </w:p>
    <w:p w:rsidR="004C0F90" w:rsidRPr="00FA0077" w:rsidRDefault="004C0F90">
      <w:pPr>
        <w:pStyle w:val="P00"/>
        <w:spacing w:before="0"/>
        <w:ind w:left="0" w:right="1134"/>
        <w:rPr>
          <w:rStyle w:val="default"/>
          <w:rFonts w:cs="FrankRuehl" w:hint="cs"/>
          <w:vanish/>
          <w:sz w:val="20"/>
          <w:szCs w:val="20"/>
          <w:shd w:val="clear" w:color="auto" w:fill="FFFF99"/>
          <w:rtl/>
        </w:rPr>
      </w:pPr>
      <w:hyperlink r:id="rId10" w:history="1">
        <w:r w:rsidRPr="00FA0077">
          <w:rPr>
            <w:rStyle w:val="Hyperlink"/>
            <w:rFonts w:cs="FrankRuehl" w:hint="cs"/>
            <w:vanish/>
            <w:szCs w:val="20"/>
            <w:shd w:val="clear" w:color="auto" w:fill="FFFF99"/>
            <w:rtl/>
          </w:rPr>
          <w:t>ק"ת תש"ע מס' 6852</w:t>
        </w:r>
      </w:hyperlink>
      <w:r w:rsidRPr="00FA0077">
        <w:rPr>
          <w:rStyle w:val="default"/>
          <w:rFonts w:cs="FrankRuehl" w:hint="cs"/>
          <w:vanish/>
          <w:sz w:val="20"/>
          <w:szCs w:val="20"/>
          <w:shd w:val="clear" w:color="auto" w:fill="FFFF99"/>
          <w:rtl/>
        </w:rPr>
        <w:t xml:space="preserve"> מיום 1.1.2010 עמ' 590</w:t>
      </w:r>
    </w:p>
    <w:p w:rsidR="009E5E78" w:rsidRPr="00FA0077" w:rsidRDefault="009E5E78">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החלפת תקנה 9</w:t>
      </w:r>
    </w:p>
    <w:p w:rsidR="009E5E78" w:rsidRPr="00FA0077" w:rsidRDefault="009E5E78" w:rsidP="009E5E78">
      <w:pPr>
        <w:pStyle w:val="P00"/>
        <w:ind w:left="0" w:right="1134"/>
        <w:rPr>
          <w:rStyle w:val="default"/>
          <w:rFonts w:cs="FrankRuehl" w:hint="cs"/>
          <w:vanish/>
          <w:sz w:val="20"/>
          <w:szCs w:val="20"/>
          <w:shd w:val="clear" w:color="auto" w:fill="FFFF99"/>
          <w:rtl/>
        </w:rPr>
      </w:pPr>
      <w:r w:rsidRPr="00FA0077">
        <w:rPr>
          <w:rStyle w:val="default"/>
          <w:rFonts w:cs="FrankRuehl" w:hint="cs"/>
          <w:vanish/>
          <w:sz w:val="20"/>
          <w:szCs w:val="20"/>
          <w:shd w:val="clear" w:color="auto" w:fill="FFFF99"/>
          <w:rtl/>
        </w:rPr>
        <w:t>הנוסח הקודם:</w:t>
      </w:r>
    </w:p>
    <w:p w:rsidR="009E5E78" w:rsidRPr="00FA0077" w:rsidRDefault="009E5E78" w:rsidP="004C0F90">
      <w:pPr>
        <w:pStyle w:val="P00"/>
        <w:spacing w:before="0"/>
        <w:ind w:left="0" w:right="1134"/>
        <w:rPr>
          <w:rStyle w:val="default"/>
          <w:rFonts w:cs="FrankRuehl" w:hint="cs"/>
          <w:vanish/>
          <w:sz w:val="22"/>
          <w:szCs w:val="22"/>
          <w:shd w:val="clear" w:color="auto" w:fill="FFFF99"/>
          <w:rtl/>
        </w:rPr>
      </w:pPr>
      <w:r w:rsidRPr="00FA0077">
        <w:rPr>
          <w:rStyle w:val="big-number"/>
          <w:rFonts w:cs="FrankRuehl" w:hint="cs"/>
          <w:strike/>
          <w:vanish/>
          <w:sz w:val="22"/>
          <w:szCs w:val="22"/>
          <w:shd w:val="clear" w:color="auto" w:fill="FFFF99"/>
          <w:rtl/>
        </w:rPr>
        <w:t>9</w:t>
      </w:r>
      <w:r w:rsidRPr="00FA0077">
        <w:rPr>
          <w:rStyle w:val="big-number"/>
          <w:rFonts w:cs="FrankRuehl"/>
          <w:strike/>
          <w:vanish/>
          <w:sz w:val="22"/>
          <w:szCs w:val="22"/>
          <w:shd w:val="clear" w:color="auto" w:fill="FFFF99"/>
          <w:rtl/>
        </w:rPr>
        <w:t>.</w:t>
      </w:r>
      <w:r w:rsidRPr="00FA0077">
        <w:rPr>
          <w:rStyle w:val="big-number"/>
          <w:rFonts w:cs="FrankRuehl"/>
          <w:strike/>
          <w:vanish/>
          <w:sz w:val="22"/>
          <w:szCs w:val="22"/>
          <w:shd w:val="clear" w:color="auto" w:fill="FFFF99"/>
          <w:rtl/>
        </w:rPr>
        <w:tab/>
      </w:r>
      <w:r w:rsidRPr="00FA0077">
        <w:rPr>
          <w:rStyle w:val="default"/>
          <w:rFonts w:cs="FrankRuehl"/>
          <w:strike/>
          <w:vanish/>
          <w:sz w:val="22"/>
          <w:szCs w:val="22"/>
          <w:shd w:val="clear" w:color="auto" w:fill="FFFF99"/>
          <w:rtl/>
        </w:rPr>
        <w:t>תוקפן של תקנות אלה</w:t>
      </w:r>
      <w:r w:rsidRPr="00FA0077">
        <w:rPr>
          <w:rStyle w:val="default"/>
          <w:rFonts w:cs="FrankRuehl" w:hint="cs"/>
          <w:strike/>
          <w:vanish/>
          <w:sz w:val="22"/>
          <w:szCs w:val="22"/>
          <w:shd w:val="clear" w:color="auto" w:fill="FFFF99"/>
          <w:rtl/>
        </w:rPr>
        <w:t xml:space="preserve"> עד יום </w:t>
      </w:r>
      <w:r w:rsidR="004C0F90" w:rsidRPr="00FA0077">
        <w:rPr>
          <w:rStyle w:val="default"/>
          <w:rFonts w:cs="FrankRuehl" w:hint="cs"/>
          <w:strike/>
          <w:vanish/>
          <w:sz w:val="22"/>
          <w:szCs w:val="22"/>
          <w:shd w:val="clear" w:color="auto" w:fill="FFFF99"/>
          <w:rtl/>
        </w:rPr>
        <w:t>י"ד בטבת התש"ע (31 בדצמבר</w:t>
      </w:r>
      <w:r w:rsidRPr="00FA0077">
        <w:rPr>
          <w:rStyle w:val="default"/>
          <w:rFonts w:cs="FrankRuehl" w:hint="cs"/>
          <w:strike/>
          <w:vanish/>
          <w:sz w:val="22"/>
          <w:szCs w:val="22"/>
          <w:shd w:val="clear" w:color="auto" w:fill="FFFF99"/>
          <w:rtl/>
        </w:rPr>
        <w:t xml:space="preserve"> 2009)</w:t>
      </w:r>
      <w:r w:rsidRPr="00FA0077">
        <w:rPr>
          <w:rStyle w:val="default"/>
          <w:rFonts w:cs="FrankRuehl"/>
          <w:strike/>
          <w:vanish/>
          <w:sz w:val="22"/>
          <w:szCs w:val="22"/>
          <w:shd w:val="clear" w:color="auto" w:fill="FFFF99"/>
          <w:rtl/>
        </w:rPr>
        <w:t>.</w:t>
      </w:r>
    </w:p>
    <w:p w:rsidR="00FE6EBC" w:rsidRPr="00FA0077" w:rsidRDefault="00FE6EBC" w:rsidP="004C0F90">
      <w:pPr>
        <w:pStyle w:val="P00"/>
        <w:spacing w:before="0"/>
        <w:ind w:left="0" w:right="1134"/>
        <w:rPr>
          <w:rStyle w:val="default"/>
          <w:rFonts w:cs="FrankRuehl" w:hint="cs"/>
          <w:vanish/>
          <w:sz w:val="20"/>
          <w:szCs w:val="20"/>
          <w:shd w:val="clear" w:color="auto" w:fill="FFFF99"/>
          <w:rtl/>
        </w:rPr>
      </w:pPr>
    </w:p>
    <w:p w:rsidR="00FE6EBC" w:rsidRPr="00FA0077" w:rsidRDefault="00FE6EBC" w:rsidP="00FE6EBC">
      <w:pPr>
        <w:pStyle w:val="P00"/>
        <w:spacing w:before="0"/>
        <w:ind w:left="0" w:right="1134"/>
        <w:rPr>
          <w:rStyle w:val="default"/>
          <w:rFonts w:cs="FrankRuehl" w:hint="cs"/>
          <w:vanish/>
          <w:color w:val="FF0000"/>
          <w:sz w:val="20"/>
          <w:szCs w:val="20"/>
          <w:shd w:val="clear" w:color="auto" w:fill="FFFF99"/>
          <w:rtl/>
        </w:rPr>
      </w:pPr>
      <w:r w:rsidRPr="00FA0077">
        <w:rPr>
          <w:rStyle w:val="default"/>
          <w:rFonts w:cs="FrankRuehl" w:hint="cs"/>
          <w:vanish/>
          <w:color w:val="FF0000"/>
          <w:sz w:val="20"/>
          <w:szCs w:val="20"/>
          <w:shd w:val="clear" w:color="auto" w:fill="FFFF99"/>
          <w:rtl/>
        </w:rPr>
        <w:t>מיום 30.12.2010</w:t>
      </w:r>
    </w:p>
    <w:p w:rsidR="00FE6EBC" w:rsidRPr="00FA0077" w:rsidRDefault="00FE6EBC" w:rsidP="00FE6EBC">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תשע"א-2010</w:t>
      </w:r>
    </w:p>
    <w:p w:rsidR="00FE6EBC" w:rsidRPr="00FA0077" w:rsidRDefault="00FE6EBC" w:rsidP="00FE6EBC">
      <w:pPr>
        <w:pStyle w:val="P00"/>
        <w:spacing w:before="0"/>
        <w:ind w:left="0" w:right="1134"/>
        <w:rPr>
          <w:rStyle w:val="default"/>
          <w:rFonts w:cs="FrankRuehl" w:hint="cs"/>
          <w:vanish/>
          <w:sz w:val="20"/>
          <w:szCs w:val="20"/>
          <w:shd w:val="clear" w:color="auto" w:fill="FFFF99"/>
          <w:rtl/>
        </w:rPr>
      </w:pPr>
      <w:hyperlink r:id="rId11" w:history="1">
        <w:r w:rsidRPr="00FA0077">
          <w:rPr>
            <w:rStyle w:val="Hyperlink"/>
            <w:rFonts w:cs="FrankRuehl" w:hint="cs"/>
            <w:vanish/>
            <w:szCs w:val="20"/>
            <w:shd w:val="clear" w:color="auto" w:fill="FFFF99"/>
            <w:rtl/>
          </w:rPr>
          <w:t>ק"ת תשע"א מס' 6959</w:t>
        </w:r>
      </w:hyperlink>
      <w:r w:rsidRPr="00FA0077">
        <w:rPr>
          <w:rStyle w:val="default"/>
          <w:rFonts w:cs="FrankRuehl" w:hint="cs"/>
          <w:vanish/>
          <w:sz w:val="20"/>
          <w:szCs w:val="20"/>
          <w:shd w:val="clear" w:color="auto" w:fill="FFFF99"/>
          <w:rtl/>
        </w:rPr>
        <w:t xml:space="preserve"> מיום 30.12.2010 עמ' 420</w:t>
      </w:r>
    </w:p>
    <w:p w:rsidR="00FE6EBC" w:rsidRPr="00FA0077" w:rsidRDefault="00FE6EBC" w:rsidP="00FE6EBC">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ביטול תקנה 9</w:t>
      </w:r>
    </w:p>
    <w:p w:rsidR="00FE6EBC" w:rsidRPr="00FA0077" w:rsidRDefault="00FE6EBC" w:rsidP="00FE6EBC">
      <w:pPr>
        <w:pStyle w:val="P00"/>
        <w:ind w:left="0" w:right="1134"/>
        <w:rPr>
          <w:rStyle w:val="default"/>
          <w:rFonts w:cs="FrankRuehl" w:hint="cs"/>
          <w:vanish/>
          <w:sz w:val="20"/>
          <w:szCs w:val="20"/>
          <w:shd w:val="clear" w:color="auto" w:fill="FFFF99"/>
          <w:rtl/>
        </w:rPr>
      </w:pPr>
      <w:r w:rsidRPr="00FA0077">
        <w:rPr>
          <w:rStyle w:val="default"/>
          <w:rFonts w:cs="FrankRuehl" w:hint="cs"/>
          <w:vanish/>
          <w:sz w:val="20"/>
          <w:szCs w:val="20"/>
          <w:shd w:val="clear" w:color="auto" w:fill="FFFF99"/>
          <w:rtl/>
        </w:rPr>
        <w:t>הנוסח הקודם:</w:t>
      </w:r>
    </w:p>
    <w:p w:rsidR="00FE6EBC" w:rsidRPr="00FA0077" w:rsidRDefault="00FE6EBC" w:rsidP="00FE6EBC">
      <w:pPr>
        <w:pStyle w:val="P00"/>
        <w:spacing w:before="20"/>
        <w:ind w:left="0" w:right="1134"/>
        <w:rPr>
          <w:rStyle w:val="default"/>
          <w:rFonts w:cs="Miriam" w:hint="cs"/>
          <w:strike/>
          <w:vanish/>
          <w:sz w:val="16"/>
          <w:szCs w:val="16"/>
          <w:shd w:val="clear" w:color="auto" w:fill="FFFF99"/>
          <w:rtl/>
        </w:rPr>
      </w:pPr>
      <w:r w:rsidRPr="00FA0077">
        <w:rPr>
          <w:rStyle w:val="default"/>
          <w:rFonts w:cs="Miriam" w:hint="cs"/>
          <w:strike/>
          <w:vanish/>
          <w:sz w:val="16"/>
          <w:szCs w:val="16"/>
          <w:shd w:val="clear" w:color="auto" w:fill="FFFF99"/>
          <w:rtl/>
        </w:rPr>
        <w:t>תוקף</w:t>
      </w:r>
    </w:p>
    <w:p w:rsidR="00FE6EBC" w:rsidRPr="00FE6EBC" w:rsidRDefault="00FE6EBC" w:rsidP="00FE6EBC">
      <w:pPr>
        <w:pStyle w:val="P00"/>
        <w:spacing w:before="0"/>
        <w:ind w:left="0" w:right="1134"/>
        <w:rPr>
          <w:rStyle w:val="default"/>
          <w:rFonts w:cs="FrankRuehl" w:hint="cs"/>
          <w:strike/>
          <w:sz w:val="2"/>
          <w:szCs w:val="2"/>
          <w:shd w:val="clear" w:color="auto" w:fill="FFFF99"/>
          <w:rtl/>
        </w:rPr>
      </w:pPr>
      <w:r w:rsidRPr="00FA0077">
        <w:rPr>
          <w:rStyle w:val="default"/>
          <w:rFonts w:cs="FrankRuehl" w:hint="cs"/>
          <w:strike/>
          <w:vanish/>
          <w:sz w:val="22"/>
          <w:szCs w:val="22"/>
          <w:shd w:val="clear" w:color="auto" w:fill="FFFF99"/>
          <w:rtl/>
        </w:rPr>
        <w:t>9</w:t>
      </w:r>
      <w:r w:rsidRPr="00FA0077">
        <w:rPr>
          <w:rStyle w:val="default"/>
          <w:rFonts w:cs="FrankRuehl"/>
          <w:strike/>
          <w:vanish/>
          <w:sz w:val="22"/>
          <w:szCs w:val="22"/>
          <w:shd w:val="clear" w:color="auto" w:fill="FFFF99"/>
          <w:rtl/>
        </w:rPr>
        <w:t>.</w:t>
      </w:r>
      <w:r w:rsidRPr="00FA0077">
        <w:rPr>
          <w:rStyle w:val="default"/>
          <w:rFonts w:cs="FrankRuehl"/>
          <w:strike/>
          <w:vanish/>
          <w:sz w:val="22"/>
          <w:szCs w:val="22"/>
          <w:shd w:val="clear" w:color="auto" w:fill="FFFF99"/>
          <w:rtl/>
        </w:rPr>
        <w:tab/>
        <w:t>תוקפן של תקנות אלה</w:t>
      </w:r>
      <w:r w:rsidRPr="00FA0077">
        <w:rPr>
          <w:rStyle w:val="default"/>
          <w:rFonts w:cs="FrankRuehl" w:hint="cs"/>
          <w:strike/>
          <w:vanish/>
          <w:sz w:val="22"/>
          <w:szCs w:val="22"/>
          <w:shd w:val="clear" w:color="auto" w:fill="FFFF99"/>
          <w:rtl/>
        </w:rPr>
        <w:t xml:space="preserve"> עד יום כ"ד בטבת התשע"א (31 בדצמבר 2010)</w:t>
      </w:r>
      <w:r w:rsidRPr="00FA0077">
        <w:rPr>
          <w:rStyle w:val="default"/>
          <w:rFonts w:cs="FrankRuehl"/>
          <w:strike/>
          <w:vanish/>
          <w:sz w:val="22"/>
          <w:szCs w:val="22"/>
          <w:shd w:val="clear" w:color="auto" w:fill="FFFF99"/>
          <w:rtl/>
        </w:rPr>
        <w:t>.</w:t>
      </w:r>
      <w:bookmarkEnd w:id="10"/>
    </w:p>
    <w:p w:rsidR="00BF306D" w:rsidRDefault="00BF306D">
      <w:pPr>
        <w:pStyle w:val="P00"/>
        <w:spacing w:before="72"/>
        <w:ind w:left="0" w:right="1134"/>
        <w:rPr>
          <w:rStyle w:val="default"/>
          <w:rFonts w:cs="FrankRuehl" w:hint="cs"/>
          <w:rtl/>
        </w:rPr>
      </w:pPr>
    </w:p>
    <w:p w:rsidR="00BF306D" w:rsidRDefault="00BF306D">
      <w:pPr>
        <w:pStyle w:val="P00"/>
        <w:spacing w:before="72"/>
        <w:ind w:left="0" w:right="1134"/>
        <w:jc w:val="center"/>
        <w:rPr>
          <w:rStyle w:val="default"/>
          <w:rFonts w:cs="FrankRuehl" w:hint="cs"/>
          <w:b/>
          <w:bCs/>
          <w:rtl/>
        </w:rPr>
      </w:pPr>
      <w:r>
        <w:rPr>
          <w:rStyle w:val="default"/>
          <w:rFonts w:cs="FrankRuehl" w:hint="cs"/>
          <w:b/>
          <w:bCs/>
          <w:rtl/>
        </w:rPr>
        <w:t>תוספת</w:t>
      </w:r>
    </w:p>
    <w:p w:rsidR="00BF306D" w:rsidRDefault="00BF306D">
      <w:pPr>
        <w:pStyle w:val="P00"/>
        <w:spacing w:before="72"/>
        <w:ind w:left="0" w:right="1134"/>
        <w:jc w:val="center"/>
        <w:rPr>
          <w:rStyle w:val="default"/>
          <w:rFonts w:cs="FrankRuehl" w:hint="cs"/>
          <w:sz w:val="24"/>
          <w:szCs w:val="24"/>
          <w:rtl/>
        </w:rPr>
      </w:pPr>
      <w:r>
        <w:rPr>
          <w:rStyle w:val="default"/>
          <w:rFonts w:cs="FrankRuehl" w:hint="cs"/>
          <w:sz w:val="24"/>
          <w:szCs w:val="24"/>
          <w:rtl/>
        </w:rPr>
        <w:t>(תקנה 8(א) ו-(ב))</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סכום התשלום המרבי בעד העמדת כלי רכב במגרש אחסנה לכל יום אחסון, יהיה כמפורט להלן:</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רכב שמשקלו הכולל אינו עולה על 4 טון – עד 47.21 שקלים חדשים;</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רכב שמשקלו הכולל עולה על 4 טון – עד 81.55 שקלים חדשים.</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סכום התשלום המרבי בעד גרירת כלי רכב, יהיה כמפורט להלן:</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רכב שמשקלו הכולל אינו עולה על 4 טון –</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עד 257.51 שקלים חדשים ל</w:t>
      </w:r>
      <w:r>
        <w:rPr>
          <w:rStyle w:val="default"/>
          <w:rFonts w:cs="FrankRuehl" w:hint="cs"/>
          <w:rtl/>
        </w:rPr>
        <w:t>-</w:t>
      </w:r>
      <w:r>
        <w:rPr>
          <w:rStyle w:val="default"/>
          <w:rFonts w:cs="FrankRuehl"/>
          <w:rtl/>
        </w:rPr>
        <w:t>30 הקילומטרים הראשונים או כל חלק מהם;</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עד 5.15 שקלים חדשים לכל קילומטר נוסף.</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רכב שמשקלו הכולל עולה על 4 טון –</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עד 772.53 שקלים חדשים ל</w:t>
      </w:r>
      <w:r>
        <w:rPr>
          <w:rStyle w:val="default"/>
          <w:rFonts w:cs="FrankRuehl" w:hint="cs"/>
          <w:rtl/>
        </w:rPr>
        <w:t>-</w:t>
      </w:r>
      <w:r>
        <w:rPr>
          <w:rStyle w:val="default"/>
          <w:rFonts w:cs="FrankRuehl"/>
          <w:rtl/>
        </w:rPr>
        <w:t>30 הקילומטרים הראשונים או כל חלק מהם;</w:t>
      </w:r>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עד 10.30 שקלים חדשים לכל קילומטר נוסף.</w:t>
      </w:r>
    </w:p>
    <w:p w:rsidR="009E5E78" w:rsidRDefault="009E5E78" w:rsidP="009E5E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Fonts w:cs="FrankRuehl"/>
          <w:sz w:val="26"/>
          <w:rtl/>
          <w:lang w:eastAsia="en-US"/>
        </w:rPr>
        <w:pict>
          <v:shape id="_x0000_s1194" type="#_x0000_t202" style="position:absolute;left:0;text-align:left;margin-left:470.35pt;margin-top:7.1pt;width:1in;height:18pt;z-index:251661824" filled="f" stroked="f">
            <v:textbox inset="1mm,0,1mm,0">
              <w:txbxContent>
                <w:p w:rsidR="009E5E78" w:rsidRDefault="009E5E78" w:rsidP="009E5E78">
                  <w:pPr>
                    <w:spacing w:line="160" w:lineRule="exact"/>
                    <w:rPr>
                      <w:rFonts w:cs="Miriam" w:hint="cs"/>
                      <w:noProof/>
                      <w:sz w:val="18"/>
                      <w:szCs w:val="18"/>
                      <w:rtl/>
                    </w:rPr>
                  </w:pPr>
                  <w:r>
                    <w:rPr>
                      <w:rFonts w:cs="Miriam" w:hint="cs"/>
                      <w:sz w:val="18"/>
                      <w:szCs w:val="18"/>
                      <w:rtl/>
                    </w:rPr>
                    <w:t>תק' תשס"ט-2008</w:t>
                  </w:r>
                </w:p>
              </w:txbxContent>
            </v:textbox>
          </v:shape>
        </w:pict>
      </w:r>
      <w:r>
        <w:rPr>
          <w:rStyle w:val="default"/>
          <w:rFonts w:cs="FrankRuehl"/>
          <w:rtl/>
        </w:rPr>
        <w:t>2</w:t>
      </w:r>
      <w:r>
        <w:rPr>
          <w:rStyle w:val="default"/>
          <w:rFonts w:cs="FrankRuehl" w:hint="cs"/>
          <w:rtl/>
        </w:rPr>
        <w:t>א</w:t>
      </w:r>
      <w:r>
        <w:rPr>
          <w:rStyle w:val="default"/>
          <w:rFonts w:cs="FrankRuehl"/>
          <w:rtl/>
        </w:rPr>
        <w:t>.</w:t>
      </w:r>
      <w:r>
        <w:rPr>
          <w:rStyle w:val="default"/>
          <w:rFonts w:cs="FrankRuehl" w:hint="cs"/>
          <w:rtl/>
        </w:rPr>
        <w:tab/>
        <w:t>בימי מנוחה, כמשמעותם בסעיף 18א(א) לפקודת סדרי השלטון והמשפט, התש"ח-1948, ביום העצמאות כמשמעותו בחוק יום העצמאות, התש"ט-1949, מהשעה 16:00 לפני כניסתם עד השעה 6:00 למחרתם, וכן בכל יום אחר בין השעות 22:00 ועד 6:00, סכום התשלום המרבי בעד פעולות כאמור בפרטים 1 ו-2, יהיה גבוה ב-30% מהסכום המרבי הקבוע באותם פרטים.</w:t>
      </w:r>
    </w:p>
    <w:p w:rsidR="009E5E78" w:rsidRPr="00FA0077" w:rsidRDefault="009E5E78" w:rsidP="009E5E78">
      <w:pPr>
        <w:pStyle w:val="P00"/>
        <w:spacing w:before="0"/>
        <w:ind w:left="0" w:right="1134"/>
        <w:rPr>
          <w:rStyle w:val="default"/>
          <w:rFonts w:cs="FrankRuehl" w:hint="cs"/>
          <w:vanish/>
          <w:color w:val="FF0000"/>
          <w:sz w:val="20"/>
          <w:szCs w:val="20"/>
          <w:shd w:val="clear" w:color="auto" w:fill="FFFF99"/>
          <w:rtl/>
        </w:rPr>
      </w:pPr>
      <w:bookmarkStart w:id="11" w:name="Rov11"/>
      <w:r w:rsidRPr="00FA0077">
        <w:rPr>
          <w:rStyle w:val="default"/>
          <w:rFonts w:cs="FrankRuehl" w:hint="cs"/>
          <w:vanish/>
          <w:color w:val="FF0000"/>
          <w:sz w:val="20"/>
          <w:szCs w:val="20"/>
          <w:shd w:val="clear" w:color="auto" w:fill="FFFF99"/>
          <w:rtl/>
        </w:rPr>
        <w:t>מיום 31.12.2008</w:t>
      </w:r>
    </w:p>
    <w:p w:rsidR="009E5E78" w:rsidRPr="00FA0077" w:rsidRDefault="009E5E78" w:rsidP="009E5E78">
      <w:pPr>
        <w:pStyle w:val="P00"/>
        <w:spacing w:before="0"/>
        <w:ind w:left="0" w:right="1134"/>
        <w:rPr>
          <w:rStyle w:val="default"/>
          <w:rFonts w:cs="FrankRuehl" w:hint="cs"/>
          <w:vanish/>
          <w:sz w:val="20"/>
          <w:szCs w:val="20"/>
          <w:shd w:val="clear" w:color="auto" w:fill="FFFF99"/>
          <w:rtl/>
        </w:rPr>
      </w:pPr>
      <w:r w:rsidRPr="00FA0077">
        <w:rPr>
          <w:rStyle w:val="default"/>
          <w:rFonts w:cs="FrankRuehl" w:hint="cs"/>
          <w:b/>
          <w:bCs/>
          <w:vanish/>
          <w:sz w:val="20"/>
          <w:szCs w:val="20"/>
          <w:shd w:val="clear" w:color="auto" w:fill="FFFF99"/>
          <w:rtl/>
        </w:rPr>
        <w:t>תק' תשס"ט-2008</w:t>
      </w:r>
    </w:p>
    <w:p w:rsidR="009E5E78" w:rsidRPr="00FA0077" w:rsidRDefault="009E5E78" w:rsidP="009E5E78">
      <w:pPr>
        <w:pStyle w:val="P00"/>
        <w:spacing w:before="0"/>
        <w:ind w:left="0" w:right="1134"/>
        <w:rPr>
          <w:rStyle w:val="default"/>
          <w:rFonts w:cs="FrankRuehl" w:hint="cs"/>
          <w:vanish/>
          <w:sz w:val="20"/>
          <w:szCs w:val="20"/>
          <w:shd w:val="clear" w:color="auto" w:fill="FFFF99"/>
          <w:rtl/>
        </w:rPr>
      </w:pPr>
      <w:hyperlink r:id="rId12" w:history="1">
        <w:r w:rsidRPr="00FA0077">
          <w:rPr>
            <w:rStyle w:val="Hyperlink"/>
            <w:rFonts w:cs="FrankRuehl" w:hint="cs"/>
            <w:vanish/>
            <w:szCs w:val="20"/>
            <w:shd w:val="clear" w:color="auto" w:fill="FFFF99"/>
            <w:rtl/>
          </w:rPr>
          <w:t>ק"ת תשס"ט מס' 6736</w:t>
        </w:r>
      </w:hyperlink>
      <w:r w:rsidRPr="00FA0077">
        <w:rPr>
          <w:rStyle w:val="default"/>
          <w:rFonts w:cs="FrankRuehl" w:hint="cs"/>
          <w:vanish/>
          <w:sz w:val="20"/>
          <w:szCs w:val="20"/>
          <w:shd w:val="clear" w:color="auto" w:fill="FFFF99"/>
          <w:rtl/>
        </w:rPr>
        <w:t xml:space="preserve"> מיום 31.12.2008 עמ' 291</w:t>
      </w:r>
    </w:p>
    <w:p w:rsidR="009E5E78" w:rsidRPr="009E5E78" w:rsidRDefault="009E5E78" w:rsidP="009E5E78">
      <w:pPr>
        <w:pStyle w:val="P00"/>
        <w:spacing w:before="0"/>
        <w:ind w:left="0" w:right="1134"/>
        <w:rPr>
          <w:rStyle w:val="default"/>
          <w:rFonts w:cs="FrankRuehl" w:hint="cs"/>
          <w:b/>
          <w:bCs/>
          <w:sz w:val="2"/>
          <w:szCs w:val="2"/>
          <w:shd w:val="clear" w:color="auto" w:fill="FFFF99"/>
          <w:rtl/>
        </w:rPr>
      </w:pPr>
      <w:r w:rsidRPr="00FA0077">
        <w:rPr>
          <w:rStyle w:val="default"/>
          <w:rFonts w:cs="FrankRuehl" w:hint="cs"/>
          <w:b/>
          <w:bCs/>
          <w:vanish/>
          <w:sz w:val="20"/>
          <w:szCs w:val="20"/>
          <w:shd w:val="clear" w:color="auto" w:fill="FFFF99"/>
          <w:rtl/>
        </w:rPr>
        <w:t>הוספת פרט 2א</w:t>
      </w:r>
      <w:bookmarkEnd w:id="11"/>
    </w:p>
    <w:p w:rsidR="00BF306D" w:rsidRDefault="00BF306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לכל הסכומים שבתוספת ייווסף מס ערך מוסף כדין.</w:t>
      </w:r>
    </w:p>
    <w:p w:rsidR="00BF306D" w:rsidRDefault="00BF306D">
      <w:pPr>
        <w:pStyle w:val="P00"/>
        <w:spacing w:before="72"/>
        <w:ind w:left="0" w:right="1134"/>
        <w:rPr>
          <w:rStyle w:val="default"/>
          <w:rFonts w:cs="FrankRuehl" w:hint="cs"/>
          <w:rtl/>
        </w:rPr>
      </w:pPr>
    </w:p>
    <w:p w:rsidR="00BF306D" w:rsidRDefault="00BF306D">
      <w:pPr>
        <w:pStyle w:val="P00"/>
        <w:spacing w:before="72"/>
        <w:ind w:left="0" w:right="1134"/>
        <w:rPr>
          <w:rStyle w:val="default"/>
          <w:rFonts w:cs="FrankRuehl" w:hint="cs"/>
          <w:rtl/>
        </w:rPr>
      </w:pPr>
    </w:p>
    <w:p w:rsidR="00BF306D" w:rsidRDefault="00BF306D">
      <w:pPr>
        <w:pStyle w:val="P00"/>
        <w:spacing w:before="72"/>
        <w:ind w:left="0" w:right="1134"/>
        <w:rPr>
          <w:rStyle w:val="default"/>
          <w:rFonts w:cs="FrankRuehl" w:hint="cs"/>
          <w:rtl/>
        </w:rPr>
      </w:pPr>
      <w:r>
        <w:rPr>
          <w:rStyle w:val="default"/>
          <w:rFonts w:cs="FrankRuehl" w:hint="cs"/>
          <w:rtl/>
        </w:rPr>
        <w:t>כ"ג באדר התשס"ו (23 במרס 2006)</w:t>
      </w:r>
    </w:p>
    <w:p w:rsidR="00BF306D" w:rsidRDefault="00BF306D">
      <w:pPr>
        <w:pStyle w:val="sig-0"/>
        <w:tabs>
          <w:tab w:val="clear" w:pos="4820"/>
          <w:tab w:val="center" w:pos="5670"/>
        </w:tabs>
        <w:ind w:left="0" w:right="1134"/>
        <w:rPr>
          <w:rFonts w:cs="FrankRuehl" w:hint="cs"/>
          <w:sz w:val="26"/>
          <w:rtl/>
        </w:rPr>
      </w:pPr>
      <w:r>
        <w:rPr>
          <w:rFonts w:cs="FrankRuehl" w:hint="cs"/>
          <w:sz w:val="26"/>
          <w:rtl/>
        </w:rPr>
        <w:tab/>
        <w:t>גדעון עזרא</w:t>
      </w:r>
    </w:p>
    <w:p w:rsidR="00BF306D" w:rsidRDefault="00BF306D">
      <w:pPr>
        <w:pStyle w:val="sig-0"/>
        <w:tabs>
          <w:tab w:val="clear" w:pos="4820"/>
          <w:tab w:val="center" w:pos="5670"/>
        </w:tabs>
        <w:ind w:left="0" w:right="1134"/>
        <w:rPr>
          <w:rFonts w:cs="FrankRuehl" w:hint="cs"/>
          <w:sz w:val="22"/>
          <w:szCs w:val="22"/>
          <w:rtl/>
        </w:rPr>
      </w:pPr>
      <w:r>
        <w:rPr>
          <w:rFonts w:cs="FrankRuehl" w:hint="cs"/>
          <w:sz w:val="22"/>
          <w:szCs w:val="22"/>
          <w:rtl/>
        </w:rPr>
        <w:tab/>
        <w:t>השר לביטחון הפנים</w:t>
      </w:r>
    </w:p>
    <w:p w:rsidR="00BF306D" w:rsidRDefault="00BF306D">
      <w:pPr>
        <w:pStyle w:val="sig-0"/>
        <w:tabs>
          <w:tab w:val="clear" w:pos="4820"/>
          <w:tab w:val="center" w:pos="5670"/>
        </w:tabs>
        <w:ind w:left="0" w:right="1134"/>
        <w:rPr>
          <w:rFonts w:cs="FrankRuehl" w:hint="cs"/>
          <w:sz w:val="26"/>
          <w:rtl/>
        </w:rPr>
      </w:pPr>
    </w:p>
    <w:p w:rsidR="00BF306D" w:rsidRDefault="00BF306D">
      <w:pPr>
        <w:pStyle w:val="sig-0"/>
        <w:tabs>
          <w:tab w:val="clear" w:pos="4820"/>
          <w:tab w:val="center" w:pos="5670"/>
        </w:tabs>
        <w:ind w:left="0" w:right="1134"/>
        <w:rPr>
          <w:rFonts w:cs="FrankRuehl" w:hint="cs"/>
          <w:sz w:val="26"/>
          <w:rtl/>
        </w:rPr>
      </w:pPr>
    </w:p>
    <w:p w:rsidR="00BF306D" w:rsidRDefault="00BF306D">
      <w:pPr>
        <w:pStyle w:val="sig-0"/>
        <w:ind w:left="0" w:right="1134"/>
        <w:rPr>
          <w:rFonts w:cs="FrankRuehl"/>
          <w:sz w:val="26"/>
          <w:rtl/>
        </w:rPr>
      </w:pPr>
    </w:p>
    <w:sectPr w:rsidR="00BF306D">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7EAB" w:rsidRDefault="00957EAB">
      <w:r>
        <w:separator/>
      </w:r>
    </w:p>
  </w:endnote>
  <w:endnote w:type="continuationSeparator" w:id="0">
    <w:p w:rsidR="00957EAB" w:rsidRDefault="0095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06D" w:rsidRDefault="00BF30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F306D" w:rsidRDefault="00BF30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F306D" w:rsidRDefault="00BF30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Z:\000000000000-law\yael\08-04-02\ragil\999_598.doc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06D" w:rsidRDefault="00BF30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0077">
      <w:rPr>
        <w:rFonts w:hAnsi="FrankRuehl" w:cs="FrankRuehl"/>
        <w:noProof/>
        <w:sz w:val="24"/>
        <w:szCs w:val="24"/>
        <w:rtl/>
      </w:rPr>
      <w:t>2</w:t>
    </w:r>
    <w:r>
      <w:rPr>
        <w:rFonts w:hAnsi="FrankRuehl" w:cs="FrankRuehl"/>
        <w:sz w:val="24"/>
        <w:szCs w:val="24"/>
        <w:rtl/>
      </w:rPr>
      <w:fldChar w:fldCharType="end"/>
    </w:r>
  </w:p>
  <w:p w:rsidR="00BF306D" w:rsidRDefault="00BF30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F306D" w:rsidRDefault="00BF30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Z:\000000000000-law\yael\08-04-02\ragil\999_598.doc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7EAB" w:rsidRDefault="00957EAB">
      <w:pPr>
        <w:spacing w:before="60"/>
        <w:ind w:right="1134"/>
      </w:pPr>
      <w:r>
        <w:separator/>
      </w:r>
    </w:p>
  </w:footnote>
  <w:footnote w:type="continuationSeparator" w:id="0">
    <w:p w:rsidR="00957EAB" w:rsidRDefault="00957EAB">
      <w:r>
        <w:continuationSeparator/>
      </w:r>
    </w:p>
  </w:footnote>
  <w:footnote w:id="1">
    <w:p w:rsidR="00BF306D" w:rsidRDefault="00BF3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6471</w:t>
        </w:r>
      </w:hyperlink>
      <w:r>
        <w:rPr>
          <w:rFonts w:cs="FrankRuehl" w:hint="cs"/>
          <w:rtl/>
        </w:rPr>
        <w:t xml:space="preserve"> מיום 30.3.2006 עמ' 616.</w:t>
      </w:r>
    </w:p>
    <w:p w:rsidR="00BF306D" w:rsidRDefault="00BF3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תשס"ח מס' 6659</w:t>
        </w:r>
      </w:hyperlink>
      <w:r>
        <w:rPr>
          <w:rFonts w:cs="FrankRuehl" w:hint="cs"/>
          <w:rtl/>
        </w:rPr>
        <w:t xml:space="preserve"> מיום 30.3.2008 עמ' 676 </w:t>
      </w:r>
      <w:r>
        <w:rPr>
          <w:rFonts w:cs="FrankRuehl"/>
          <w:rtl/>
        </w:rPr>
        <w:t>–</w:t>
      </w:r>
      <w:r>
        <w:rPr>
          <w:rFonts w:cs="FrankRuehl" w:hint="cs"/>
          <w:rtl/>
        </w:rPr>
        <w:t xml:space="preserve"> תק' תשס"ח-2008.</w:t>
      </w:r>
    </w:p>
    <w:p w:rsidR="00F1788C" w:rsidRDefault="00F1788C" w:rsidP="00F178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E5E78" w:rsidRPr="00F1788C">
          <w:rPr>
            <w:rStyle w:val="Hyperlink"/>
            <w:rFonts w:cs="FrankRuehl" w:hint="cs"/>
            <w:rtl/>
          </w:rPr>
          <w:t>ק"ת תשס"ט מס' 6736</w:t>
        </w:r>
      </w:hyperlink>
      <w:r w:rsidR="009E5E78">
        <w:rPr>
          <w:rFonts w:cs="FrankRuehl" w:hint="cs"/>
          <w:rtl/>
        </w:rPr>
        <w:t xml:space="preserve"> מיום 31.12.2008 עמ' 291 </w:t>
      </w:r>
      <w:r w:rsidR="009E5E78">
        <w:rPr>
          <w:rFonts w:cs="FrankRuehl"/>
          <w:rtl/>
        </w:rPr>
        <w:t>–</w:t>
      </w:r>
      <w:r w:rsidR="009E5E78">
        <w:rPr>
          <w:rFonts w:cs="FrankRuehl" w:hint="cs"/>
          <w:rtl/>
        </w:rPr>
        <w:t xml:space="preserve"> תק' תשס"ט-2008.</w:t>
      </w:r>
    </w:p>
    <w:p w:rsidR="000D018E" w:rsidRDefault="000D018E" w:rsidP="000D01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C0F90" w:rsidRPr="000D018E">
          <w:rPr>
            <w:rStyle w:val="Hyperlink"/>
            <w:rFonts w:cs="FrankRuehl" w:hint="cs"/>
            <w:rtl/>
          </w:rPr>
          <w:t>ק"ת תש"ע מס' 6852</w:t>
        </w:r>
      </w:hyperlink>
      <w:r w:rsidR="004C0F90">
        <w:rPr>
          <w:rFonts w:cs="FrankRuehl" w:hint="cs"/>
          <w:rtl/>
        </w:rPr>
        <w:t xml:space="preserve"> מיום 1.1.2010 עמ' 590 </w:t>
      </w:r>
      <w:r w:rsidR="004C0F90">
        <w:rPr>
          <w:rFonts w:cs="FrankRuehl"/>
          <w:rtl/>
        </w:rPr>
        <w:t>–</w:t>
      </w:r>
      <w:r w:rsidR="004C0F90">
        <w:rPr>
          <w:rFonts w:cs="FrankRuehl" w:hint="cs"/>
          <w:rtl/>
        </w:rPr>
        <w:t xml:space="preserve"> תק' תש"ע-2010.</w:t>
      </w:r>
    </w:p>
    <w:p w:rsidR="009A0EC9" w:rsidRDefault="009A0EC9" w:rsidP="009A0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E6EBC" w:rsidRPr="009A0EC9">
          <w:rPr>
            <w:rStyle w:val="Hyperlink"/>
            <w:rFonts w:cs="FrankRuehl" w:hint="cs"/>
            <w:rtl/>
          </w:rPr>
          <w:t>ק"ת תשע"א מס' 6959</w:t>
        </w:r>
      </w:hyperlink>
      <w:r w:rsidR="00FE6EBC">
        <w:rPr>
          <w:rFonts w:cs="FrankRuehl" w:hint="cs"/>
          <w:rtl/>
        </w:rPr>
        <w:t xml:space="preserve"> מיום 30.12.2010 עמ' 420 </w:t>
      </w:r>
      <w:r w:rsidR="00FE6EBC">
        <w:rPr>
          <w:rFonts w:cs="FrankRuehl"/>
          <w:rtl/>
        </w:rPr>
        <w:t>–</w:t>
      </w:r>
      <w:r w:rsidR="00FE6EBC">
        <w:rPr>
          <w:rFonts w:cs="FrankRuehl" w:hint="cs"/>
          <w:rtl/>
        </w:rPr>
        <w:t xml:space="preserve"> תק'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06D" w:rsidRDefault="00BF306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F306D" w:rsidRDefault="00BF30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F306D" w:rsidRDefault="00BF306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306D" w:rsidRDefault="00BF306D" w:rsidP="00FE6EB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התעבורה (איסור שימוש ברכב </w:t>
    </w:r>
    <w:r>
      <w:rPr>
        <w:rFonts w:hAnsi="FrankRuehl" w:cs="FrankRuehl"/>
        <w:color w:val="000000"/>
        <w:sz w:val="28"/>
        <w:szCs w:val="28"/>
        <w:rtl/>
      </w:rPr>
      <w:t>–</w:t>
    </w:r>
    <w:r>
      <w:rPr>
        <w:rFonts w:hAnsi="FrankRuehl" w:cs="FrankRuehl" w:hint="cs"/>
        <w:color w:val="000000"/>
        <w:sz w:val="28"/>
        <w:szCs w:val="28"/>
        <w:rtl/>
      </w:rPr>
      <w:t xml:space="preserve"> מגרשי אחסנה), תשס"ו-2006</w:t>
    </w:r>
  </w:p>
  <w:p w:rsidR="00BF306D" w:rsidRDefault="00BF30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F306D" w:rsidRDefault="00BF306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0247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26A9"/>
    <w:rsid w:val="000D018E"/>
    <w:rsid w:val="001117A2"/>
    <w:rsid w:val="001B03F6"/>
    <w:rsid w:val="004C0F90"/>
    <w:rsid w:val="005C7ECF"/>
    <w:rsid w:val="006E333D"/>
    <w:rsid w:val="0087367E"/>
    <w:rsid w:val="00926044"/>
    <w:rsid w:val="00957EAB"/>
    <w:rsid w:val="009A0EC9"/>
    <w:rsid w:val="009E5E78"/>
    <w:rsid w:val="00A072A7"/>
    <w:rsid w:val="00AF5BDD"/>
    <w:rsid w:val="00BF306D"/>
    <w:rsid w:val="00D36D3B"/>
    <w:rsid w:val="00EE1D4E"/>
    <w:rsid w:val="00F026A9"/>
    <w:rsid w:val="00F1788C"/>
    <w:rsid w:val="00F337B0"/>
    <w:rsid w:val="00FA0077"/>
    <w:rsid w:val="00FE6E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7D4E4A1-0E04-4EE0-BD1E-D271A70C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59.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959.pdf" TargetMode="External"/><Relationship Id="rId12" Type="http://schemas.openxmlformats.org/officeDocument/2006/relationships/hyperlink" Target="http://www.nevo.co.il/Law_word/law06/tak-673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95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6852.pdf" TargetMode="External"/><Relationship Id="rId4" Type="http://schemas.openxmlformats.org/officeDocument/2006/relationships/webSettings" Target="webSettings.xml"/><Relationship Id="rId9" Type="http://schemas.openxmlformats.org/officeDocument/2006/relationships/hyperlink" Target="http://www.nevo.co.il/Law_word/law06/tak-673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36.pdf" TargetMode="External"/><Relationship Id="rId2" Type="http://schemas.openxmlformats.org/officeDocument/2006/relationships/hyperlink" Target="http://web1.nevo.co.il/Law_word/law06/TAK-6659.pdf" TargetMode="External"/><Relationship Id="rId1" Type="http://schemas.openxmlformats.org/officeDocument/2006/relationships/hyperlink" Target="http://www.nevo.co.il/Law_word/law06/tak-6471.pdf" TargetMode="External"/><Relationship Id="rId5" Type="http://schemas.openxmlformats.org/officeDocument/2006/relationships/hyperlink" Target="http://www.nevo.co.il/Law_word/law06/TAK-6959.pdf" TargetMode="External"/><Relationship Id="rId4" Type="http://schemas.openxmlformats.org/officeDocument/2006/relationships/hyperlink" Target="http://www.nevo.co.il/Law_word/law06/tak-68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7541</CharactersWithSpaces>
  <SharedDoc>false</SharedDoc>
  <HLinks>
    <vt:vector size="120" baseType="variant">
      <vt:variant>
        <vt:i4>8126473</vt:i4>
      </vt:variant>
      <vt:variant>
        <vt:i4>69</vt:i4>
      </vt:variant>
      <vt:variant>
        <vt:i4>0</vt:i4>
      </vt:variant>
      <vt:variant>
        <vt:i4>5</vt:i4>
      </vt:variant>
      <vt:variant>
        <vt:lpwstr>http://www.nevo.co.il/Law_word/law06/tak-6736.pdf</vt:lpwstr>
      </vt:variant>
      <vt:variant>
        <vt:lpwstr/>
      </vt:variant>
      <vt:variant>
        <vt:i4>7995400</vt:i4>
      </vt:variant>
      <vt:variant>
        <vt:i4>66</vt:i4>
      </vt:variant>
      <vt:variant>
        <vt:i4>0</vt:i4>
      </vt:variant>
      <vt:variant>
        <vt:i4>5</vt:i4>
      </vt:variant>
      <vt:variant>
        <vt:lpwstr>http://www.nevo.co.il/Law_word/law06/tak-6959.pdf</vt:lpwstr>
      </vt:variant>
      <vt:variant>
        <vt:lpwstr/>
      </vt:variant>
      <vt:variant>
        <vt:i4>7995394</vt:i4>
      </vt:variant>
      <vt:variant>
        <vt:i4>63</vt:i4>
      </vt:variant>
      <vt:variant>
        <vt:i4>0</vt:i4>
      </vt:variant>
      <vt:variant>
        <vt:i4>5</vt:i4>
      </vt:variant>
      <vt:variant>
        <vt:lpwstr>http://www.nevo.co.il/Law_word/law06/tak-6852.pdf</vt:lpwstr>
      </vt:variant>
      <vt:variant>
        <vt:lpwstr/>
      </vt:variant>
      <vt:variant>
        <vt:i4>8126473</vt:i4>
      </vt:variant>
      <vt:variant>
        <vt:i4>60</vt:i4>
      </vt:variant>
      <vt:variant>
        <vt:i4>0</vt:i4>
      </vt:variant>
      <vt:variant>
        <vt:i4>5</vt:i4>
      </vt:variant>
      <vt:variant>
        <vt:lpwstr>http://www.nevo.co.il/Law_word/law06/tak-6736.pdf</vt:lpwstr>
      </vt:variant>
      <vt:variant>
        <vt:lpwstr/>
      </vt:variant>
      <vt:variant>
        <vt:i4>7995399</vt:i4>
      </vt:variant>
      <vt:variant>
        <vt:i4>57</vt:i4>
      </vt:variant>
      <vt:variant>
        <vt:i4>0</vt:i4>
      </vt:variant>
      <vt:variant>
        <vt:i4>5</vt:i4>
      </vt:variant>
      <vt:variant>
        <vt:lpwstr>http://www.nevo.co.il/Law_word/law06/tak-6659.pdf</vt:lpwstr>
      </vt:variant>
      <vt:variant>
        <vt:lpwstr/>
      </vt:variant>
      <vt:variant>
        <vt:i4>7995400</vt:i4>
      </vt:variant>
      <vt:variant>
        <vt:i4>54</vt:i4>
      </vt:variant>
      <vt:variant>
        <vt:i4>0</vt:i4>
      </vt:variant>
      <vt:variant>
        <vt:i4>5</vt:i4>
      </vt:variant>
      <vt:variant>
        <vt:lpwstr>http://www.nevo.co.il/Law_word/law06/tak-6959.pdf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7995400</vt:i4>
      </vt:variant>
      <vt:variant>
        <vt:i4>12</vt:i4>
      </vt:variant>
      <vt:variant>
        <vt:i4>0</vt:i4>
      </vt:variant>
      <vt:variant>
        <vt:i4>5</vt:i4>
      </vt:variant>
      <vt:variant>
        <vt:lpwstr>http://www.nevo.co.il/Law_word/law06/TAK-6959.pdf</vt:lpwstr>
      </vt:variant>
      <vt:variant>
        <vt:lpwstr/>
      </vt:variant>
      <vt:variant>
        <vt:i4>7995394</vt:i4>
      </vt:variant>
      <vt:variant>
        <vt:i4>9</vt:i4>
      </vt:variant>
      <vt:variant>
        <vt:i4>0</vt:i4>
      </vt:variant>
      <vt:variant>
        <vt:i4>5</vt:i4>
      </vt:variant>
      <vt:variant>
        <vt:lpwstr>http://www.nevo.co.il/Law_word/law06/tak-6852.pdf</vt:lpwstr>
      </vt:variant>
      <vt:variant>
        <vt:lpwstr/>
      </vt:variant>
      <vt:variant>
        <vt:i4>8126473</vt:i4>
      </vt:variant>
      <vt:variant>
        <vt:i4>6</vt:i4>
      </vt:variant>
      <vt:variant>
        <vt:i4>0</vt:i4>
      </vt:variant>
      <vt:variant>
        <vt:i4>5</vt:i4>
      </vt:variant>
      <vt:variant>
        <vt:lpwstr>http://www.nevo.co.il/Law_word/law06/tak-6736.pdf</vt:lpwstr>
      </vt:variant>
      <vt:variant>
        <vt:lpwstr/>
      </vt:variant>
      <vt:variant>
        <vt:i4>2162700</vt:i4>
      </vt:variant>
      <vt:variant>
        <vt:i4>3</vt:i4>
      </vt:variant>
      <vt:variant>
        <vt:i4>0</vt:i4>
      </vt:variant>
      <vt:variant>
        <vt:i4>5</vt:i4>
      </vt:variant>
      <vt:variant>
        <vt:lpwstr>http://web1.nevo.co.il/Law_word/law06/TAK-6659.pdf</vt:lpwstr>
      </vt:variant>
      <vt:variant>
        <vt:lpwstr/>
      </vt:variant>
      <vt:variant>
        <vt:i4>7864333</vt:i4>
      </vt:variant>
      <vt:variant>
        <vt:i4>0</vt:i4>
      </vt:variant>
      <vt:variant>
        <vt:i4>0</vt:i4>
      </vt:variant>
      <vt:variant>
        <vt:i4>5</vt:i4>
      </vt:variant>
      <vt:variant>
        <vt:lpwstr>http://www.nevo.co.il/Law_word/law06/tak-6471.pdf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התעבורה (איסור שימוש ברכב - מגרשי אחסנה), תשס"ו-2006;תקנות התעבורה (איסור שימוש ברכב - מגרשי אחסנה) (הוראת שעה)</vt:lpwstr>
  </property>
  <property fmtid="{D5CDD505-2E9C-101B-9397-08002B2CF9AE}" pid="4" name="LAWNUMBER">
    <vt:lpwstr>0598</vt:lpwstr>
  </property>
  <property fmtid="{D5CDD505-2E9C-101B-9397-08002B2CF9AE}" pid="5" name="TYPE">
    <vt:lpwstr>01</vt:lpwstr>
  </property>
  <property fmtid="{D5CDD505-2E9C-101B-9397-08002B2CF9AE}" pid="6" name="CHNAME">
    <vt:lpwstr>תעבורה</vt:lpwstr>
  </property>
  <property fmtid="{D5CDD505-2E9C-101B-9397-08002B2CF9AE}" pid="7" name="LINKK2">
    <vt:lpwstr>http://www.nevo.co.il/Law_word/law06/tak-6852.pdf;‎רשומות - תקנות כלליות#ק"ת תש"ע מס' ‏‏6852 #מיום 1.1.2010 עמ' 590 – תק' תש"ע-2010‏</vt:lpwstr>
  </property>
  <property fmtid="{D5CDD505-2E9C-101B-9397-08002B2CF9AE}" pid="8" name="LINKK3">
    <vt:lpwstr>http://www.nevo.co.il/Law_word/law06/TAK-6959.pdf;‎רשומות - תקנות כלליות#ק"ת תשע"א מס' ‏‏6959# מיום 30.12.2010 עמ' 420 – תק' תשע"א-2010‏</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http://www.nevo.co.il/Law_word/law06/tak-6736.pdf;‎רשומות - תקנות כלליות#ק"ת תשס"ט מס' ‏‏6736 #מיום 31.12.2008 עמ' 291 – תק' תשס"ט-2008‏</vt:lpwstr>
  </property>
  <property fmtid="{D5CDD505-2E9C-101B-9397-08002B2CF9AE}" pid="22" name="MEKORSAMCHUT">
    <vt:lpwstr/>
  </property>
  <property fmtid="{D5CDD505-2E9C-101B-9397-08002B2CF9AE}" pid="23" name="MEKOR_NAME1">
    <vt:lpwstr>פקודת התעבורה </vt:lpwstr>
  </property>
  <property fmtid="{D5CDD505-2E9C-101B-9397-08002B2CF9AE}" pid="24" name="MEKOR_SAIF1">
    <vt:lpwstr>57אXבX2X;57וX</vt:lpwstr>
  </property>
  <property fmtid="{D5CDD505-2E9C-101B-9397-08002B2CF9AE}" pid="25" name="NOSE11">
    <vt:lpwstr>רשויות ומשפט מנהלי</vt:lpwstr>
  </property>
  <property fmtid="{D5CDD505-2E9C-101B-9397-08002B2CF9AE}" pid="26" name="NOSE21">
    <vt:lpwstr>תעבורה</vt:lpwstr>
  </property>
  <property fmtid="{D5CDD505-2E9C-101B-9397-08002B2CF9AE}" pid="27" name="NOSE31">
    <vt:lpwstr>רכב</vt:lpwstr>
  </property>
  <property fmtid="{D5CDD505-2E9C-101B-9397-08002B2CF9AE}" pid="28" name="NOSE41">
    <vt:lpwstr>איסור שימוש ברכב</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