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7889" w:rsidRDefault="00447889">
      <w:pPr>
        <w:pStyle w:val="big-header"/>
        <w:ind w:left="0" w:right="1134"/>
        <w:rPr>
          <w:rFonts w:cs="FrankRuehl" w:hint="cs"/>
          <w:sz w:val="32"/>
          <w:rtl/>
        </w:rPr>
      </w:pPr>
      <w:r>
        <w:rPr>
          <w:rFonts w:cs="FrankRuehl"/>
          <w:sz w:val="32"/>
          <w:rtl/>
        </w:rPr>
        <w:t>תקנות התעבורה (הגשת צילומים לבית המשפט), תשנ"ז</w:t>
      </w:r>
      <w:r>
        <w:rPr>
          <w:rFonts w:cs="FrankRuehl" w:hint="cs"/>
          <w:sz w:val="32"/>
          <w:rtl/>
        </w:rPr>
        <w:t>-</w:t>
      </w:r>
      <w:r>
        <w:rPr>
          <w:rFonts w:cs="FrankRuehl"/>
          <w:sz w:val="32"/>
          <w:rtl/>
        </w:rPr>
        <w:t>1997</w:t>
      </w:r>
    </w:p>
    <w:p w:rsidR="00E461EE" w:rsidRDefault="00E461EE" w:rsidP="00E461EE">
      <w:pPr>
        <w:spacing w:line="320" w:lineRule="auto"/>
        <w:jc w:val="left"/>
        <w:rPr>
          <w:rFonts w:cs="FrankRuehl" w:hint="cs"/>
          <w:szCs w:val="26"/>
          <w:rtl/>
        </w:rPr>
      </w:pPr>
    </w:p>
    <w:p w:rsidR="00A464AA" w:rsidRPr="00E461EE" w:rsidRDefault="00A464AA" w:rsidP="00E461EE">
      <w:pPr>
        <w:spacing w:line="320" w:lineRule="auto"/>
        <w:jc w:val="left"/>
        <w:rPr>
          <w:rFonts w:cs="FrankRuehl" w:hint="cs"/>
          <w:szCs w:val="26"/>
          <w:rtl/>
        </w:rPr>
      </w:pPr>
    </w:p>
    <w:p w:rsidR="00E461EE" w:rsidRDefault="00E461EE" w:rsidP="00E461EE">
      <w:pPr>
        <w:spacing w:line="320" w:lineRule="auto"/>
        <w:jc w:val="left"/>
        <w:rPr>
          <w:rFonts w:cs="Miriam"/>
          <w:szCs w:val="22"/>
          <w:rtl/>
        </w:rPr>
      </w:pPr>
      <w:r w:rsidRPr="00E461EE">
        <w:rPr>
          <w:rFonts w:cs="Miriam"/>
          <w:szCs w:val="22"/>
          <w:rtl/>
        </w:rPr>
        <w:t>רשויות ומשפט מנהלי</w:t>
      </w:r>
      <w:r w:rsidRPr="00E461EE">
        <w:rPr>
          <w:rFonts w:cs="FrankRuehl"/>
          <w:szCs w:val="26"/>
          <w:rtl/>
        </w:rPr>
        <w:t xml:space="preserve"> – תעבורה – עבירות וביהמ"ש – סדרי דין</w:t>
      </w:r>
    </w:p>
    <w:p w:rsidR="00E461EE" w:rsidRDefault="00E461EE" w:rsidP="00E461EE">
      <w:pPr>
        <w:spacing w:line="320" w:lineRule="auto"/>
        <w:jc w:val="left"/>
        <w:rPr>
          <w:rFonts w:cs="Miriam"/>
          <w:szCs w:val="22"/>
          <w:rtl/>
        </w:rPr>
      </w:pPr>
      <w:r w:rsidRPr="00E461EE">
        <w:rPr>
          <w:rFonts w:cs="Miriam"/>
          <w:szCs w:val="22"/>
          <w:rtl/>
        </w:rPr>
        <w:t>בתי משפט וסדרי דין</w:t>
      </w:r>
      <w:r w:rsidRPr="00E461EE">
        <w:rPr>
          <w:rFonts w:cs="FrankRuehl"/>
          <w:szCs w:val="26"/>
          <w:rtl/>
        </w:rPr>
        <w:t xml:space="preserve"> – סדר דין פלילי</w:t>
      </w:r>
    </w:p>
    <w:p w:rsidR="00E461EE" w:rsidRDefault="00E461EE" w:rsidP="00E461EE">
      <w:pPr>
        <w:spacing w:line="320" w:lineRule="auto"/>
        <w:jc w:val="left"/>
        <w:rPr>
          <w:rFonts w:cs="Miriam"/>
          <w:szCs w:val="22"/>
          <w:rtl/>
        </w:rPr>
      </w:pPr>
      <w:r w:rsidRPr="00E461EE">
        <w:rPr>
          <w:rFonts w:cs="Miriam"/>
          <w:szCs w:val="22"/>
          <w:rtl/>
        </w:rPr>
        <w:t>בתי משפט וסדרי דין</w:t>
      </w:r>
      <w:r w:rsidRPr="00E461EE">
        <w:rPr>
          <w:rFonts w:cs="FrankRuehl"/>
          <w:szCs w:val="26"/>
          <w:rtl/>
        </w:rPr>
        <w:t xml:space="preserve"> – ראיות</w:t>
      </w:r>
    </w:p>
    <w:p w:rsidR="00CB3EE8" w:rsidRPr="00E461EE" w:rsidRDefault="00E461EE" w:rsidP="00E461EE">
      <w:pPr>
        <w:spacing w:line="320" w:lineRule="auto"/>
        <w:jc w:val="left"/>
        <w:rPr>
          <w:rFonts w:cs="Miriam"/>
          <w:szCs w:val="22"/>
          <w:rtl/>
        </w:rPr>
      </w:pPr>
      <w:r w:rsidRPr="00E461EE">
        <w:rPr>
          <w:rFonts w:cs="Miriam"/>
          <w:szCs w:val="22"/>
          <w:rtl/>
        </w:rPr>
        <w:t>בתי משפט וסדרי דין</w:t>
      </w:r>
      <w:r w:rsidRPr="00E461EE">
        <w:rPr>
          <w:rFonts w:cs="FrankRuehl"/>
          <w:szCs w:val="26"/>
          <w:rtl/>
        </w:rPr>
        <w:t xml:space="preserve"> – בתי משפט ובתי דין – בימ"ש לתעבורה</w:t>
      </w:r>
    </w:p>
    <w:p w:rsidR="00447889" w:rsidRDefault="004478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A512F" w:rsidRPr="00AA512F" w:rsidTr="00AA512F">
        <w:tblPrEx>
          <w:tblCellMar>
            <w:top w:w="0" w:type="dxa"/>
            <w:bottom w:w="0" w:type="dxa"/>
          </w:tblCellMar>
        </w:tblPrEx>
        <w:tc>
          <w:tcPr>
            <w:tcW w:w="1247" w:type="dxa"/>
          </w:tcPr>
          <w:p w:rsidR="00AA512F" w:rsidRPr="00AA512F" w:rsidRDefault="00AA512F" w:rsidP="00AA512F">
            <w:pPr>
              <w:spacing w:line="240" w:lineRule="auto"/>
              <w:jc w:val="left"/>
              <w:rPr>
                <w:rFonts w:cs="Frankruhel"/>
                <w:sz w:val="24"/>
                <w:rtl/>
              </w:rPr>
            </w:pPr>
            <w:r>
              <w:rPr>
                <w:sz w:val="24"/>
                <w:rtl/>
              </w:rPr>
              <w:t xml:space="preserve">סעיף 1 </w:t>
            </w:r>
          </w:p>
        </w:tc>
        <w:tc>
          <w:tcPr>
            <w:tcW w:w="5669" w:type="dxa"/>
          </w:tcPr>
          <w:p w:rsidR="00AA512F" w:rsidRPr="00AA512F" w:rsidRDefault="00AA512F" w:rsidP="00AA512F">
            <w:pPr>
              <w:spacing w:line="240" w:lineRule="auto"/>
              <w:jc w:val="left"/>
              <w:rPr>
                <w:rFonts w:cs="Frankruhel"/>
                <w:sz w:val="24"/>
                <w:rtl/>
              </w:rPr>
            </w:pPr>
            <w:r>
              <w:rPr>
                <w:sz w:val="24"/>
                <w:rtl/>
              </w:rPr>
              <w:t>הגדרות</w:t>
            </w:r>
          </w:p>
        </w:tc>
        <w:tc>
          <w:tcPr>
            <w:tcW w:w="567" w:type="dxa"/>
          </w:tcPr>
          <w:p w:rsidR="00AA512F" w:rsidRPr="00AA512F" w:rsidRDefault="00AA512F" w:rsidP="00AA512F">
            <w:pPr>
              <w:spacing w:line="240" w:lineRule="auto"/>
              <w:jc w:val="left"/>
              <w:rPr>
                <w:rStyle w:val="Hyperlink"/>
                <w:rtl/>
              </w:rPr>
            </w:pPr>
            <w:hyperlink w:anchor="Seif1" w:tooltip="הגדרות" w:history="1">
              <w:r w:rsidRPr="00AA512F">
                <w:rPr>
                  <w:rStyle w:val="Hyperlink"/>
                </w:rPr>
                <w:t>Go</w:t>
              </w:r>
            </w:hyperlink>
          </w:p>
        </w:tc>
        <w:tc>
          <w:tcPr>
            <w:tcW w:w="850" w:type="dxa"/>
          </w:tcPr>
          <w:p w:rsidR="00AA512F" w:rsidRPr="00AA512F" w:rsidRDefault="00AA512F" w:rsidP="00AA51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A512F" w:rsidRPr="00AA512F" w:rsidTr="00AA512F">
        <w:tblPrEx>
          <w:tblCellMar>
            <w:top w:w="0" w:type="dxa"/>
            <w:bottom w:w="0" w:type="dxa"/>
          </w:tblCellMar>
        </w:tblPrEx>
        <w:tc>
          <w:tcPr>
            <w:tcW w:w="1247" w:type="dxa"/>
          </w:tcPr>
          <w:p w:rsidR="00AA512F" w:rsidRPr="00AA512F" w:rsidRDefault="00AA512F" w:rsidP="00AA512F">
            <w:pPr>
              <w:spacing w:line="240" w:lineRule="auto"/>
              <w:jc w:val="left"/>
              <w:rPr>
                <w:rFonts w:cs="Frankruhel"/>
                <w:sz w:val="24"/>
                <w:rtl/>
              </w:rPr>
            </w:pPr>
            <w:r>
              <w:rPr>
                <w:sz w:val="24"/>
                <w:rtl/>
              </w:rPr>
              <w:t xml:space="preserve">סעיף 2 </w:t>
            </w:r>
          </w:p>
        </w:tc>
        <w:tc>
          <w:tcPr>
            <w:tcW w:w="5669" w:type="dxa"/>
          </w:tcPr>
          <w:p w:rsidR="00AA512F" w:rsidRPr="00AA512F" w:rsidRDefault="00AA512F" w:rsidP="00AA512F">
            <w:pPr>
              <w:spacing w:line="240" w:lineRule="auto"/>
              <w:jc w:val="left"/>
              <w:rPr>
                <w:rFonts w:cs="Frankruhel"/>
                <w:sz w:val="24"/>
                <w:rtl/>
              </w:rPr>
            </w:pPr>
            <w:r>
              <w:rPr>
                <w:sz w:val="24"/>
                <w:rtl/>
              </w:rPr>
              <w:t>בדיקת תקינות מצלמה</w:t>
            </w:r>
          </w:p>
        </w:tc>
        <w:tc>
          <w:tcPr>
            <w:tcW w:w="567" w:type="dxa"/>
          </w:tcPr>
          <w:p w:rsidR="00AA512F" w:rsidRPr="00AA512F" w:rsidRDefault="00AA512F" w:rsidP="00AA512F">
            <w:pPr>
              <w:spacing w:line="240" w:lineRule="auto"/>
              <w:jc w:val="left"/>
              <w:rPr>
                <w:rStyle w:val="Hyperlink"/>
                <w:rtl/>
              </w:rPr>
            </w:pPr>
            <w:hyperlink w:anchor="Seif2" w:tooltip="בדיקת תקינות מצלמה" w:history="1">
              <w:r w:rsidRPr="00AA512F">
                <w:rPr>
                  <w:rStyle w:val="Hyperlink"/>
                </w:rPr>
                <w:t>Go</w:t>
              </w:r>
            </w:hyperlink>
          </w:p>
        </w:tc>
        <w:tc>
          <w:tcPr>
            <w:tcW w:w="850" w:type="dxa"/>
          </w:tcPr>
          <w:p w:rsidR="00AA512F" w:rsidRPr="00AA512F" w:rsidRDefault="00AA512F" w:rsidP="00AA51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A512F" w:rsidRPr="00AA512F" w:rsidTr="00AA512F">
        <w:tblPrEx>
          <w:tblCellMar>
            <w:top w:w="0" w:type="dxa"/>
            <w:bottom w:w="0" w:type="dxa"/>
          </w:tblCellMar>
        </w:tblPrEx>
        <w:tc>
          <w:tcPr>
            <w:tcW w:w="1247" w:type="dxa"/>
          </w:tcPr>
          <w:p w:rsidR="00AA512F" w:rsidRPr="00AA512F" w:rsidRDefault="00AA512F" w:rsidP="00AA512F">
            <w:pPr>
              <w:spacing w:line="240" w:lineRule="auto"/>
              <w:jc w:val="left"/>
              <w:rPr>
                <w:rFonts w:cs="Frankruhel"/>
                <w:sz w:val="24"/>
                <w:rtl/>
              </w:rPr>
            </w:pPr>
            <w:r>
              <w:rPr>
                <w:sz w:val="24"/>
                <w:rtl/>
              </w:rPr>
              <w:t xml:space="preserve">סעיף 3 </w:t>
            </w:r>
          </w:p>
        </w:tc>
        <w:tc>
          <w:tcPr>
            <w:tcW w:w="5669" w:type="dxa"/>
          </w:tcPr>
          <w:p w:rsidR="00AA512F" w:rsidRPr="00AA512F" w:rsidRDefault="00AA512F" w:rsidP="00AA512F">
            <w:pPr>
              <w:spacing w:line="240" w:lineRule="auto"/>
              <w:jc w:val="left"/>
              <w:rPr>
                <w:rFonts w:cs="Frankruhel"/>
                <w:sz w:val="24"/>
                <w:rtl/>
              </w:rPr>
            </w:pPr>
            <w:r>
              <w:rPr>
                <w:sz w:val="24"/>
                <w:rtl/>
              </w:rPr>
              <w:t>הפקת צילום וטיפול בסרט</w:t>
            </w:r>
          </w:p>
        </w:tc>
        <w:tc>
          <w:tcPr>
            <w:tcW w:w="567" w:type="dxa"/>
          </w:tcPr>
          <w:p w:rsidR="00AA512F" w:rsidRPr="00AA512F" w:rsidRDefault="00AA512F" w:rsidP="00AA512F">
            <w:pPr>
              <w:spacing w:line="240" w:lineRule="auto"/>
              <w:jc w:val="left"/>
              <w:rPr>
                <w:rStyle w:val="Hyperlink"/>
                <w:rtl/>
              </w:rPr>
            </w:pPr>
            <w:hyperlink w:anchor="Seif3" w:tooltip="הפקת צילום וטיפול בסרט" w:history="1">
              <w:r w:rsidRPr="00AA512F">
                <w:rPr>
                  <w:rStyle w:val="Hyperlink"/>
                </w:rPr>
                <w:t>Go</w:t>
              </w:r>
            </w:hyperlink>
          </w:p>
        </w:tc>
        <w:tc>
          <w:tcPr>
            <w:tcW w:w="850" w:type="dxa"/>
          </w:tcPr>
          <w:p w:rsidR="00AA512F" w:rsidRPr="00AA512F" w:rsidRDefault="00AA512F" w:rsidP="00AA51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A512F" w:rsidRPr="00AA512F" w:rsidTr="00AA512F">
        <w:tblPrEx>
          <w:tblCellMar>
            <w:top w:w="0" w:type="dxa"/>
            <w:bottom w:w="0" w:type="dxa"/>
          </w:tblCellMar>
        </w:tblPrEx>
        <w:tc>
          <w:tcPr>
            <w:tcW w:w="1247" w:type="dxa"/>
          </w:tcPr>
          <w:p w:rsidR="00AA512F" w:rsidRPr="00AA512F" w:rsidRDefault="00AA512F" w:rsidP="00AA512F">
            <w:pPr>
              <w:spacing w:line="240" w:lineRule="auto"/>
              <w:jc w:val="left"/>
              <w:rPr>
                <w:rFonts w:cs="Frankruhel"/>
                <w:sz w:val="24"/>
                <w:rtl/>
              </w:rPr>
            </w:pPr>
            <w:r>
              <w:rPr>
                <w:sz w:val="24"/>
                <w:rtl/>
              </w:rPr>
              <w:t xml:space="preserve">סעיף 4 </w:t>
            </w:r>
          </w:p>
        </w:tc>
        <w:tc>
          <w:tcPr>
            <w:tcW w:w="5669" w:type="dxa"/>
          </w:tcPr>
          <w:p w:rsidR="00AA512F" w:rsidRPr="00AA512F" w:rsidRDefault="00AA512F" w:rsidP="00AA512F">
            <w:pPr>
              <w:spacing w:line="240" w:lineRule="auto"/>
              <w:jc w:val="left"/>
              <w:rPr>
                <w:rFonts w:cs="Frankruhel"/>
                <w:sz w:val="24"/>
                <w:rtl/>
              </w:rPr>
            </w:pPr>
            <w:r>
              <w:rPr>
                <w:sz w:val="24"/>
                <w:rtl/>
              </w:rPr>
              <w:t>אישור פעולה</w:t>
            </w:r>
          </w:p>
        </w:tc>
        <w:tc>
          <w:tcPr>
            <w:tcW w:w="567" w:type="dxa"/>
          </w:tcPr>
          <w:p w:rsidR="00AA512F" w:rsidRPr="00AA512F" w:rsidRDefault="00AA512F" w:rsidP="00AA512F">
            <w:pPr>
              <w:spacing w:line="240" w:lineRule="auto"/>
              <w:jc w:val="left"/>
              <w:rPr>
                <w:rStyle w:val="Hyperlink"/>
                <w:rtl/>
              </w:rPr>
            </w:pPr>
            <w:hyperlink w:anchor="Seif4" w:tooltip="אישור פעולה" w:history="1">
              <w:r w:rsidRPr="00AA512F">
                <w:rPr>
                  <w:rStyle w:val="Hyperlink"/>
                </w:rPr>
                <w:t>Go</w:t>
              </w:r>
            </w:hyperlink>
          </w:p>
        </w:tc>
        <w:tc>
          <w:tcPr>
            <w:tcW w:w="850" w:type="dxa"/>
          </w:tcPr>
          <w:p w:rsidR="00AA512F" w:rsidRPr="00AA512F" w:rsidRDefault="00AA512F" w:rsidP="00AA51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A512F" w:rsidRPr="00AA512F" w:rsidTr="00AA512F">
        <w:tblPrEx>
          <w:tblCellMar>
            <w:top w:w="0" w:type="dxa"/>
            <w:bottom w:w="0" w:type="dxa"/>
          </w:tblCellMar>
        </w:tblPrEx>
        <w:tc>
          <w:tcPr>
            <w:tcW w:w="1247" w:type="dxa"/>
          </w:tcPr>
          <w:p w:rsidR="00AA512F" w:rsidRPr="00AA512F" w:rsidRDefault="00AA512F" w:rsidP="00AA512F">
            <w:pPr>
              <w:spacing w:line="240" w:lineRule="auto"/>
              <w:jc w:val="left"/>
              <w:rPr>
                <w:rFonts w:cs="Frankruhel"/>
                <w:sz w:val="24"/>
                <w:rtl/>
              </w:rPr>
            </w:pPr>
            <w:r>
              <w:rPr>
                <w:sz w:val="24"/>
                <w:rtl/>
              </w:rPr>
              <w:t xml:space="preserve">סעיף 5 </w:t>
            </w:r>
          </w:p>
        </w:tc>
        <w:tc>
          <w:tcPr>
            <w:tcW w:w="5669" w:type="dxa"/>
          </w:tcPr>
          <w:p w:rsidR="00AA512F" w:rsidRPr="00AA512F" w:rsidRDefault="00AA512F" w:rsidP="00AA512F">
            <w:pPr>
              <w:spacing w:line="240" w:lineRule="auto"/>
              <w:jc w:val="left"/>
              <w:rPr>
                <w:rFonts w:cs="Frankruhel"/>
                <w:sz w:val="24"/>
                <w:rtl/>
              </w:rPr>
            </w:pPr>
            <w:r>
              <w:rPr>
                <w:sz w:val="24"/>
                <w:rtl/>
              </w:rPr>
              <w:t>הגשת צילומים</w:t>
            </w:r>
          </w:p>
        </w:tc>
        <w:tc>
          <w:tcPr>
            <w:tcW w:w="567" w:type="dxa"/>
          </w:tcPr>
          <w:p w:rsidR="00AA512F" w:rsidRPr="00AA512F" w:rsidRDefault="00AA512F" w:rsidP="00AA512F">
            <w:pPr>
              <w:spacing w:line="240" w:lineRule="auto"/>
              <w:jc w:val="left"/>
              <w:rPr>
                <w:rStyle w:val="Hyperlink"/>
                <w:rtl/>
              </w:rPr>
            </w:pPr>
            <w:hyperlink w:anchor="Seif5" w:tooltip="הגשת צילומים" w:history="1">
              <w:r w:rsidRPr="00AA512F">
                <w:rPr>
                  <w:rStyle w:val="Hyperlink"/>
                </w:rPr>
                <w:t>Go</w:t>
              </w:r>
            </w:hyperlink>
          </w:p>
        </w:tc>
        <w:tc>
          <w:tcPr>
            <w:tcW w:w="850" w:type="dxa"/>
          </w:tcPr>
          <w:p w:rsidR="00AA512F" w:rsidRPr="00AA512F" w:rsidRDefault="00AA512F" w:rsidP="00AA51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A512F" w:rsidRPr="00AA512F" w:rsidTr="00AA512F">
        <w:tblPrEx>
          <w:tblCellMar>
            <w:top w:w="0" w:type="dxa"/>
            <w:bottom w:w="0" w:type="dxa"/>
          </w:tblCellMar>
        </w:tblPrEx>
        <w:tc>
          <w:tcPr>
            <w:tcW w:w="1247" w:type="dxa"/>
          </w:tcPr>
          <w:p w:rsidR="00AA512F" w:rsidRPr="00AA512F" w:rsidRDefault="00AA512F" w:rsidP="00AA512F">
            <w:pPr>
              <w:spacing w:line="240" w:lineRule="auto"/>
              <w:jc w:val="left"/>
              <w:rPr>
                <w:rFonts w:cs="Frankruhel"/>
                <w:sz w:val="24"/>
                <w:rtl/>
              </w:rPr>
            </w:pPr>
            <w:r>
              <w:rPr>
                <w:sz w:val="24"/>
                <w:rtl/>
              </w:rPr>
              <w:t xml:space="preserve">סעיף 6 </w:t>
            </w:r>
          </w:p>
        </w:tc>
        <w:tc>
          <w:tcPr>
            <w:tcW w:w="5669" w:type="dxa"/>
          </w:tcPr>
          <w:p w:rsidR="00AA512F" w:rsidRPr="00AA512F" w:rsidRDefault="00AA512F" w:rsidP="00AA512F">
            <w:pPr>
              <w:spacing w:line="240" w:lineRule="auto"/>
              <w:jc w:val="left"/>
              <w:rPr>
                <w:rFonts w:cs="Frankruhel"/>
                <w:sz w:val="24"/>
                <w:rtl/>
              </w:rPr>
            </w:pPr>
            <w:r>
              <w:rPr>
                <w:sz w:val="24"/>
                <w:rtl/>
              </w:rPr>
              <w:t>ביטול</w:t>
            </w:r>
          </w:p>
        </w:tc>
        <w:tc>
          <w:tcPr>
            <w:tcW w:w="567" w:type="dxa"/>
          </w:tcPr>
          <w:p w:rsidR="00AA512F" w:rsidRPr="00AA512F" w:rsidRDefault="00AA512F" w:rsidP="00AA512F">
            <w:pPr>
              <w:spacing w:line="240" w:lineRule="auto"/>
              <w:jc w:val="left"/>
              <w:rPr>
                <w:rStyle w:val="Hyperlink"/>
                <w:rtl/>
              </w:rPr>
            </w:pPr>
            <w:hyperlink w:anchor="Seif6" w:tooltip="ביטול" w:history="1">
              <w:r w:rsidRPr="00AA512F">
                <w:rPr>
                  <w:rStyle w:val="Hyperlink"/>
                </w:rPr>
                <w:t>Go</w:t>
              </w:r>
            </w:hyperlink>
          </w:p>
        </w:tc>
        <w:tc>
          <w:tcPr>
            <w:tcW w:w="850" w:type="dxa"/>
          </w:tcPr>
          <w:p w:rsidR="00AA512F" w:rsidRPr="00AA512F" w:rsidRDefault="00AA512F" w:rsidP="00AA51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A512F" w:rsidRPr="00AA512F" w:rsidTr="00AA512F">
        <w:tblPrEx>
          <w:tblCellMar>
            <w:top w:w="0" w:type="dxa"/>
            <w:bottom w:w="0" w:type="dxa"/>
          </w:tblCellMar>
        </w:tblPrEx>
        <w:tc>
          <w:tcPr>
            <w:tcW w:w="1247" w:type="dxa"/>
          </w:tcPr>
          <w:p w:rsidR="00AA512F" w:rsidRPr="00AA512F" w:rsidRDefault="00AA512F" w:rsidP="00AA512F">
            <w:pPr>
              <w:spacing w:line="240" w:lineRule="auto"/>
              <w:jc w:val="left"/>
              <w:rPr>
                <w:rFonts w:cs="Frankruhel"/>
                <w:sz w:val="24"/>
                <w:rtl/>
              </w:rPr>
            </w:pPr>
            <w:r>
              <w:rPr>
                <w:sz w:val="24"/>
                <w:rtl/>
              </w:rPr>
              <w:t xml:space="preserve">סעיף 7 </w:t>
            </w:r>
          </w:p>
        </w:tc>
        <w:tc>
          <w:tcPr>
            <w:tcW w:w="5669" w:type="dxa"/>
          </w:tcPr>
          <w:p w:rsidR="00AA512F" w:rsidRPr="00AA512F" w:rsidRDefault="00AA512F" w:rsidP="00AA512F">
            <w:pPr>
              <w:spacing w:line="240" w:lineRule="auto"/>
              <w:jc w:val="left"/>
              <w:rPr>
                <w:rFonts w:cs="Frankruhel"/>
                <w:sz w:val="24"/>
                <w:rtl/>
              </w:rPr>
            </w:pPr>
            <w:r>
              <w:rPr>
                <w:sz w:val="24"/>
                <w:rtl/>
              </w:rPr>
              <w:t>תחילה</w:t>
            </w:r>
          </w:p>
        </w:tc>
        <w:tc>
          <w:tcPr>
            <w:tcW w:w="567" w:type="dxa"/>
          </w:tcPr>
          <w:p w:rsidR="00AA512F" w:rsidRPr="00AA512F" w:rsidRDefault="00AA512F" w:rsidP="00AA512F">
            <w:pPr>
              <w:spacing w:line="240" w:lineRule="auto"/>
              <w:jc w:val="left"/>
              <w:rPr>
                <w:rStyle w:val="Hyperlink"/>
                <w:rtl/>
              </w:rPr>
            </w:pPr>
            <w:hyperlink w:anchor="Seif7" w:tooltip="תחילה" w:history="1">
              <w:r w:rsidRPr="00AA512F">
                <w:rPr>
                  <w:rStyle w:val="Hyperlink"/>
                </w:rPr>
                <w:t>Go</w:t>
              </w:r>
            </w:hyperlink>
          </w:p>
        </w:tc>
        <w:tc>
          <w:tcPr>
            <w:tcW w:w="850" w:type="dxa"/>
          </w:tcPr>
          <w:p w:rsidR="00AA512F" w:rsidRPr="00AA512F" w:rsidRDefault="00AA512F" w:rsidP="00AA51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447889" w:rsidRDefault="00447889">
      <w:pPr>
        <w:pStyle w:val="big-header"/>
        <w:ind w:left="0" w:right="1134"/>
        <w:rPr>
          <w:rFonts w:cs="FrankRuehl"/>
          <w:sz w:val="32"/>
          <w:rtl/>
        </w:rPr>
      </w:pPr>
    </w:p>
    <w:p w:rsidR="00447889" w:rsidRDefault="00447889" w:rsidP="00A464AA">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התעבורה (הגשת צילומים לבית המשפט), תשנ"ז-</w:t>
      </w:r>
      <w:r>
        <w:rPr>
          <w:rFonts w:cs="FrankRuehl"/>
          <w:sz w:val="32"/>
          <w:rtl/>
        </w:rPr>
        <w:t>1997</w:t>
      </w:r>
      <w:r>
        <w:rPr>
          <w:rStyle w:val="default"/>
          <w:rtl/>
        </w:rPr>
        <w:footnoteReference w:customMarkFollows="1" w:id="1"/>
        <w:t>*</w:t>
      </w:r>
    </w:p>
    <w:p w:rsidR="00447889" w:rsidRDefault="0044788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סעיף 27א(ב) לפקודת התעבורה (להלן </w:t>
      </w:r>
      <w:r w:rsidR="00A464AA">
        <w:rPr>
          <w:rStyle w:val="default"/>
          <w:rFonts w:cs="FrankRuehl"/>
          <w:rtl/>
        </w:rPr>
        <w:t>–</w:t>
      </w:r>
      <w:r>
        <w:rPr>
          <w:rStyle w:val="default"/>
          <w:rFonts w:cs="FrankRuehl"/>
          <w:rtl/>
        </w:rPr>
        <w:t xml:space="preserve"> </w:t>
      </w:r>
      <w:r>
        <w:rPr>
          <w:rStyle w:val="default"/>
          <w:rFonts w:cs="FrankRuehl" w:hint="cs"/>
          <w:rtl/>
        </w:rPr>
        <w:t>הפקודה), אני מתקין תקנות אלה:</w:t>
      </w:r>
    </w:p>
    <w:p w:rsidR="00447889" w:rsidRDefault="00447889">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2pt;z-index:251654144" o:allowincell="f" filled="f" stroked="f" strokecolor="lime" strokeweight=".25pt">
            <v:textbox style="mso-next-textbox:#_x0000_s1026" inset="0,0,0,0">
              <w:txbxContent>
                <w:p w:rsidR="00447889" w:rsidRDefault="0044788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447889" w:rsidRDefault="0044788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צלמה" </w:t>
      </w:r>
      <w:r w:rsidR="00A464AA">
        <w:rPr>
          <w:rStyle w:val="default"/>
          <w:rFonts w:cs="FrankRuehl"/>
          <w:rtl/>
        </w:rPr>
        <w:t>–</w:t>
      </w:r>
      <w:r>
        <w:rPr>
          <w:rStyle w:val="default"/>
          <w:rFonts w:cs="FrankRuehl"/>
          <w:rtl/>
        </w:rPr>
        <w:t xml:space="preserve"> </w:t>
      </w:r>
      <w:r>
        <w:rPr>
          <w:rStyle w:val="default"/>
          <w:rFonts w:cs="FrankRuehl" w:hint="cs"/>
          <w:rtl/>
        </w:rPr>
        <w:t xml:space="preserve">מערכת המופעלת באופן אוטומטי או בידי שוטר לשם הפקת צילום כאמור בסעיף 27א </w:t>
      </w:r>
      <w:r>
        <w:rPr>
          <w:rStyle w:val="default"/>
          <w:rFonts w:cs="FrankRuehl"/>
          <w:rtl/>
        </w:rPr>
        <w:t>לפ</w:t>
      </w:r>
      <w:r>
        <w:rPr>
          <w:rStyle w:val="default"/>
          <w:rFonts w:cs="FrankRuehl" w:hint="cs"/>
          <w:rtl/>
        </w:rPr>
        <w:t xml:space="preserve">קודה (להלן </w:t>
      </w:r>
      <w:r w:rsidR="00A464AA">
        <w:rPr>
          <w:rStyle w:val="default"/>
          <w:rFonts w:cs="FrankRuehl"/>
          <w:rtl/>
        </w:rPr>
        <w:t>–</w:t>
      </w:r>
      <w:r>
        <w:rPr>
          <w:rStyle w:val="default"/>
          <w:rFonts w:cs="FrankRuehl"/>
          <w:rtl/>
        </w:rPr>
        <w:t xml:space="preserve"> </w:t>
      </w:r>
      <w:r>
        <w:rPr>
          <w:rStyle w:val="default"/>
          <w:rFonts w:cs="FrankRuehl" w:hint="cs"/>
          <w:rtl/>
        </w:rPr>
        <w:t>צילום), לרבות כל חלק או אבזר הגורם להפעלתה או המיועד לכך;</w:t>
      </w:r>
    </w:p>
    <w:p w:rsidR="00447889" w:rsidRDefault="00447889">
      <w:pPr>
        <w:pStyle w:val="P00"/>
        <w:spacing w:before="72"/>
        <w:ind w:left="0" w:right="1134"/>
        <w:rPr>
          <w:rStyle w:val="default"/>
          <w:rFonts w:cs="FrankRuehl" w:hint="cs"/>
          <w:rtl/>
        </w:rPr>
      </w:pPr>
      <w:r>
        <w:rPr>
          <w:lang w:val="he-IL"/>
        </w:rPr>
        <w:pict>
          <v:rect id="_x0000_s1027" style="position:absolute;left:0;text-align:left;margin-left:464.5pt;margin-top:8.05pt;width:75.05pt;height:8pt;z-index:251655168" o:allowincell="f" filled="f" stroked="f" strokecolor="lime" strokeweight=".25pt">
            <v:textbox style="mso-next-textbox:#_x0000_s1027" inset="0,0,0,0">
              <w:txbxContent>
                <w:p w:rsidR="00447889" w:rsidRDefault="00447889">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Pr>
          <w:rFonts w:cs="FrankRuehl"/>
          <w:sz w:val="26"/>
          <w:rtl/>
        </w:rPr>
        <w:tab/>
      </w:r>
      <w:r>
        <w:rPr>
          <w:rStyle w:val="default"/>
          <w:rFonts w:cs="FrankRuehl"/>
          <w:rtl/>
        </w:rPr>
        <w:t>"ק</w:t>
      </w:r>
      <w:r>
        <w:rPr>
          <w:rStyle w:val="default"/>
          <w:rFonts w:cs="FrankRuehl" w:hint="cs"/>
          <w:rtl/>
        </w:rPr>
        <w:t xml:space="preserve">צין משטרה בכיר" </w:t>
      </w:r>
      <w:r w:rsidR="00A464AA">
        <w:rPr>
          <w:rStyle w:val="default"/>
          <w:rFonts w:cs="FrankRuehl"/>
          <w:rtl/>
        </w:rPr>
        <w:t>–</w:t>
      </w:r>
      <w:r>
        <w:rPr>
          <w:rStyle w:val="default"/>
          <w:rFonts w:cs="FrankRuehl"/>
          <w:rtl/>
        </w:rPr>
        <w:t xml:space="preserve"> </w:t>
      </w:r>
      <w:r>
        <w:rPr>
          <w:rStyle w:val="default"/>
          <w:rFonts w:cs="FrankRuehl" w:hint="cs"/>
          <w:rtl/>
        </w:rPr>
        <w:t>ראש מחלקה באגף התנועה של משטרת ישראל;</w:t>
      </w:r>
    </w:p>
    <w:p w:rsidR="00447889" w:rsidRPr="00A464AA" w:rsidRDefault="00447889">
      <w:pPr>
        <w:pStyle w:val="P00"/>
        <w:spacing w:before="0"/>
        <w:ind w:left="0" w:right="1134"/>
        <w:rPr>
          <w:rFonts w:cs="FrankRuehl" w:hint="cs"/>
          <w:b/>
          <w:bCs/>
          <w:vanish/>
          <w:szCs w:val="20"/>
          <w:shd w:val="clear" w:color="auto" w:fill="FFFF99"/>
          <w:rtl/>
        </w:rPr>
      </w:pPr>
      <w:bookmarkStart w:id="1" w:name="Rov10"/>
      <w:r w:rsidRPr="00A464AA">
        <w:rPr>
          <w:rFonts w:cs="FrankRuehl" w:hint="cs"/>
          <w:vanish/>
          <w:color w:val="FF0000"/>
          <w:szCs w:val="20"/>
          <w:shd w:val="clear" w:color="auto" w:fill="FFFF99"/>
          <w:rtl/>
        </w:rPr>
        <w:t>מיום 16.7.1999</w:t>
      </w:r>
    </w:p>
    <w:p w:rsidR="00447889" w:rsidRPr="00A464AA" w:rsidRDefault="00447889">
      <w:pPr>
        <w:pStyle w:val="P00"/>
        <w:spacing w:before="0"/>
        <w:ind w:left="0" w:right="1134"/>
        <w:rPr>
          <w:rFonts w:cs="FrankRuehl" w:hint="cs"/>
          <w:b/>
          <w:bCs/>
          <w:vanish/>
          <w:szCs w:val="20"/>
          <w:shd w:val="clear" w:color="auto" w:fill="FFFF99"/>
          <w:rtl/>
        </w:rPr>
      </w:pPr>
      <w:r w:rsidRPr="00A464AA">
        <w:rPr>
          <w:rFonts w:cs="FrankRuehl" w:hint="cs"/>
          <w:b/>
          <w:bCs/>
          <w:vanish/>
          <w:szCs w:val="20"/>
          <w:shd w:val="clear" w:color="auto" w:fill="FFFF99"/>
          <w:rtl/>
        </w:rPr>
        <w:t>תק' תשנ"ט-1999</w:t>
      </w:r>
    </w:p>
    <w:p w:rsidR="00447889" w:rsidRPr="00A464AA" w:rsidRDefault="00447889">
      <w:pPr>
        <w:pStyle w:val="P00"/>
        <w:tabs>
          <w:tab w:val="clear" w:pos="6259"/>
        </w:tabs>
        <w:spacing w:before="0"/>
        <w:ind w:left="0" w:right="1134"/>
        <w:rPr>
          <w:rFonts w:cs="FrankRuehl" w:hint="cs"/>
          <w:vanish/>
          <w:szCs w:val="20"/>
          <w:shd w:val="clear" w:color="auto" w:fill="FFFF99"/>
          <w:rtl/>
        </w:rPr>
      </w:pPr>
      <w:hyperlink r:id="rId6" w:history="1">
        <w:r w:rsidRPr="00A464AA">
          <w:rPr>
            <w:rStyle w:val="Hyperlink"/>
            <w:rFonts w:cs="FrankRuehl" w:hint="cs"/>
            <w:vanish/>
            <w:szCs w:val="20"/>
            <w:shd w:val="clear" w:color="auto" w:fill="FFFF99"/>
            <w:rtl/>
          </w:rPr>
          <w:t>ק"ת תשנ"ט מס' 5983</w:t>
        </w:r>
      </w:hyperlink>
      <w:r w:rsidRPr="00A464AA">
        <w:rPr>
          <w:rFonts w:cs="FrankRuehl" w:hint="cs"/>
          <w:vanish/>
          <w:szCs w:val="20"/>
          <w:shd w:val="clear" w:color="auto" w:fill="FFFF99"/>
          <w:rtl/>
        </w:rPr>
        <w:t xml:space="preserve"> מיום 16.6.1999 עמ' 968</w:t>
      </w:r>
    </w:p>
    <w:p w:rsidR="00447889" w:rsidRPr="00A464AA" w:rsidRDefault="00447889">
      <w:pPr>
        <w:pStyle w:val="P00"/>
        <w:tabs>
          <w:tab w:val="clear" w:pos="6259"/>
        </w:tabs>
        <w:spacing w:before="0"/>
        <w:ind w:left="0" w:right="1134"/>
        <w:rPr>
          <w:rFonts w:cs="FrankRuehl" w:hint="cs"/>
          <w:b/>
          <w:bCs/>
          <w:vanish/>
          <w:szCs w:val="20"/>
          <w:shd w:val="clear" w:color="auto" w:fill="FFFF99"/>
          <w:rtl/>
        </w:rPr>
      </w:pPr>
      <w:r w:rsidRPr="00A464AA">
        <w:rPr>
          <w:rFonts w:cs="FrankRuehl" w:hint="cs"/>
          <w:b/>
          <w:bCs/>
          <w:vanish/>
          <w:szCs w:val="20"/>
          <w:shd w:val="clear" w:color="auto" w:fill="FFFF99"/>
          <w:rtl/>
        </w:rPr>
        <w:t>החלפת הגדרת "קצין משטרה בכיר"</w:t>
      </w:r>
    </w:p>
    <w:p w:rsidR="00447889" w:rsidRPr="00A464AA" w:rsidRDefault="00447889">
      <w:pPr>
        <w:pStyle w:val="P00"/>
        <w:tabs>
          <w:tab w:val="clear" w:pos="6259"/>
        </w:tabs>
        <w:ind w:left="0" w:right="1134"/>
        <w:rPr>
          <w:rFonts w:cs="FrankRuehl" w:hint="cs"/>
          <w:vanish/>
          <w:szCs w:val="20"/>
          <w:shd w:val="clear" w:color="auto" w:fill="FFFF99"/>
          <w:rtl/>
        </w:rPr>
      </w:pPr>
      <w:r w:rsidRPr="00A464AA">
        <w:rPr>
          <w:rFonts w:cs="FrankRuehl" w:hint="cs"/>
          <w:vanish/>
          <w:szCs w:val="20"/>
          <w:shd w:val="clear" w:color="auto" w:fill="FFFF99"/>
          <w:rtl/>
        </w:rPr>
        <w:t>הנוסח הקודם:</w:t>
      </w:r>
    </w:p>
    <w:p w:rsidR="00447889" w:rsidRDefault="00447889">
      <w:pPr>
        <w:pStyle w:val="P00"/>
        <w:tabs>
          <w:tab w:val="clear" w:pos="6259"/>
        </w:tabs>
        <w:spacing w:before="0"/>
        <w:ind w:left="0" w:right="1134"/>
        <w:rPr>
          <w:rFonts w:cs="FrankRuehl" w:hint="cs"/>
          <w:strike/>
          <w:sz w:val="2"/>
          <w:szCs w:val="2"/>
          <w:rtl/>
        </w:rPr>
      </w:pPr>
      <w:r w:rsidRPr="00A464AA">
        <w:rPr>
          <w:rFonts w:cs="FrankRuehl" w:hint="cs"/>
          <w:vanish/>
          <w:sz w:val="22"/>
          <w:szCs w:val="22"/>
          <w:shd w:val="clear" w:color="auto" w:fill="FFFF99"/>
          <w:rtl/>
        </w:rPr>
        <w:tab/>
      </w:r>
      <w:r w:rsidRPr="00A464AA">
        <w:rPr>
          <w:rFonts w:cs="FrankRuehl" w:hint="cs"/>
          <w:strike/>
          <w:vanish/>
          <w:sz w:val="22"/>
          <w:szCs w:val="22"/>
          <w:shd w:val="clear" w:color="auto" w:fill="FFFF99"/>
          <w:rtl/>
        </w:rPr>
        <w:t xml:space="preserve">"קצין משטרה בכיר" </w:t>
      </w:r>
      <w:r w:rsidRPr="00A464AA">
        <w:rPr>
          <w:rFonts w:cs="FrankRuehl"/>
          <w:strike/>
          <w:vanish/>
          <w:sz w:val="22"/>
          <w:szCs w:val="22"/>
          <w:shd w:val="clear" w:color="auto" w:fill="FFFF99"/>
          <w:rtl/>
        </w:rPr>
        <w:t>–</w:t>
      </w:r>
      <w:r w:rsidRPr="00A464AA">
        <w:rPr>
          <w:rFonts w:cs="FrankRuehl" w:hint="cs"/>
          <w:strike/>
          <w:vanish/>
          <w:sz w:val="22"/>
          <w:szCs w:val="22"/>
          <w:shd w:val="clear" w:color="auto" w:fill="FFFF99"/>
          <w:rtl/>
        </w:rPr>
        <w:t xml:space="preserve"> ראש מחלקת התנועה או ראש מדור במחלקת התנועה של משטרת ישראל;</w:t>
      </w:r>
      <w:bookmarkEnd w:id="1"/>
    </w:p>
    <w:p w:rsidR="00447889" w:rsidRDefault="00447889">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רט" </w:t>
      </w:r>
      <w:r w:rsidR="00A464AA">
        <w:rPr>
          <w:rStyle w:val="default"/>
          <w:rFonts w:cs="FrankRuehl"/>
          <w:rtl/>
        </w:rPr>
        <w:t>–</w:t>
      </w:r>
      <w:r>
        <w:rPr>
          <w:rStyle w:val="default"/>
          <w:rFonts w:cs="FrankRuehl"/>
          <w:rtl/>
        </w:rPr>
        <w:t xml:space="preserve"> </w:t>
      </w:r>
      <w:r>
        <w:rPr>
          <w:rStyle w:val="default"/>
          <w:rFonts w:cs="FrankRuehl" w:hint="cs"/>
          <w:rtl/>
        </w:rPr>
        <w:t xml:space="preserve">אמצעי אחסון, לרבות קלטות, דיסקטים, תקליטורים וכל אופן אחר לאגירת מידע המופק מן המצלמה, לרבות מידע חזותי, </w:t>
      </w:r>
      <w:r>
        <w:rPr>
          <w:rStyle w:val="default"/>
          <w:rFonts w:cs="FrankRuehl"/>
          <w:rtl/>
        </w:rPr>
        <w:t>מ</w:t>
      </w:r>
      <w:r>
        <w:rPr>
          <w:rStyle w:val="default"/>
          <w:rFonts w:cs="FrankRuehl" w:hint="cs"/>
          <w:rtl/>
        </w:rPr>
        <w:t>ילולי או</w:t>
      </w:r>
      <w:r>
        <w:rPr>
          <w:rStyle w:val="default"/>
          <w:rFonts w:cs="FrankRuehl"/>
          <w:rtl/>
        </w:rPr>
        <w:t xml:space="preserve"> מ</w:t>
      </w:r>
      <w:r>
        <w:rPr>
          <w:rStyle w:val="default"/>
          <w:rFonts w:cs="FrankRuehl" w:hint="cs"/>
          <w:rtl/>
        </w:rPr>
        <w:t>ספרי;</w:t>
      </w:r>
    </w:p>
    <w:p w:rsidR="00447889" w:rsidRDefault="00447889">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ובע"</w:t>
      </w:r>
      <w:r w:rsidR="00A464AA">
        <w:rPr>
          <w:rStyle w:val="default"/>
          <w:rFonts w:cs="FrankRuehl" w:hint="cs"/>
          <w:rtl/>
        </w:rPr>
        <w:t xml:space="preserve"> </w:t>
      </w:r>
      <w:r w:rsidR="00A464AA">
        <w:rPr>
          <w:rStyle w:val="default"/>
          <w:rFonts w:cs="FrankRuehl"/>
          <w:rtl/>
        </w:rPr>
        <w:t>–</w:t>
      </w:r>
      <w:r w:rsidR="00A464AA">
        <w:rPr>
          <w:rStyle w:val="default"/>
          <w:rFonts w:cs="FrankRuehl" w:hint="cs"/>
          <w:rtl/>
        </w:rPr>
        <w:t xml:space="preserve"> </w:t>
      </w:r>
      <w:r>
        <w:rPr>
          <w:rStyle w:val="default"/>
          <w:rFonts w:cs="FrankRuehl" w:hint="cs"/>
          <w:rtl/>
        </w:rPr>
        <w:t>כמשמעותו בחוק סדר הדין הפלילי [נוסח משולב], תשמ"ב-</w:t>
      </w:r>
      <w:r>
        <w:rPr>
          <w:rStyle w:val="default"/>
          <w:rFonts w:cs="FrankRuehl"/>
          <w:rtl/>
        </w:rPr>
        <w:t>1982 (</w:t>
      </w:r>
      <w:r>
        <w:rPr>
          <w:rStyle w:val="default"/>
          <w:rFonts w:cs="FrankRuehl" w:hint="cs"/>
          <w:rtl/>
        </w:rPr>
        <w:t xml:space="preserve">להלן </w:t>
      </w:r>
      <w:r w:rsidR="00A464AA">
        <w:rPr>
          <w:rStyle w:val="default"/>
          <w:rFonts w:cs="FrankRuehl"/>
          <w:rtl/>
        </w:rPr>
        <w:t>–</w:t>
      </w:r>
      <w:r>
        <w:rPr>
          <w:rStyle w:val="default"/>
          <w:rFonts w:cs="FrankRuehl"/>
          <w:rtl/>
        </w:rPr>
        <w:t xml:space="preserve"> </w:t>
      </w:r>
      <w:r>
        <w:rPr>
          <w:rStyle w:val="default"/>
          <w:rFonts w:cs="FrankRuehl" w:hint="cs"/>
          <w:rtl/>
        </w:rPr>
        <w:t>חוק סדר הדין הפלילי), או תובע צבאי כמשמעותו בחלק ד' לחוק השיפוט הצבאי, תשט"ו-</w:t>
      </w:r>
      <w:r>
        <w:rPr>
          <w:rStyle w:val="default"/>
          <w:rFonts w:cs="FrankRuehl"/>
          <w:rtl/>
        </w:rPr>
        <w:t>1955;</w:t>
      </w:r>
    </w:p>
    <w:p w:rsidR="00447889" w:rsidRDefault="00447889">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וות דעת מומחה", "תצהיר" ו"תעודת עובד ציבור" </w:t>
      </w:r>
      <w:r w:rsidR="00A464AA">
        <w:rPr>
          <w:rStyle w:val="default"/>
          <w:rFonts w:cs="FrankRuehl"/>
          <w:rtl/>
        </w:rPr>
        <w:t>–</w:t>
      </w:r>
      <w:r>
        <w:rPr>
          <w:rStyle w:val="default"/>
          <w:rFonts w:cs="FrankRuehl"/>
          <w:rtl/>
        </w:rPr>
        <w:t xml:space="preserve"> כ</w:t>
      </w:r>
      <w:r>
        <w:rPr>
          <w:rStyle w:val="default"/>
          <w:rFonts w:cs="FrankRuehl" w:hint="cs"/>
          <w:rtl/>
        </w:rPr>
        <w:t>משמעותם בפקודת הראיות [נוסח חדש</w:t>
      </w:r>
      <w:r>
        <w:rPr>
          <w:rStyle w:val="default"/>
          <w:rFonts w:cs="FrankRuehl"/>
          <w:rtl/>
        </w:rPr>
        <w:t xml:space="preserve">], </w:t>
      </w:r>
      <w:r>
        <w:rPr>
          <w:rStyle w:val="default"/>
          <w:rFonts w:cs="FrankRuehl" w:hint="cs"/>
          <w:rtl/>
        </w:rPr>
        <w:t>תשל"א-1971.</w:t>
      </w:r>
    </w:p>
    <w:p w:rsidR="00447889" w:rsidRDefault="00447889">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5.3pt;z-index:251656192" o:allowincell="f" filled="f" stroked="f" strokecolor="lime" strokeweight=".25pt">
            <v:textbox style="mso-next-textbox:#_x0000_s1028" inset="0,0,0,0">
              <w:txbxContent>
                <w:p w:rsidR="00447889" w:rsidRDefault="00447889">
                  <w:pPr>
                    <w:spacing w:line="160" w:lineRule="exact"/>
                    <w:jc w:val="left"/>
                    <w:rPr>
                      <w:rFonts w:cs="Miriam"/>
                      <w:noProof/>
                      <w:sz w:val="18"/>
                      <w:szCs w:val="18"/>
                      <w:rtl/>
                    </w:rPr>
                  </w:pPr>
                  <w:r>
                    <w:rPr>
                      <w:rFonts w:cs="Miriam"/>
                      <w:sz w:val="18"/>
                      <w:szCs w:val="18"/>
                      <w:rtl/>
                    </w:rPr>
                    <w:t>בד</w:t>
                  </w:r>
                  <w:r>
                    <w:rPr>
                      <w:rFonts w:cs="Miriam" w:hint="cs"/>
                      <w:sz w:val="18"/>
                      <w:szCs w:val="18"/>
                      <w:rtl/>
                    </w:rPr>
                    <w:t>יקת תקינות מצלמה</w:t>
                  </w:r>
                </w:p>
              </w:txbxContent>
            </v:textbox>
            <w10:anchorlock/>
          </v:rect>
        </w:pict>
      </w:r>
      <w:r>
        <w:rPr>
          <w:rStyle w:val="big-number"/>
          <w:rFonts w:cs="Miriam"/>
          <w:rtl/>
        </w:rPr>
        <w:t>2.</w:t>
      </w:r>
      <w:r>
        <w:rPr>
          <w:rStyle w:val="big-number"/>
          <w:rFonts w:cs="Miriam"/>
          <w:rtl/>
        </w:rPr>
        <w:tab/>
      </w:r>
      <w:r>
        <w:rPr>
          <w:rStyle w:val="default"/>
          <w:rFonts w:cs="FrankRuehl"/>
          <w:rtl/>
        </w:rPr>
        <w:t>במ</w:t>
      </w:r>
      <w:r>
        <w:rPr>
          <w:rStyle w:val="default"/>
          <w:rFonts w:cs="FrankRuehl" w:hint="cs"/>
          <w:rtl/>
        </w:rPr>
        <w:t>צלמה המבצעת בדיקת תקינות עצמית תתבצע הבדיקה בכל תחילת הפעלה; מצלמה שאינה מבצעת בדיקה עצמית תיבדק תקינותה בעת הכנסת הסרט למצלמה, זולת אם היא מצלמה מסוג שלגביו קבע השר מועדים אחרים לבדיקת תקינות.</w:t>
      </w:r>
    </w:p>
    <w:p w:rsidR="00447889" w:rsidRDefault="00447889">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9.9pt;z-index:251657216" o:allowincell="f" filled="f" stroked="f" strokecolor="lime" strokeweight=".25pt">
            <v:textbox style="mso-next-textbox:#_x0000_s1029" inset="0,0,0,0">
              <w:txbxContent>
                <w:p w:rsidR="00447889" w:rsidRDefault="00447889">
                  <w:pPr>
                    <w:spacing w:line="160" w:lineRule="exact"/>
                    <w:jc w:val="left"/>
                    <w:rPr>
                      <w:rFonts w:cs="Miriam"/>
                      <w:noProof/>
                      <w:sz w:val="18"/>
                      <w:szCs w:val="18"/>
                      <w:rtl/>
                    </w:rPr>
                  </w:pPr>
                  <w:r>
                    <w:rPr>
                      <w:rFonts w:cs="Miriam"/>
                      <w:sz w:val="18"/>
                      <w:szCs w:val="18"/>
                      <w:rtl/>
                    </w:rPr>
                    <w:t>הפ</w:t>
                  </w:r>
                  <w:r>
                    <w:rPr>
                      <w:rFonts w:cs="Miriam" w:hint="cs"/>
                      <w:sz w:val="18"/>
                      <w:szCs w:val="18"/>
                      <w:rtl/>
                    </w:rPr>
                    <w:t>קת צילום ו</w:t>
                  </w:r>
                  <w:r>
                    <w:rPr>
                      <w:rFonts w:cs="Miriam"/>
                      <w:sz w:val="18"/>
                      <w:szCs w:val="18"/>
                      <w:rtl/>
                    </w:rPr>
                    <w:t>ט</w:t>
                  </w:r>
                  <w:r>
                    <w:rPr>
                      <w:rFonts w:cs="Miriam" w:hint="cs"/>
                      <w:sz w:val="18"/>
                      <w:szCs w:val="18"/>
                      <w:rtl/>
                    </w:rPr>
                    <w:t>יפול בסרט</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פקת צילום תיעשה בידי מי שהוסמך לכך בידי ק</w:t>
      </w:r>
      <w:r>
        <w:rPr>
          <w:rStyle w:val="default"/>
          <w:rFonts w:cs="FrankRuehl"/>
          <w:rtl/>
        </w:rPr>
        <w:t>צי</w:t>
      </w:r>
      <w:r>
        <w:rPr>
          <w:rStyle w:val="default"/>
          <w:rFonts w:cs="FrankRuehl" w:hint="cs"/>
          <w:rtl/>
        </w:rPr>
        <w:t>ן משטרה בכיר.</w:t>
      </w:r>
    </w:p>
    <w:p w:rsidR="00447889" w:rsidRDefault="0044788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מירת הסרט תהיה במשטרת ישראל.</w:t>
      </w:r>
    </w:p>
    <w:p w:rsidR="00447889" w:rsidRDefault="0044788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סרט יסומן במספר סידורי ולכל צילום בו יינתן מספר ייחודי על ידי המצלמה או בידי היצרן, שיופיע בצילום.</w:t>
      </w:r>
    </w:p>
    <w:p w:rsidR="00447889" w:rsidRDefault="00447889">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5.25pt;z-index:251658240" o:allowincell="f" filled="f" stroked="f" strokecolor="lime" strokeweight=".25pt">
            <v:textbox style="mso-next-textbox:#_x0000_s1030" inset="0,0,0,0">
              <w:txbxContent>
                <w:p w:rsidR="00447889" w:rsidRDefault="00447889">
                  <w:pPr>
                    <w:spacing w:line="160" w:lineRule="exact"/>
                    <w:jc w:val="left"/>
                    <w:rPr>
                      <w:rFonts w:cs="Miriam"/>
                      <w:noProof/>
                      <w:sz w:val="18"/>
                      <w:szCs w:val="18"/>
                      <w:rtl/>
                    </w:rPr>
                  </w:pPr>
                  <w:r>
                    <w:rPr>
                      <w:rFonts w:cs="Miriam"/>
                      <w:sz w:val="18"/>
                      <w:szCs w:val="18"/>
                      <w:rtl/>
                    </w:rPr>
                    <w:t>אי</w:t>
                  </w:r>
                  <w:r>
                    <w:rPr>
                      <w:rFonts w:cs="Miriam" w:hint="cs"/>
                      <w:sz w:val="18"/>
                      <w:szCs w:val="18"/>
                      <w:rtl/>
                    </w:rPr>
                    <w:t>שור פעולה</w:t>
                  </w:r>
                </w:p>
              </w:txbxContent>
            </v:textbox>
            <w10:anchorlock/>
          </v:rect>
        </w:pict>
      </w:r>
      <w:r>
        <w:rPr>
          <w:rStyle w:val="big-number"/>
          <w:rFonts w:cs="Miriam"/>
          <w:rtl/>
        </w:rPr>
        <w:t>4.</w:t>
      </w:r>
      <w:r>
        <w:rPr>
          <w:rStyle w:val="big-number"/>
          <w:rFonts w:cs="Miriam"/>
          <w:rtl/>
        </w:rPr>
        <w:tab/>
      </w:r>
      <w:r>
        <w:rPr>
          <w:rStyle w:val="default"/>
          <w:rFonts w:cs="FrankRuehl"/>
          <w:rtl/>
        </w:rPr>
        <w:t>מי</w:t>
      </w:r>
      <w:r>
        <w:rPr>
          <w:rStyle w:val="default"/>
          <w:rFonts w:cs="FrankRuehl" w:hint="cs"/>
          <w:rtl/>
        </w:rPr>
        <w:t xml:space="preserve"> שביצע פעולה מן המפורטות להלן יאשר בכתב את ביצועה:</w:t>
      </w:r>
    </w:p>
    <w:p w:rsidR="00447889" w:rsidRDefault="00447889" w:rsidP="00A464A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פעלת המצלמה;</w:t>
      </w:r>
    </w:p>
    <w:p w:rsidR="00447889" w:rsidRDefault="00447889" w:rsidP="00A464A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דיקת תקינות המצלמה או נוכחות בעת שנערכה בדיקת תקינות עצמית כמפורט בתקנה 2;</w:t>
      </w:r>
    </w:p>
    <w:p w:rsidR="00447889" w:rsidRDefault="00447889" w:rsidP="00A464A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 xml:space="preserve">מירת </w:t>
      </w:r>
      <w:r>
        <w:rPr>
          <w:rStyle w:val="default"/>
          <w:rFonts w:cs="FrankRuehl"/>
          <w:rtl/>
        </w:rPr>
        <w:t>הס</w:t>
      </w:r>
      <w:r>
        <w:rPr>
          <w:rStyle w:val="default"/>
          <w:rFonts w:cs="FrankRuehl" w:hint="cs"/>
          <w:rtl/>
        </w:rPr>
        <w:t>רט;</w:t>
      </w:r>
    </w:p>
    <w:p w:rsidR="00447889" w:rsidRDefault="00447889" w:rsidP="00A464A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פקת הצילום.</w:t>
      </w:r>
    </w:p>
    <w:p w:rsidR="00447889" w:rsidRDefault="00447889">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1.1pt;z-index:251659264" o:allowincell="f" filled="f" stroked="f" strokecolor="lime" strokeweight=".25pt">
            <v:textbox style="mso-next-textbox:#_x0000_s1031" inset="0,0,0,0">
              <w:txbxContent>
                <w:p w:rsidR="00447889" w:rsidRDefault="00447889">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ש</w:t>
                  </w:r>
                  <w:r>
                    <w:rPr>
                      <w:rFonts w:cs="Miriam" w:hint="cs"/>
                      <w:sz w:val="18"/>
                      <w:szCs w:val="18"/>
                      <w:rtl/>
                    </w:rPr>
                    <w:t>ת צילומים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 xml:space="preserve">ילום יוגש לבית המשפט בידי תובע בצירוף תעודת עובד ציבור, תצהיר או חוות דעת מומחה (להלן </w:t>
      </w:r>
      <w:r w:rsidR="00A464AA">
        <w:rPr>
          <w:rStyle w:val="default"/>
          <w:rFonts w:cs="FrankRuehl"/>
          <w:rtl/>
        </w:rPr>
        <w:t>–</w:t>
      </w:r>
      <w:r>
        <w:rPr>
          <w:rStyle w:val="default"/>
          <w:rFonts w:cs="FrankRuehl"/>
          <w:rtl/>
        </w:rPr>
        <w:t xml:space="preserve"> </w:t>
      </w:r>
      <w:r>
        <w:rPr>
          <w:rStyle w:val="default"/>
          <w:rFonts w:cs="FrankRuehl" w:hint="cs"/>
          <w:rtl/>
        </w:rPr>
        <w:t xml:space="preserve">תעודות), שהוכנו על בסיס האישורים כאמור בתקנה 4, אם </w:t>
      </w:r>
      <w:r>
        <w:rPr>
          <w:rStyle w:val="default"/>
          <w:rFonts w:cs="FrankRuehl"/>
          <w:rtl/>
        </w:rPr>
        <w:t>ל</w:t>
      </w:r>
      <w:r>
        <w:rPr>
          <w:rStyle w:val="default"/>
          <w:rFonts w:cs="FrankRuehl" w:hint="cs"/>
          <w:rtl/>
        </w:rPr>
        <w:t>א הוכן האישור מראש כתעודות.</w:t>
      </w:r>
    </w:p>
    <w:p w:rsidR="00447889" w:rsidRDefault="0044788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תעודות יכול שיוכנו עד לשלב של בירור האשמה, כאמור ב</w:t>
      </w:r>
      <w:r>
        <w:rPr>
          <w:rStyle w:val="default"/>
          <w:rFonts w:cs="FrankRuehl"/>
          <w:rtl/>
        </w:rPr>
        <w:t>סי</w:t>
      </w:r>
      <w:r>
        <w:rPr>
          <w:rStyle w:val="default"/>
          <w:rFonts w:cs="FrankRuehl" w:hint="cs"/>
          <w:rtl/>
        </w:rPr>
        <w:t>מן ה' לפרק ה' לחוק סדר הדין הפלילי, ואולם אין בהוראה זו כדי לגרוע מזכות הנאשם או אדם המנוי בסעיף 74 לחוק סדר הדין הפלילי לעיין בצילום ובתעודות, במהלך עיון בחומר חקירה לפ</w:t>
      </w:r>
      <w:r>
        <w:rPr>
          <w:rStyle w:val="default"/>
          <w:rFonts w:cs="FrankRuehl"/>
          <w:rtl/>
        </w:rPr>
        <w:t>י</w:t>
      </w:r>
      <w:r>
        <w:rPr>
          <w:rStyle w:val="default"/>
          <w:rFonts w:cs="FrankRuehl" w:hint="cs"/>
          <w:rtl/>
        </w:rPr>
        <w:t xml:space="preserve"> הסעיף האמור, אם ביקש זאת מראש.</w:t>
      </w:r>
    </w:p>
    <w:p w:rsidR="00447889" w:rsidRDefault="0044788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בהוראת תקנת משנה (ב) כדי לגרוע מהאפשרות להב</w:t>
      </w:r>
      <w:r>
        <w:rPr>
          <w:rStyle w:val="default"/>
          <w:rFonts w:cs="FrankRuehl"/>
          <w:rtl/>
        </w:rPr>
        <w:t>יא</w:t>
      </w:r>
      <w:r>
        <w:rPr>
          <w:rStyle w:val="default"/>
          <w:rFonts w:cs="FrankRuehl" w:hint="cs"/>
          <w:rtl/>
        </w:rPr>
        <w:t xml:space="preserve"> לעדות מי שביצע פעולה כאמור בתקנה 4, גם אם לא נתן לגביה אחת התעודות.</w:t>
      </w:r>
    </w:p>
    <w:p w:rsidR="00447889" w:rsidRDefault="00447889">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1pt;z-index:251660288" o:allowincell="f" filled="f" stroked="f" strokecolor="lime" strokeweight=".25pt">
            <v:textbox style="mso-next-textbox:#_x0000_s1032" inset="0,0,0,0">
              <w:txbxContent>
                <w:p w:rsidR="00447889" w:rsidRDefault="00447889">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6.</w:t>
      </w:r>
      <w:r>
        <w:rPr>
          <w:rStyle w:val="big-number"/>
          <w:rFonts w:cs="Miriam"/>
          <w:rtl/>
        </w:rPr>
        <w:tab/>
      </w:r>
      <w:r>
        <w:rPr>
          <w:rStyle w:val="default"/>
          <w:rFonts w:cs="FrankRuehl"/>
          <w:rtl/>
        </w:rPr>
        <w:t>תק</w:t>
      </w:r>
      <w:r>
        <w:rPr>
          <w:rStyle w:val="default"/>
          <w:rFonts w:cs="FrankRuehl" w:hint="cs"/>
          <w:rtl/>
        </w:rPr>
        <w:t>נות התעבורה (הגשת צילומים לבית משפט), תשכ"ז-</w:t>
      </w:r>
      <w:r>
        <w:rPr>
          <w:rStyle w:val="default"/>
          <w:rFonts w:cs="FrankRuehl"/>
          <w:rtl/>
        </w:rPr>
        <w:t xml:space="preserve">1966 </w:t>
      </w:r>
      <w:r w:rsidR="00A464AA">
        <w:rPr>
          <w:rStyle w:val="default"/>
          <w:rFonts w:cs="FrankRuehl"/>
          <w:rtl/>
        </w:rPr>
        <w:t>–</w:t>
      </w:r>
      <w:r>
        <w:rPr>
          <w:rStyle w:val="default"/>
          <w:rFonts w:cs="FrankRuehl"/>
          <w:rtl/>
        </w:rPr>
        <w:t xml:space="preserve"> </w:t>
      </w:r>
      <w:r>
        <w:rPr>
          <w:rStyle w:val="default"/>
          <w:rFonts w:cs="FrankRuehl" w:hint="cs"/>
          <w:rtl/>
        </w:rPr>
        <w:t>בטלות.</w:t>
      </w:r>
    </w:p>
    <w:p w:rsidR="00447889" w:rsidRDefault="00447889">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1.5pt;z-index:251661312" o:allowincell="f" filled="f" stroked="f" strokecolor="lime" strokeweight=".25pt">
            <v:textbox style="mso-next-textbox:#_x0000_s1033" inset="0,0,0,0">
              <w:txbxContent>
                <w:p w:rsidR="00447889" w:rsidRDefault="00447889">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7.</w:t>
      </w:r>
      <w:r>
        <w:rPr>
          <w:rStyle w:val="big-number"/>
          <w:rFonts w:cs="Miriam"/>
          <w:rtl/>
        </w:rPr>
        <w:tab/>
      </w:r>
      <w:r>
        <w:rPr>
          <w:rStyle w:val="default"/>
          <w:rFonts w:cs="FrankRuehl"/>
          <w:rtl/>
        </w:rPr>
        <w:t>תח</w:t>
      </w:r>
      <w:r>
        <w:rPr>
          <w:rStyle w:val="default"/>
          <w:rFonts w:cs="FrankRuehl" w:hint="cs"/>
          <w:rtl/>
        </w:rPr>
        <w:t>ילתן של תקנות אלה 30 ימים מיום פרסומן.</w:t>
      </w:r>
    </w:p>
    <w:p w:rsidR="00447889" w:rsidRDefault="00447889">
      <w:pPr>
        <w:pStyle w:val="P00"/>
        <w:spacing w:before="72"/>
        <w:ind w:left="0" w:right="1134"/>
        <w:rPr>
          <w:rStyle w:val="default"/>
          <w:rFonts w:cs="FrankRuehl" w:hint="cs"/>
          <w:rtl/>
        </w:rPr>
      </w:pPr>
    </w:p>
    <w:p w:rsidR="00A464AA" w:rsidRDefault="00A464AA">
      <w:pPr>
        <w:pStyle w:val="P00"/>
        <w:spacing w:before="72"/>
        <w:ind w:left="0" w:right="1134"/>
        <w:rPr>
          <w:rStyle w:val="default"/>
          <w:rFonts w:cs="FrankRuehl" w:hint="cs"/>
          <w:rtl/>
        </w:rPr>
      </w:pPr>
    </w:p>
    <w:p w:rsidR="00447889" w:rsidRDefault="00447889" w:rsidP="00A464A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w:t>
      </w:r>
      <w:r>
        <w:rPr>
          <w:rStyle w:val="default"/>
          <w:rFonts w:cs="FrankRuehl"/>
          <w:rtl/>
        </w:rPr>
        <w:t>"</w:t>
      </w:r>
      <w:r>
        <w:rPr>
          <w:rStyle w:val="default"/>
          <w:rFonts w:cs="FrankRuehl" w:hint="cs"/>
          <w:rtl/>
        </w:rPr>
        <w:t>ז בסיון תשנ"ז (2 ביולי 1997</w:t>
      </w:r>
      <w:r w:rsidR="00A464AA">
        <w:rPr>
          <w:rStyle w:val="default"/>
          <w:rFonts w:cs="FrankRuehl" w:hint="cs"/>
          <w:rtl/>
        </w:rPr>
        <w:t>)</w:t>
      </w:r>
      <w:r w:rsidR="00A464AA">
        <w:rPr>
          <w:rStyle w:val="default"/>
          <w:rFonts w:cs="FrankRuehl" w:hint="cs"/>
          <w:rtl/>
        </w:rPr>
        <w:tab/>
      </w:r>
      <w:r>
        <w:rPr>
          <w:rStyle w:val="default"/>
          <w:rFonts w:cs="FrankRuehl" w:hint="cs"/>
          <w:rtl/>
        </w:rPr>
        <w:t>צחי הנגבי</w:t>
      </w:r>
    </w:p>
    <w:p w:rsidR="00447889" w:rsidRDefault="00447889" w:rsidP="00A464AA">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המשפטים</w:t>
      </w:r>
    </w:p>
    <w:p w:rsidR="00447889" w:rsidRDefault="00447889">
      <w:pPr>
        <w:pStyle w:val="P00"/>
        <w:spacing w:before="72"/>
        <w:ind w:left="0" w:right="1134"/>
        <w:rPr>
          <w:rStyle w:val="default"/>
          <w:rFonts w:cs="FrankRuehl"/>
          <w:rtl/>
        </w:rPr>
      </w:pPr>
    </w:p>
    <w:p w:rsidR="00447889" w:rsidRDefault="00447889">
      <w:pPr>
        <w:pStyle w:val="P00"/>
        <w:spacing w:before="72"/>
        <w:ind w:left="0" w:right="1134"/>
        <w:rPr>
          <w:rStyle w:val="default"/>
          <w:rFonts w:cs="FrankRuehl"/>
          <w:rtl/>
        </w:rPr>
      </w:pPr>
    </w:p>
    <w:p w:rsidR="00447889" w:rsidRDefault="00447889">
      <w:pPr>
        <w:pStyle w:val="P00"/>
        <w:spacing w:before="72"/>
        <w:ind w:left="0" w:right="1134"/>
        <w:rPr>
          <w:rStyle w:val="default"/>
          <w:rFonts w:cs="FrankRuehl"/>
          <w:rtl/>
        </w:rPr>
      </w:pPr>
      <w:bookmarkStart w:id="8" w:name="LawPartEnd"/>
    </w:p>
    <w:bookmarkEnd w:id="8"/>
    <w:p w:rsidR="00AA512F" w:rsidRDefault="00AA512F">
      <w:pPr>
        <w:pStyle w:val="P00"/>
        <w:spacing w:before="72"/>
        <w:ind w:left="0" w:right="1134"/>
        <w:rPr>
          <w:rStyle w:val="default"/>
          <w:rFonts w:cs="FrankRuehl"/>
          <w:rtl/>
        </w:rPr>
      </w:pPr>
    </w:p>
    <w:p w:rsidR="00AA512F" w:rsidRDefault="00AA512F">
      <w:pPr>
        <w:pStyle w:val="P00"/>
        <w:spacing w:before="72"/>
        <w:ind w:left="0" w:right="1134"/>
        <w:rPr>
          <w:rStyle w:val="default"/>
          <w:rFonts w:cs="FrankRuehl"/>
          <w:rtl/>
        </w:rPr>
      </w:pPr>
    </w:p>
    <w:p w:rsidR="00AA512F" w:rsidRDefault="00AA512F" w:rsidP="00AA512F">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447889" w:rsidRPr="00AA512F" w:rsidRDefault="00447889" w:rsidP="00AA512F">
      <w:pPr>
        <w:pStyle w:val="P00"/>
        <w:spacing w:before="72"/>
        <w:ind w:left="0" w:right="1134"/>
        <w:jc w:val="center"/>
        <w:rPr>
          <w:rStyle w:val="default"/>
          <w:rFonts w:cs="David"/>
          <w:color w:val="0000FF"/>
          <w:szCs w:val="24"/>
          <w:u w:val="single"/>
          <w:rtl/>
        </w:rPr>
      </w:pPr>
    </w:p>
    <w:sectPr w:rsidR="00447889" w:rsidRPr="00AA512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1BFC" w:rsidRDefault="008E1BFC">
      <w:r>
        <w:separator/>
      </w:r>
    </w:p>
  </w:endnote>
  <w:endnote w:type="continuationSeparator" w:id="0">
    <w:p w:rsidR="008E1BFC" w:rsidRDefault="008E1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889" w:rsidRDefault="0044788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47889" w:rsidRDefault="0044788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47889" w:rsidRDefault="0044788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C:\Yael\hakika\Revadim\P230_057.doc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889" w:rsidRDefault="0044788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A512F">
      <w:rPr>
        <w:rFonts w:hAnsi="FrankRuehl" w:cs="FrankRuehl"/>
        <w:noProof/>
        <w:sz w:val="24"/>
        <w:szCs w:val="24"/>
        <w:rtl/>
      </w:rPr>
      <w:t>2</w:t>
    </w:r>
    <w:r>
      <w:rPr>
        <w:rFonts w:hAnsi="FrankRuehl" w:cs="FrankRuehl"/>
        <w:sz w:val="24"/>
        <w:szCs w:val="24"/>
        <w:rtl/>
      </w:rPr>
      <w:fldChar w:fldCharType="end"/>
    </w:r>
  </w:p>
  <w:p w:rsidR="00447889" w:rsidRDefault="0044788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47889" w:rsidRDefault="0044788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C:\Yael\hakika\Revadim\P230_057.doc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1BFC" w:rsidRDefault="008E1BFC">
      <w:pPr>
        <w:spacing w:before="60" w:line="240" w:lineRule="auto"/>
        <w:ind w:right="1134"/>
      </w:pPr>
      <w:r>
        <w:separator/>
      </w:r>
    </w:p>
  </w:footnote>
  <w:footnote w:type="continuationSeparator" w:id="0">
    <w:p w:rsidR="008E1BFC" w:rsidRDefault="008E1BFC">
      <w:r>
        <w:continuationSeparator/>
      </w:r>
    </w:p>
  </w:footnote>
  <w:footnote w:id="1">
    <w:p w:rsidR="00447889" w:rsidRDefault="004478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 xml:space="preserve">ק"ת תשנ"ז </w:t>
        </w:r>
        <w:r>
          <w:rPr>
            <w:rStyle w:val="Hyperlink"/>
            <w:rFonts w:cs="FrankRuehl" w:hint="cs"/>
            <w:rtl/>
          </w:rPr>
          <w:t>מ</w:t>
        </w:r>
        <w:r>
          <w:rPr>
            <w:rStyle w:val="Hyperlink"/>
            <w:rFonts w:cs="FrankRuehl" w:hint="cs"/>
            <w:rtl/>
          </w:rPr>
          <w:t>ס' 5839</w:t>
        </w:r>
      </w:hyperlink>
      <w:r>
        <w:rPr>
          <w:rFonts w:cs="FrankRuehl" w:hint="cs"/>
          <w:rtl/>
        </w:rPr>
        <w:t xml:space="preserve"> </w:t>
      </w:r>
      <w:r>
        <w:rPr>
          <w:rFonts w:cs="FrankRuehl"/>
          <w:rtl/>
        </w:rPr>
        <w:t>מ</w:t>
      </w:r>
      <w:r>
        <w:rPr>
          <w:rFonts w:cs="FrankRuehl" w:hint="cs"/>
          <w:rtl/>
        </w:rPr>
        <w:t>יום 10.7.1997 עמ' 919.</w:t>
      </w:r>
    </w:p>
    <w:p w:rsidR="00447889" w:rsidRDefault="004478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תשנ"ט</w:t>
        </w:r>
        <w:r>
          <w:rPr>
            <w:rStyle w:val="Hyperlink"/>
            <w:rFonts w:cs="FrankRuehl" w:hint="cs"/>
            <w:rtl/>
          </w:rPr>
          <w:t xml:space="preserve"> </w:t>
        </w:r>
        <w:r>
          <w:rPr>
            <w:rStyle w:val="Hyperlink"/>
            <w:rFonts w:cs="FrankRuehl" w:hint="cs"/>
            <w:rtl/>
          </w:rPr>
          <w:t>מס' 5983</w:t>
        </w:r>
      </w:hyperlink>
      <w:r>
        <w:rPr>
          <w:rFonts w:cs="FrankRuehl" w:hint="cs"/>
          <w:rtl/>
        </w:rPr>
        <w:t xml:space="preserve"> מיום 16</w:t>
      </w:r>
      <w:r>
        <w:rPr>
          <w:rFonts w:cs="FrankRuehl"/>
          <w:rtl/>
        </w:rPr>
        <w:t>.6.1999 ע</w:t>
      </w:r>
      <w:r>
        <w:rPr>
          <w:rFonts w:cs="FrankRuehl" w:hint="cs"/>
          <w:rtl/>
        </w:rPr>
        <w:t xml:space="preserve">מ' 968 </w:t>
      </w:r>
      <w:r>
        <w:rPr>
          <w:rFonts w:cs="FrankRuehl"/>
          <w:rtl/>
        </w:rPr>
        <w:t xml:space="preserve">– </w:t>
      </w:r>
      <w:r>
        <w:rPr>
          <w:rFonts w:cs="FrankRuehl" w:hint="cs"/>
          <w:rtl/>
        </w:rPr>
        <w:t>תק' תשנ"ט-</w:t>
      </w:r>
      <w:r>
        <w:rPr>
          <w:rFonts w:cs="FrankRuehl"/>
          <w:rtl/>
        </w:rPr>
        <w:t xml:space="preserve">1999; </w:t>
      </w:r>
      <w:r>
        <w:rPr>
          <w:rFonts w:cs="FrankRuehl" w:hint="cs"/>
          <w:rtl/>
        </w:rPr>
        <w:t>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889" w:rsidRDefault="0044788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התעבורה (הגשת צילומים לבית המשפט), תשנ"ז–1997</w:t>
    </w:r>
  </w:p>
  <w:p w:rsidR="00447889" w:rsidRDefault="0044788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47889" w:rsidRDefault="0044788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889" w:rsidRDefault="0044788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התעבורה (הגשת צילומים לבית המשפט), תשנ"ז</w:t>
    </w:r>
    <w:r>
      <w:rPr>
        <w:rFonts w:hAnsi="FrankRuehl" w:cs="FrankRuehl" w:hint="cs"/>
        <w:color w:val="000000"/>
        <w:sz w:val="28"/>
        <w:szCs w:val="28"/>
        <w:rtl/>
      </w:rPr>
      <w:t>-</w:t>
    </w:r>
    <w:r>
      <w:rPr>
        <w:rFonts w:hAnsi="FrankRuehl" w:cs="FrankRuehl"/>
        <w:color w:val="000000"/>
        <w:sz w:val="28"/>
        <w:szCs w:val="28"/>
        <w:rtl/>
      </w:rPr>
      <w:t>1997</w:t>
    </w:r>
  </w:p>
  <w:p w:rsidR="00447889" w:rsidRDefault="0044788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47889" w:rsidRDefault="0044788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41D4"/>
    <w:rsid w:val="00447889"/>
    <w:rsid w:val="004970BF"/>
    <w:rsid w:val="00746043"/>
    <w:rsid w:val="007C41D4"/>
    <w:rsid w:val="008E1BFC"/>
    <w:rsid w:val="00A464AA"/>
    <w:rsid w:val="00AA512F"/>
    <w:rsid w:val="00B73D8C"/>
    <w:rsid w:val="00CB3EE8"/>
    <w:rsid w:val="00D2201F"/>
    <w:rsid w:val="00E0429A"/>
    <w:rsid w:val="00E050B9"/>
    <w:rsid w:val="00E461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53387C8-8C64-4026-8E9F-917D61FE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983.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983.pdf" TargetMode="External"/><Relationship Id="rId1" Type="http://schemas.openxmlformats.org/officeDocument/2006/relationships/hyperlink" Target="http://www.nevo.co.il/Law_word/law06/TAK-58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230</vt:lpstr>
    </vt:vector>
  </TitlesOfParts>
  <Company/>
  <LinksUpToDate>false</LinksUpToDate>
  <CharactersWithSpaces>3336</CharactersWithSpaces>
  <SharedDoc>false</SharedDoc>
  <HLinks>
    <vt:vector size="66" baseType="variant">
      <vt:variant>
        <vt:i4>393283</vt:i4>
      </vt:variant>
      <vt:variant>
        <vt:i4>45</vt:i4>
      </vt:variant>
      <vt:variant>
        <vt:i4>0</vt:i4>
      </vt:variant>
      <vt:variant>
        <vt:i4>5</vt:i4>
      </vt:variant>
      <vt:variant>
        <vt:lpwstr>http://www.nevo.co.il/advertisements/nevo-100.doc</vt:lpwstr>
      </vt:variant>
      <vt:variant>
        <vt:lpwstr/>
      </vt:variant>
      <vt:variant>
        <vt:i4>7602178</vt:i4>
      </vt:variant>
      <vt:variant>
        <vt:i4>42</vt:i4>
      </vt:variant>
      <vt:variant>
        <vt:i4>0</vt:i4>
      </vt:variant>
      <vt:variant>
        <vt:i4>5</vt:i4>
      </vt:variant>
      <vt:variant>
        <vt:lpwstr>http://www.nevo.co.il/Law_word/law06/TAK-5983.pdf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7602178</vt:i4>
      </vt:variant>
      <vt:variant>
        <vt:i4>3</vt:i4>
      </vt:variant>
      <vt:variant>
        <vt:i4>0</vt:i4>
      </vt:variant>
      <vt:variant>
        <vt:i4>5</vt:i4>
      </vt:variant>
      <vt:variant>
        <vt:lpwstr>http://www.nevo.co.il/Law_word/law06/TAK-5983.pdf</vt:lpwstr>
      </vt:variant>
      <vt:variant>
        <vt:lpwstr/>
      </vt:variant>
      <vt:variant>
        <vt:i4>8323081</vt:i4>
      </vt:variant>
      <vt:variant>
        <vt:i4>0</vt:i4>
      </vt:variant>
      <vt:variant>
        <vt:i4>0</vt:i4>
      </vt:variant>
      <vt:variant>
        <vt:i4>5</vt:i4>
      </vt:variant>
      <vt:variant>
        <vt:lpwstr>http://www.nevo.co.il/Law_word/law06/TAK-5839.pdf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P230</vt:lpwstr>
  </property>
  <property fmtid="{D5CDD505-2E9C-101B-9397-08002B2CF9AE}" pid="3" name="CHNAME">
    <vt:lpwstr>תעבורה</vt:lpwstr>
  </property>
  <property fmtid="{D5CDD505-2E9C-101B-9397-08002B2CF9AE}" pid="4" name="LAWNAME">
    <vt:lpwstr>תקנות התעבורה (הגשת צילומים לבית המשפט), תשנ"ז-1997</vt:lpwstr>
  </property>
  <property fmtid="{D5CDD505-2E9C-101B-9397-08002B2CF9AE}" pid="5" name="LAWNUMBER">
    <vt:lpwstr>0057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תעבורה</vt:lpwstr>
  </property>
  <property fmtid="{D5CDD505-2E9C-101B-9397-08002B2CF9AE}" pid="9" name="NOSE31">
    <vt:lpwstr>עבירות וביהמ"ש</vt:lpwstr>
  </property>
  <property fmtid="{D5CDD505-2E9C-101B-9397-08002B2CF9AE}" pid="10" name="NOSE41">
    <vt:lpwstr>סדרי דין</vt:lpwstr>
  </property>
  <property fmtid="{D5CDD505-2E9C-101B-9397-08002B2CF9AE}" pid="11" name="NOSE12">
    <vt:lpwstr>בתי משפט וסדרי דין</vt:lpwstr>
  </property>
  <property fmtid="{D5CDD505-2E9C-101B-9397-08002B2CF9AE}" pid="12" name="NOSE22">
    <vt:lpwstr>סדר דין פלילי</vt:lpwstr>
  </property>
  <property fmtid="{D5CDD505-2E9C-101B-9397-08002B2CF9AE}" pid="13" name="NOSE32">
    <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ראיות</vt:lpwstr>
  </property>
  <property fmtid="{D5CDD505-2E9C-101B-9397-08002B2CF9AE}" pid="17" name="NOSE33">
    <vt:lpwstr/>
  </property>
  <property fmtid="{D5CDD505-2E9C-101B-9397-08002B2CF9AE}" pid="18" name="NOSE43">
    <vt:lpwstr/>
  </property>
  <property fmtid="{D5CDD505-2E9C-101B-9397-08002B2CF9AE}" pid="19" name="NOSE14">
    <vt:lpwstr>בתי משפט וסדרי דין</vt:lpwstr>
  </property>
  <property fmtid="{D5CDD505-2E9C-101B-9397-08002B2CF9AE}" pid="20" name="NOSE24">
    <vt:lpwstr>בתי משפט ובתי דין</vt:lpwstr>
  </property>
  <property fmtid="{D5CDD505-2E9C-101B-9397-08002B2CF9AE}" pid="21" name="NOSE34">
    <vt:lpwstr>בימ"ש לתעבורה</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התעבורה </vt:lpwstr>
  </property>
  <property fmtid="{D5CDD505-2E9C-101B-9397-08002B2CF9AE}" pid="48" name="MEKOR_SAIF1">
    <vt:lpwstr>27אXבX</vt:lpwstr>
  </property>
</Properties>
</file>