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CD6A" w14:textId="77777777" w:rsidR="00623799" w:rsidRDefault="00623799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תקנות התעבורה (מסירת מידע בדבר מספר הנקודות לחיוב) (הוראת שעה), תשס"ה-2005</w:t>
      </w:r>
    </w:p>
    <w:p w14:paraId="76401CC4" w14:textId="77777777" w:rsidR="00385C32" w:rsidRPr="00385C32" w:rsidRDefault="00385C32" w:rsidP="00385C3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49C936D" w14:textId="77777777" w:rsidR="00385C32" w:rsidRDefault="00385C32" w:rsidP="00385C32">
      <w:pPr>
        <w:spacing w:line="320" w:lineRule="auto"/>
        <w:jc w:val="left"/>
        <w:rPr>
          <w:rtl/>
          <w:lang w:eastAsia="en-US"/>
        </w:rPr>
      </w:pPr>
    </w:p>
    <w:p w14:paraId="55D078C4" w14:textId="77777777" w:rsidR="00385C32" w:rsidRPr="00385C32" w:rsidRDefault="00385C32" w:rsidP="00385C32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385C32">
        <w:rPr>
          <w:rFonts w:cs="Miriam"/>
          <w:szCs w:val="22"/>
          <w:rtl/>
          <w:lang w:eastAsia="en-US"/>
        </w:rPr>
        <w:t>רשויות ומשפט מנהלי</w:t>
      </w:r>
      <w:r w:rsidRPr="00385C32">
        <w:rPr>
          <w:rFonts w:cs="FrankRuehl"/>
          <w:szCs w:val="26"/>
          <w:rtl/>
          <w:lang w:eastAsia="en-US"/>
        </w:rPr>
        <w:t xml:space="preserve"> – תעבורה</w:t>
      </w:r>
    </w:p>
    <w:p w14:paraId="39B5CB93" w14:textId="77777777" w:rsidR="00623799" w:rsidRDefault="00623799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23799" w14:paraId="0B837C0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E4F8E1D" w14:textId="77777777" w:rsidR="00623799" w:rsidRDefault="0062379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1D0B9B7F" w14:textId="77777777" w:rsidR="00623799" w:rsidRDefault="0062379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מסירת מידע בדבר מספר נקודות לחי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590A03" w14:textId="77777777" w:rsidR="00623799" w:rsidRDefault="0062379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מסירת מידע בדבר מספר נקודות לחיוב</w:t>
            </w:r>
          </w:p>
        </w:tc>
        <w:tc>
          <w:tcPr>
            <w:tcW w:w="1247" w:type="dxa"/>
          </w:tcPr>
          <w:p w14:paraId="2FE1FBBE" w14:textId="77777777" w:rsidR="00623799" w:rsidRDefault="0062379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623799" w14:paraId="6B8717E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E39970B" w14:textId="77777777" w:rsidR="00623799" w:rsidRDefault="0062379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126468ED" w14:textId="77777777" w:rsidR="00623799" w:rsidRDefault="0062379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פרסום מספר הטלפון לקבלת ה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19FD1A" w14:textId="77777777" w:rsidR="00623799" w:rsidRDefault="0062379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פרסום מספר הטלפון לקבלת המידע</w:t>
            </w:r>
          </w:p>
        </w:tc>
        <w:tc>
          <w:tcPr>
            <w:tcW w:w="1247" w:type="dxa"/>
          </w:tcPr>
          <w:p w14:paraId="4D0FA057" w14:textId="77777777" w:rsidR="00623799" w:rsidRDefault="0062379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  <w:tr w:rsidR="00623799" w14:paraId="11B7873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8ACBAC8" w14:textId="77777777" w:rsidR="00623799" w:rsidRDefault="0062379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Seif2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5586579B" w14:textId="77777777" w:rsidR="00623799" w:rsidRDefault="0062379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2" w:tooltip="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DBC40E" w14:textId="77777777" w:rsidR="00623799" w:rsidRDefault="0062379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תוקף</w:t>
            </w:r>
          </w:p>
        </w:tc>
        <w:tc>
          <w:tcPr>
            <w:tcW w:w="1247" w:type="dxa"/>
          </w:tcPr>
          <w:p w14:paraId="12FD1266" w14:textId="77777777" w:rsidR="00623799" w:rsidRDefault="0062379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3 </w:t>
            </w:r>
          </w:p>
        </w:tc>
      </w:tr>
    </w:tbl>
    <w:p w14:paraId="48CABFEA" w14:textId="77777777" w:rsidR="00623799" w:rsidRDefault="0062379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5314EAC" w14:textId="77777777" w:rsidR="00623799" w:rsidRDefault="00623799" w:rsidP="00385C32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התעבורה (מסירת מידע בדבר מספר הנקודות לחיוב) (הוראת שעה),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FA3EE14" w14:textId="77777777" w:rsidR="00623799" w:rsidRDefault="0062379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סמכותי לפי סעיף </w:t>
      </w:r>
      <w:r>
        <w:rPr>
          <w:rStyle w:val="default"/>
          <w:rFonts w:cs="FrankRuehl" w:hint="cs"/>
          <w:rtl/>
          <w:lang w:eastAsia="en-US"/>
        </w:rPr>
        <w:t>69א(ד) לפקודת התעבורה, לאחר התייעצות עם שר התחבורה, ובאישור ועדת הכלכלה של הכנסת, אני מתקין תקנות אלה:</w:t>
      </w:r>
    </w:p>
    <w:p w14:paraId="7EF16E0C" w14:textId="77777777" w:rsidR="00623799" w:rsidRDefault="0062379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 w14:anchorId="16F1BB32">
          <v:rect id="_x0000_s1026" style="position:absolute;left:0;text-align:left;margin-left:464.5pt;margin-top:8.05pt;width:75.05pt;height:15pt;z-index:251656704" o:allowincell="f" filled="f" stroked="f" strokecolor="lime" strokeweight=".25pt">
            <v:textbox style="mso-next-textbox:#_x0000_s1026" inset="0,0,0,0">
              <w:txbxContent>
                <w:p w14:paraId="79EF6592" w14:textId="77777777" w:rsidR="00623799" w:rsidRDefault="006237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מסירת מידע בדבר מספר נקודות לחיוב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  <w:t>דרך אחרת למתן מידע כאמור בסעיף 68א(ד) לפקודה היא קבלת מידע קולי ממוחשב בטלפון בדבר מספר הנקודות שבהן יחויב בשל הרשעתו באותה עבירה.</w:t>
      </w:r>
    </w:p>
    <w:p w14:paraId="0F17BB12" w14:textId="77777777" w:rsidR="00623799" w:rsidRDefault="0062379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 מספר הטלפון לקבלת המידע כאמור יצוין על גבי הודעת תשלום הקנס.</w:t>
      </w:r>
    </w:p>
    <w:p w14:paraId="1C706CFF" w14:textId="77777777" w:rsidR="00623799" w:rsidRDefault="0062379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lang w:val="he-IL"/>
        </w:rPr>
        <w:pict w14:anchorId="52A71985">
          <v:rect id="_x0000_s1265" style="position:absolute;left:0;text-align:left;margin-left:464.5pt;margin-top:8.05pt;width:75.05pt;height:15pt;z-index:251657728" o:allowincell="f" filled="f" stroked="f" strokecolor="lime" strokeweight=".25pt">
            <v:textbox style="mso-next-textbox:#_x0000_s1265" inset="0,0,0,0">
              <w:txbxContent>
                <w:p w14:paraId="128561A1" w14:textId="77777777" w:rsidR="00623799" w:rsidRDefault="006237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פרסום מספר הטלפון לקבלת המידע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מספר הטלפון לקבלת המידע כאמור יצוין במודעה בשני עיתונים יומיים בשפה העברית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ובעיתון יומי אחד בשפה הערבית, במודעה שתפורסם בתוך שבוע מיום אישור תקנות אלה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בידי ועדת הכלכלה של הכנסת; מספר הטלפון האמור יפורסם גם באתרי האינטרנט של המשרד לביטחון הפנים ושל משרד התחבורה.</w:t>
      </w:r>
    </w:p>
    <w:p w14:paraId="201222BE" w14:textId="77777777" w:rsidR="00623799" w:rsidRDefault="0062379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lang w:val="he-IL"/>
        </w:rPr>
        <w:pict w14:anchorId="6F8AF189">
          <v:rect id="_x0000_s1266" style="position:absolute;left:0;text-align:left;margin-left:464.5pt;margin-top:8.05pt;width:75.05pt;height:11.95pt;z-index:251658752" o:allowincell="f" filled="f" stroked="f" strokecolor="lime" strokeweight=".25pt">
            <v:textbox style="mso-next-textbox:#_x0000_s1266" inset="0,0,0,0">
              <w:txbxContent>
                <w:p w14:paraId="5DCE634B" w14:textId="77777777" w:rsidR="00623799" w:rsidRDefault="006237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  <w:lang w:eastAsia="en-US"/>
        </w:rPr>
        <w:t>תוקפן של תקנות אלה עד ליום ג' באייר התשס"ו (1 במאי 2006).</w:t>
      </w:r>
    </w:p>
    <w:p w14:paraId="72CB9E06" w14:textId="77777777" w:rsidR="00623799" w:rsidRDefault="0062379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87A4591" w14:textId="77777777" w:rsidR="00623799" w:rsidRDefault="0062379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5CB890B" w14:textId="77777777" w:rsidR="00623799" w:rsidRDefault="006237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ל' באב התשס"ה (4 בספטמבר 2005)</w:t>
      </w:r>
    </w:p>
    <w:p w14:paraId="7C553BC4" w14:textId="77777777" w:rsidR="00623799" w:rsidRDefault="006237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גדעון עזרא</w:t>
      </w:r>
    </w:p>
    <w:p w14:paraId="6CE2C70F" w14:textId="77777777" w:rsidR="00623799" w:rsidRDefault="006237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השר לביטחון הפנים</w:t>
      </w:r>
    </w:p>
    <w:p w14:paraId="52FB8A33" w14:textId="77777777" w:rsidR="00623799" w:rsidRDefault="0062379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623799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C9FF" w14:textId="77777777" w:rsidR="00D678A4" w:rsidRDefault="00D678A4">
      <w:r>
        <w:separator/>
      </w:r>
    </w:p>
  </w:endnote>
  <w:endnote w:type="continuationSeparator" w:id="0">
    <w:p w14:paraId="2807EA96" w14:textId="77777777" w:rsidR="00D678A4" w:rsidRDefault="00D6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C76B" w14:textId="77777777" w:rsidR="00623799" w:rsidRDefault="0062379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B443A00" w14:textId="77777777" w:rsidR="00623799" w:rsidRDefault="0062379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371F296" w14:textId="77777777" w:rsidR="00623799" w:rsidRDefault="0062379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T:\00000000-law\yael\05-10-02\999_495.doc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ADD8" w14:textId="77777777" w:rsidR="00623799" w:rsidRDefault="0062379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85C3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6B0010C" w14:textId="77777777" w:rsidR="00623799" w:rsidRDefault="0062379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925116F" w14:textId="77777777" w:rsidR="00623799" w:rsidRDefault="0062379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T:\00000000-law\yael\05-10-02\999_495.doc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F607" w14:textId="77777777" w:rsidR="00D678A4" w:rsidRDefault="00D678A4">
      <w:r>
        <w:separator/>
      </w:r>
    </w:p>
  </w:footnote>
  <w:footnote w:type="continuationSeparator" w:id="0">
    <w:p w14:paraId="29BDC447" w14:textId="77777777" w:rsidR="00D678A4" w:rsidRDefault="00D678A4">
      <w:r>
        <w:continuationSeparator/>
      </w:r>
    </w:p>
  </w:footnote>
  <w:footnote w:id="1">
    <w:p w14:paraId="5812AA1F" w14:textId="77777777" w:rsidR="00623799" w:rsidRDefault="006237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>
          <w:rPr>
            <w:rStyle w:val="Hyperlink"/>
            <w:rFonts w:hint="cs"/>
            <w:rtl/>
            <w:lang w:eastAsia="en-US"/>
          </w:rPr>
          <w:t>ק"ת תשס"ה מס' 6424</w:t>
        </w:r>
      </w:hyperlink>
      <w:r>
        <w:rPr>
          <w:rFonts w:hint="cs"/>
          <w:rtl/>
          <w:lang w:eastAsia="en-US"/>
        </w:rPr>
        <w:t xml:space="preserve"> מיום 27.9.2005 עמ' 1003.</w:t>
      </w:r>
    </w:p>
    <w:p w14:paraId="5F154871" w14:textId="77777777" w:rsidR="00623799" w:rsidRDefault="006237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  <w:lang w:eastAsia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6C1C" w14:textId="77777777" w:rsidR="00623799" w:rsidRDefault="0062379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81A294B" w14:textId="77777777" w:rsidR="00623799" w:rsidRDefault="0062379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EAEE1C8" w14:textId="77777777" w:rsidR="00623799" w:rsidRDefault="0062379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889A" w14:textId="77777777" w:rsidR="00623799" w:rsidRDefault="00623799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התעבורה (מסירת מידע בדבר מספר הנקודות לחיוב) (הוראת שעה)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14:paraId="7D0C40BA" w14:textId="77777777" w:rsidR="00623799" w:rsidRDefault="0062379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A1C1608" w14:textId="77777777" w:rsidR="00623799" w:rsidRDefault="0062379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799"/>
    <w:rsid w:val="00385C32"/>
    <w:rsid w:val="00623799"/>
    <w:rsid w:val="006A161A"/>
    <w:rsid w:val="00726E78"/>
    <w:rsid w:val="00D678A4"/>
    <w:rsid w:val="00E0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93D4905"/>
  <w15:chartTrackingRefBased/>
  <w15:docId w15:val="{4E4C8339-0DF6-49AF-A393-E2AB7232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1247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(מסירת מידע בדבר מספר הנקודות לחיוב) (הוראת שעה), תשס"ה-2005</vt:lpwstr>
  </property>
  <property fmtid="{D5CDD505-2E9C-101B-9397-08002B2CF9AE}" pid="5" name="LAWNUMBER">
    <vt:lpwstr>0495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http://www.nevo.co.il/Law_word/law06/TAK-6424.pdf;רשומות – תקנות כלליות#פורסמו ק"ת תשס"ה מס' 6424#מיום 27.9.2005#עמ' 1003</vt:lpwstr>
  </property>
  <property fmtid="{D5CDD505-2E9C-101B-9397-08002B2CF9AE}" pid="22" name="MEKOR_NAME1">
    <vt:lpwstr>פקודת התעבורה</vt:lpwstr>
  </property>
  <property fmtid="{D5CDD505-2E9C-101B-9397-08002B2CF9AE}" pid="23" name="MEKOR_SAIF1">
    <vt:lpwstr>69אXדX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תעבורה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