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6EEC" w:rsidRDefault="00F36EEC">
      <w:pPr>
        <w:pStyle w:val="big-header"/>
        <w:ind w:left="0" w:right="1134"/>
        <w:rPr>
          <w:rFonts w:cs="FrankRuehl"/>
          <w:sz w:val="32"/>
        </w:rPr>
      </w:pPr>
      <w:r>
        <w:rPr>
          <w:rFonts w:cs="FrankRuehl"/>
          <w:sz w:val="32"/>
          <w:rtl/>
        </w:rPr>
        <w:t>תקנות התעבורה (פטור מרישום ורישוי של גרורים למגורים מסוג מסויים), תשנ"א</w:t>
      </w:r>
      <w:r>
        <w:rPr>
          <w:rFonts w:cs="FrankRuehl" w:hint="cs"/>
          <w:sz w:val="32"/>
          <w:rtl/>
        </w:rPr>
        <w:t>-</w:t>
      </w:r>
      <w:r>
        <w:rPr>
          <w:rFonts w:cs="FrankRuehl"/>
          <w:sz w:val="32"/>
          <w:rtl/>
        </w:rPr>
        <w:t>1990</w:t>
      </w:r>
    </w:p>
    <w:p w:rsidR="00C1662B" w:rsidRPr="00C1662B" w:rsidRDefault="00C1662B" w:rsidP="00C1662B">
      <w:pPr>
        <w:spacing w:line="320" w:lineRule="auto"/>
        <w:jc w:val="left"/>
        <w:rPr>
          <w:rFonts w:cs="FrankRuehl"/>
          <w:szCs w:val="26"/>
          <w:rtl/>
        </w:rPr>
      </w:pPr>
    </w:p>
    <w:p w:rsidR="00876DEE" w:rsidRDefault="00876DEE" w:rsidP="00876DEE">
      <w:pPr>
        <w:spacing w:line="320" w:lineRule="auto"/>
        <w:jc w:val="left"/>
        <w:rPr>
          <w:rtl/>
        </w:rPr>
      </w:pPr>
    </w:p>
    <w:p w:rsidR="00876DEE" w:rsidRDefault="00876DEE" w:rsidP="00876DEE">
      <w:pPr>
        <w:spacing w:line="320" w:lineRule="auto"/>
        <w:jc w:val="left"/>
        <w:rPr>
          <w:rFonts w:cs="FrankRuehl"/>
          <w:szCs w:val="26"/>
          <w:rtl/>
        </w:rPr>
      </w:pPr>
      <w:r w:rsidRPr="00876DEE">
        <w:rPr>
          <w:rFonts w:cs="Miriam"/>
          <w:szCs w:val="22"/>
          <w:rtl/>
        </w:rPr>
        <w:t>רשויות ומשפט מנהלי</w:t>
      </w:r>
      <w:r w:rsidRPr="00876DEE">
        <w:rPr>
          <w:rFonts w:cs="FrankRuehl"/>
          <w:szCs w:val="26"/>
          <w:rtl/>
        </w:rPr>
        <w:t xml:space="preserve"> – רישוי – תעבורה – רכב</w:t>
      </w:r>
    </w:p>
    <w:p w:rsidR="00C1662B" w:rsidRPr="00876DEE" w:rsidRDefault="00876DEE" w:rsidP="00876DEE">
      <w:pPr>
        <w:spacing w:line="320" w:lineRule="auto"/>
        <w:jc w:val="left"/>
        <w:rPr>
          <w:rFonts w:cs="Miriam"/>
          <w:szCs w:val="22"/>
          <w:rtl/>
        </w:rPr>
      </w:pPr>
      <w:r w:rsidRPr="00876DEE">
        <w:rPr>
          <w:rFonts w:cs="Miriam"/>
          <w:szCs w:val="22"/>
          <w:rtl/>
        </w:rPr>
        <w:t>רשויות ומשפט מנהלי</w:t>
      </w:r>
      <w:r w:rsidRPr="00876DEE">
        <w:rPr>
          <w:rFonts w:cs="FrankRuehl"/>
          <w:szCs w:val="26"/>
          <w:rtl/>
        </w:rPr>
        <w:t xml:space="preserve"> – תעבורה – רכב – רישום ורישוי</w:t>
      </w:r>
    </w:p>
    <w:p w:rsidR="00F36EEC" w:rsidRDefault="00F36EEC">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36EEC">
        <w:tblPrEx>
          <w:tblCellMar>
            <w:top w:w="0" w:type="dxa"/>
            <w:bottom w:w="0" w:type="dxa"/>
          </w:tblCellMar>
        </w:tblPrEx>
        <w:tc>
          <w:tcPr>
            <w:tcW w:w="850" w:type="dxa"/>
          </w:tcPr>
          <w:p w:rsidR="00F36EEC" w:rsidRDefault="00F36EE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36EEC" w:rsidRDefault="00F36EEC">
            <w:pPr>
              <w:spacing w:line="240" w:lineRule="auto"/>
              <w:rPr>
                <w:sz w:val="24"/>
              </w:rPr>
            </w:pPr>
            <w:hyperlink w:anchor="Seif0" w:tooltip="הגדרה" w:history="1">
              <w:r>
                <w:rPr>
                  <w:rStyle w:val="Hyperlink"/>
                </w:rPr>
                <w:t>Go</w:t>
              </w:r>
            </w:hyperlink>
          </w:p>
        </w:tc>
        <w:tc>
          <w:tcPr>
            <w:tcW w:w="5669" w:type="dxa"/>
          </w:tcPr>
          <w:p w:rsidR="00F36EEC" w:rsidRDefault="00F36EEC">
            <w:pPr>
              <w:spacing w:line="240" w:lineRule="auto"/>
              <w:rPr>
                <w:sz w:val="24"/>
                <w:rtl/>
              </w:rPr>
            </w:pPr>
            <w:r>
              <w:rPr>
                <w:sz w:val="24"/>
                <w:rtl/>
              </w:rPr>
              <w:t>הגדרה</w:t>
            </w:r>
          </w:p>
        </w:tc>
        <w:tc>
          <w:tcPr>
            <w:tcW w:w="1247" w:type="dxa"/>
          </w:tcPr>
          <w:p w:rsidR="00F36EEC" w:rsidRDefault="00F36EEC">
            <w:pPr>
              <w:spacing w:line="240" w:lineRule="auto"/>
              <w:rPr>
                <w:sz w:val="24"/>
              </w:rPr>
            </w:pPr>
            <w:r>
              <w:rPr>
                <w:sz w:val="24"/>
                <w:rtl/>
              </w:rPr>
              <w:t xml:space="preserve">סעיף 1 </w:t>
            </w:r>
          </w:p>
        </w:tc>
      </w:tr>
      <w:tr w:rsidR="00F36EEC">
        <w:tblPrEx>
          <w:tblCellMar>
            <w:top w:w="0" w:type="dxa"/>
            <w:bottom w:w="0" w:type="dxa"/>
          </w:tblCellMar>
        </w:tblPrEx>
        <w:tc>
          <w:tcPr>
            <w:tcW w:w="850" w:type="dxa"/>
          </w:tcPr>
          <w:p w:rsidR="00F36EEC" w:rsidRDefault="00F36EE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36EEC" w:rsidRDefault="00F36EEC">
            <w:pPr>
              <w:spacing w:line="240" w:lineRule="auto"/>
              <w:rPr>
                <w:sz w:val="24"/>
              </w:rPr>
            </w:pPr>
            <w:hyperlink w:anchor="Seif1" w:tooltip="פטור" w:history="1">
              <w:r>
                <w:rPr>
                  <w:rStyle w:val="Hyperlink"/>
                </w:rPr>
                <w:t>Go</w:t>
              </w:r>
            </w:hyperlink>
          </w:p>
        </w:tc>
        <w:tc>
          <w:tcPr>
            <w:tcW w:w="5669" w:type="dxa"/>
          </w:tcPr>
          <w:p w:rsidR="00F36EEC" w:rsidRDefault="00F36EEC">
            <w:pPr>
              <w:spacing w:line="240" w:lineRule="auto"/>
              <w:rPr>
                <w:sz w:val="24"/>
                <w:rtl/>
              </w:rPr>
            </w:pPr>
            <w:r>
              <w:rPr>
                <w:sz w:val="24"/>
                <w:rtl/>
              </w:rPr>
              <w:t>פטור</w:t>
            </w:r>
          </w:p>
        </w:tc>
        <w:tc>
          <w:tcPr>
            <w:tcW w:w="1247" w:type="dxa"/>
          </w:tcPr>
          <w:p w:rsidR="00F36EEC" w:rsidRDefault="00F36EEC">
            <w:pPr>
              <w:spacing w:line="240" w:lineRule="auto"/>
              <w:rPr>
                <w:sz w:val="24"/>
              </w:rPr>
            </w:pPr>
            <w:r>
              <w:rPr>
                <w:sz w:val="24"/>
                <w:rtl/>
              </w:rPr>
              <w:t xml:space="preserve">סעיף 2 </w:t>
            </w:r>
          </w:p>
        </w:tc>
      </w:tr>
    </w:tbl>
    <w:p w:rsidR="00F36EEC" w:rsidRDefault="00F36EEC">
      <w:pPr>
        <w:pStyle w:val="big-header"/>
        <w:ind w:left="0" w:right="1134"/>
        <w:rPr>
          <w:rFonts w:cs="FrankRuehl"/>
          <w:sz w:val="32"/>
          <w:rtl/>
        </w:rPr>
      </w:pPr>
    </w:p>
    <w:p w:rsidR="00F36EEC" w:rsidRDefault="00F36EEC" w:rsidP="00C1662B">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התעבורה (פטור מרי</w:t>
      </w:r>
      <w:r>
        <w:rPr>
          <w:rFonts w:cs="FrankRuehl"/>
          <w:sz w:val="32"/>
          <w:rtl/>
        </w:rPr>
        <w:t>ש</w:t>
      </w:r>
      <w:r>
        <w:rPr>
          <w:rFonts w:cs="FrankRuehl" w:hint="cs"/>
          <w:sz w:val="32"/>
          <w:rtl/>
        </w:rPr>
        <w:t>ום ורישוי של גרורים למגורים מסוג מסויים), תשנ"א-</w:t>
      </w:r>
      <w:r>
        <w:rPr>
          <w:rFonts w:cs="FrankRuehl"/>
          <w:sz w:val="32"/>
          <w:rtl/>
        </w:rPr>
        <w:t>1990</w:t>
      </w:r>
      <w:r>
        <w:rPr>
          <w:rStyle w:val="default"/>
          <w:rtl/>
        </w:rPr>
        <w:footnoteReference w:customMarkFollows="1" w:id="1"/>
        <w:t>*</w:t>
      </w:r>
    </w:p>
    <w:p w:rsidR="00F36EEC" w:rsidRDefault="00F36EEC">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18 לפקודת התעבורה, אני מתקין תקנות אלה:</w:t>
      </w:r>
    </w:p>
    <w:p w:rsidR="00F36EEC" w:rsidRDefault="00F36EEC">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8pt;z-index:251657216" o:allowincell="f" filled="f" stroked="f" strokecolor="lime" strokeweight=".25pt">
            <v:textbox style="mso-next-textbox:#_x0000_s1026" inset="0,0,0,0">
              <w:txbxContent>
                <w:p w:rsidR="00F36EEC" w:rsidRDefault="00F36EEC">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קנות אלה, "גרור" ו"גורר" -</w:t>
      </w:r>
      <w:r>
        <w:rPr>
          <w:rStyle w:val="default"/>
          <w:rFonts w:cs="FrankRuehl"/>
          <w:rtl/>
        </w:rPr>
        <w:t xml:space="preserve"> </w:t>
      </w:r>
      <w:r>
        <w:rPr>
          <w:rStyle w:val="default"/>
          <w:rFonts w:cs="FrankRuehl" w:hint="cs"/>
          <w:rtl/>
        </w:rPr>
        <w:t>כמשמעותם בתקנות התעבורה, תשכ"א-</w:t>
      </w:r>
      <w:r>
        <w:rPr>
          <w:rStyle w:val="default"/>
          <w:rFonts w:cs="FrankRuehl"/>
          <w:rtl/>
        </w:rPr>
        <w:t>1961.</w:t>
      </w:r>
    </w:p>
    <w:p w:rsidR="00F36EEC" w:rsidRDefault="00F36EEC">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8pt;z-index:251658240" o:allowincell="f" filled="f" stroked="f" strokecolor="lime" strokeweight=".25pt">
            <v:textbox style="mso-next-textbox:#_x0000_s1027" inset="0,0,0,0">
              <w:txbxContent>
                <w:p w:rsidR="00F36EEC" w:rsidRDefault="00F36EEC">
                  <w:pPr>
                    <w:spacing w:line="160" w:lineRule="exact"/>
                    <w:jc w:val="left"/>
                    <w:rPr>
                      <w:rFonts w:cs="Miriam"/>
                      <w:noProof/>
                      <w:sz w:val="18"/>
                      <w:szCs w:val="18"/>
                      <w:rtl/>
                    </w:rPr>
                  </w:pPr>
                  <w:r>
                    <w:rPr>
                      <w:rFonts w:cs="Miriam"/>
                      <w:sz w:val="18"/>
                      <w:szCs w:val="18"/>
                      <w:rtl/>
                    </w:rPr>
                    <w:t>פט</w:t>
                  </w:r>
                  <w:r>
                    <w:rPr>
                      <w:rFonts w:cs="Miriam" w:hint="cs"/>
                      <w:sz w:val="18"/>
                      <w:szCs w:val="18"/>
                      <w:rtl/>
                    </w:rPr>
                    <w:t>ור</w:t>
                  </w:r>
                </w:p>
              </w:txbxContent>
            </v:textbox>
            <w10:anchorlock/>
          </v:rect>
        </w:pict>
      </w:r>
      <w:r>
        <w:rPr>
          <w:rStyle w:val="big-number"/>
          <w:rFonts w:cs="Miriam"/>
          <w:rtl/>
        </w:rPr>
        <w:t>2.</w:t>
      </w:r>
      <w:r>
        <w:rPr>
          <w:rStyle w:val="big-number"/>
          <w:rFonts w:cs="Miriam"/>
          <w:rtl/>
        </w:rPr>
        <w:tab/>
      </w:r>
      <w:r>
        <w:rPr>
          <w:rStyle w:val="default"/>
          <w:rFonts w:cs="FrankRuehl"/>
          <w:rtl/>
        </w:rPr>
        <w:t>בע</w:t>
      </w:r>
      <w:r>
        <w:rPr>
          <w:rStyle w:val="default"/>
          <w:rFonts w:cs="FrankRuehl" w:hint="cs"/>
          <w:rtl/>
        </w:rPr>
        <w:t>ל גרור המשמש למגורים</w:t>
      </w:r>
      <w:r>
        <w:rPr>
          <w:rStyle w:val="default"/>
          <w:rFonts w:cs="FrankRuehl"/>
          <w:rtl/>
        </w:rPr>
        <w:t xml:space="preserve"> פ</w:t>
      </w:r>
      <w:r>
        <w:rPr>
          <w:rStyle w:val="default"/>
          <w:rFonts w:cs="FrankRuehl" w:hint="cs"/>
          <w:rtl/>
        </w:rPr>
        <w:t>טור מחובת רישום ורישוי אם נתקיימו בגרור כל אלה:</w:t>
      </w:r>
    </w:p>
    <w:p w:rsidR="00F36EEC" w:rsidRDefault="00F36EE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ידותיו אינן עולות על:</w:t>
      </w:r>
    </w:p>
    <w:p w:rsidR="00F36EEC" w:rsidRDefault="00F36EEC">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או</w:t>
      </w:r>
      <w:r>
        <w:rPr>
          <w:rStyle w:val="default"/>
          <w:rFonts w:cs="FrankRuehl" w:hint="cs"/>
          <w:rtl/>
        </w:rPr>
        <w:t>רך -</w:t>
      </w:r>
      <w:r>
        <w:rPr>
          <w:rStyle w:val="default"/>
          <w:rFonts w:cs="FrankRuehl"/>
          <w:rtl/>
        </w:rPr>
        <w:t xml:space="preserve"> 12.50 </w:t>
      </w:r>
      <w:r>
        <w:rPr>
          <w:rStyle w:val="default"/>
          <w:rFonts w:cs="FrankRuehl" w:hint="cs"/>
          <w:rtl/>
        </w:rPr>
        <w:t>מטרים;</w:t>
      </w:r>
    </w:p>
    <w:p w:rsidR="00F36EEC" w:rsidRDefault="00F36EEC">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רו</w:t>
      </w:r>
      <w:r>
        <w:rPr>
          <w:rStyle w:val="default"/>
          <w:rFonts w:cs="FrankRuehl" w:hint="cs"/>
          <w:rtl/>
        </w:rPr>
        <w:t>חב -</w:t>
      </w:r>
      <w:r>
        <w:rPr>
          <w:rStyle w:val="default"/>
          <w:rFonts w:cs="FrankRuehl"/>
          <w:rtl/>
        </w:rPr>
        <w:t xml:space="preserve"> 3.70 </w:t>
      </w:r>
      <w:r>
        <w:rPr>
          <w:rStyle w:val="default"/>
          <w:rFonts w:cs="FrankRuehl" w:hint="cs"/>
          <w:rtl/>
        </w:rPr>
        <w:t>מטרים;</w:t>
      </w:r>
    </w:p>
    <w:p w:rsidR="00F36EEC" w:rsidRDefault="00F36EEC">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גו</w:t>
      </w:r>
      <w:r>
        <w:rPr>
          <w:rStyle w:val="default"/>
          <w:rFonts w:cs="FrankRuehl" w:hint="cs"/>
          <w:rtl/>
        </w:rPr>
        <w:t>בה -</w:t>
      </w:r>
      <w:r>
        <w:rPr>
          <w:rStyle w:val="default"/>
          <w:rFonts w:cs="FrankRuehl"/>
          <w:rtl/>
        </w:rPr>
        <w:t xml:space="preserve"> 4.00 </w:t>
      </w:r>
      <w:r>
        <w:rPr>
          <w:rStyle w:val="default"/>
          <w:rFonts w:cs="FrankRuehl" w:hint="cs"/>
          <w:rtl/>
        </w:rPr>
        <w:t>מטרים;</w:t>
      </w:r>
    </w:p>
    <w:p w:rsidR="00F36EEC" w:rsidRDefault="00F36EEC">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שקלו הכולל המותר אינו עולה על 4,500 ק"ג;</w:t>
      </w:r>
    </w:p>
    <w:p w:rsidR="00F36EEC" w:rsidRDefault="00F36EEC">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משמש כקרון למגורים המיועד להיות מוצב דרך קבע באתר בניה;</w:t>
      </w:r>
    </w:p>
    <w:p w:rsidR="00F36EEC" w:rsidRDefault="00F36EEC">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יתן לגררו ממקום למ</w:t>
      </w:r>
      <w:r>
        <w:rPr>
          <w:rStyle w:val="default"/>
          <w:rFonts w:cs="FrankRuehl"/>
          <w:rtl/>
        </w:rPr>
        <w:t>ק</w:t>
      </w:r>
      <w:r>
        <w:rPr>
          <w:rStyle w:val="default"/>
          <w:rFonts w:cs="FrankRuehl" w:hint="cs"/>
          <w:rtl/>
        </w:rPr>
        <w:t>ום כשהוא נגרר על ידי גורר שניתן לגביו היתר מיוחד ובהתאם לתנאי ההיתר, ובלבד שהוא נגרר לשם העברתו מנמל אל אתר בניה שבו יוצב דרך קבע או למקום שבו יאוחסן או ממקום אחסונו לאתר בניה, או מאתר בניה אחד לאתר בניה אחר שבו יוצב דרך קבע.</w:t>
      </w:r>
    </w:p>
    <w:p w:rsidR="00F36EEC" w:rsidRDefault="00F36EEC">
      <w:pPr>
        <w:pStyle w:val="P22"/>
        <w:spacing w:before="72"/>
        <w:ind w:left="1021" w:right="1134"/>
        <w:rPr>
          <w:rStyle w:val="default"/>
          <w:rFonts w:cs="FrankRuehl"/>
          <w:rtl/>
        </w:rPr>
      </w:pPr>
    </w:p>
    <w:p w:rsidR="00F36EEC" w:rsidRDefault="00F36EEC">
      <w:pPr>
        <w:pStyle w:val="sig-0"/>
        <w:ind w:left="0" w:right="1134"/>
        <w:rPr>
          <w:rFonts w:cs="FrankRuehl"/>
          <w:sz w:val="26"/>
          <w:rtl/>
        </w:rPr>
      </w:pPr>
      <w:r>
        <w:rPr>
          <w:rFonts w:cs="FrankRuehl"/>
          <w:sz w:val="26"/>
          <w:rtl/>
        </w:rPr>
        <w:t>כ"</w:t>
      </w:r>
      <w:r>
        <w:rPr>
          <w:rFonts w:cs="FrankRuehl" w:hint="cs"/>
          <w:sz w:val="26"/>
          <w:rtl/>
        </w:rPr>
        <w:t xml:space="preserve">ט </w:t>
      </w:r>
      <w:r>
        <w:rPr>
          <w:rFonts w:cs="FrankRuehl"/>
          <w:sz w:val="26"/>
          <w:rtl/>
        </w:rPr>
        <w:t>בכ</w:t>
      </w:r>
      <w:r>
        <w:rPr>
          <w:rFonts w:cs="FrankRuehl" w:hint="cs"/>
          <w:sz w:val="26"/>
          <w:rtl/>
        </w:rPr>
        <w:t>סלו תשנ"א (16 בדצמבר 1</w:t>
      </w:r>
      <w:r>
        <w:rPr>
          <w:rFonts w:cs="FrankRuehl"/>
          <w:sz w:val="26"/>
          <w:rtl/>
        </w:rPr>
        <w:t>990)</w:t>
      </w:r>
      <w:r>
        <w:rPr>
          <w:rFonts w:cs="FrankRuehl"/>
          <w:sz w:val="26"/>
          <w:rtl/>
        </w:rPr>
        <w:tab/>
        <w:t>מ</w:t>
      </w:r>
      <w:r>
        <w:rPr>
          <w:rFonts w:cs="FrankRuehl" w:hint="cs"/>
          <w:sz w:val="26"/>
          <w:rtl/>
        </w:rPr>
        <w:t>שה קצב</w:t>
      </w:r>
    </w:p>
    <w:p w:rsidR="00F36EEC" w:rsidRDefault="00F36EEC">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התחבורה</w:t>
      </w:r>
    </w:p>
    <w:p w:rsidR="00F36EEC" w:rsidRDefault="00F36EEC">
      <w:pPr>
        <w:pStyle w:val="P00"/>
        <w:spacing w:before="72"/>
        <w:ind w:left="0" w:right="1134"/>
        <w:rPr>
          <w:rStyle w:val="default"/>
          <w:rFonts w:cs="FrankRuehl" w:hint="cs"/>
          <w:rtl/>
        </w:rPr>
      </w:pPr>
    </w:p>
    <w:p w:rsidR="00F36EEC" w:rsidRDefault="00F36EEC">
      <w:pPr>
        <w:pStyle w:val="P00"/>
        <w:spacing w:before="72"/>
        <w:ind w:left="0" w:right="1134"/>
        <w:rPr>
          <w:rStyle w:val="default"/>
          <w:rFonts w:cs="FrankRuehl"/>
          <w:rtl/>
        </w:rPr>
      </w:pPr>
    </w:p>
    <w:p w:rsidR="00F36EEC" w:rsidRDefault="00F36EEC">
      <w:pPr>
        <w:pStyle w:val="P00"/>
        <w:spacing w:before="72"/>
        <w:ind w:left="0" w:right="1134"/>
        <w:rPr>
          <w:rStyle w:val="default"/>
          <w:rFonts w:cs="FrankRuehl"/>
          <w:rtl/>
        </w:rPr>
      </w:pPr>
      <w:bookmarkStart w:id="2" w:name="LawPartEnd"/>
    </w:p>
    <w:bookmarkEnd w:id="2"/>
    <w:p w:rsidR="00F36EEC" w:rsidRDefault="00F36EEC">
      <w:pPr>
        <w:pStyle w:val="P00"/>
        <w:spacing w:before="72"/>
        <w:ind w:left="0" w:right="1134"/>
        <w:rPr>
          <w:rStyle w:val="default"/>
          <w:rFonts w:cs="FrankRuehl"/>
          <w:rtl/>
        </w:rPr>
      </w:pPr>
    </w:p>
    <w:sectPr w:rsidR="00F36EEC">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5A8E" w:rsidRDefault="00D15A8E">
      <w:r>
        <w:separator/>
      </w:r>
    </w:p>
  </w:endnote>
  <w:endnote w:type="continuationSeparator" w:id="0">
    <w:p w:rsidR="00D15A8E" w:rsidRDefault="00D15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6EEC" w:rsidRDefault="00F36EE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36EEC" w:rsidRDefault="00F36EE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36EEC" w:rsidRDefault="00F36EE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C:\Yael\hakika\Revadim\P230_050.doc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6EEC" w:rsidRDefault="00F36EE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76DEE">
      <w:rPr>
        <w:rFonts w:hAnsi="FrankRuehl" w:cs="FrankRuehl"/>
        <w:noProof/>
        <w:sz w:val="24"/>
        <w:szCs w:val="24"/>
        <w:rtl/>
      </w:rPr>
      <w:t>2</w:t>
    </w:r>
    <w:r>
      <w:rPr>
        <w:rFonts w:hAnsi="FrankRuehl" w:cs="FrankRuehl"/>
        <w:sz w:val="24"/>
        <w:szCs w:val="24"/>
        <w:rtl/>
      </w:rPr>
      <w:fldChar w:fldCharType="end"/>
    </w:r>
  </w:p>
  <w:p w:rsidR="00F36EEC" w:rsidRDefault="00F36EE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36EEC" w:rsidRDefault="00F36EE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C:\Yael\hakika\Revadim\P230_050.doc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5A8E" w:rsidRDefault="00D15A8E">
      <w:pPr>
        <w:spacing w:before="60" w:line="240" w:lineRule="auto"/>
        <w:ind w:right="1134"/>
      </w:pPr>
      <w:r>
        <w:separator/>
      </w:r>
    </w:p>
  </w:footnote>
  <w:footnote w:type="continuationSeparator" w:id="0">
    <w:p w:rsidR="00D15A8E" w:rsidRDefault="00D15A8E">
      <w:r>
        <w:continuationSeparator/>
      </w:r>
    </w:p>
  </w:footnote>
  <w:footnote w:id="1">
    <w:p w:rsidR="00F36EEC" w:rsidRDefault="00F36E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תשנ"א מס' 5317</w:t>
        </w:r>
      </w:hyperlink>
      <w:r>
        <w:rPr>
          <w:rFonts w:cs="FrankRuehl" w:hint="cs"/>
          <w:rtl/>
        </w:rPr>
        <w:t xml:space="preserve"> מיום 27.12.1990 עמ' 353.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6EEC" w:rsidRDefault="00F36EE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התעבורה (פטור מרישום ורישוי של גרורים למגורים מסוג מסויים), תשנ"א–1990</w:t>
    </w:r>
  </w:p>
  <w:p w:rsidR="00F36EEC" w:rsidRDefault="00F36EE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36EEC" w:rsidRDefault="00F36EE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6EEC" w:rsidRDefault="00F36EE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התעבורה (פטור מרישום ורישוי של גרורים למגורים מסוג מסויים), תשנ"א</w:t>
    </w:r>
    <w:r>
      <w:rPr>
        <w:rFonts w:hAnsi="FrankRuehl" w:cs="FrankRuehl" w:hint="cs"/>
        <w:color w:val="000000"/>
        <w:sz w:val="28"/>
        <w:szCs w:val="28"/>
        <w:rtl/>
      </w:rPr>
      <w:t>-</w:t>
    </w:r>
    <w:r>
      <w:rPr>
        <w:rFonts w:hAnsi="FrankRuehl" w:cs="FrankRuehl"/>
        <w:color w:val="000000"/>
        <w:sz w:val="28"/>
        <w:szCs w:val="28"/>
        <w:rtl/>
      </w:rPr>
      <w:t>1990</w:t>
    </w:r>
  </w:p>
  <w:p w:rsidR="00F36EEC" w:rsidRDefault="00F36EE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36EEC" w:rsidRDefault="00F36EE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6EEC"/>
    <w:rsid w:val="00184483"/>
    <w:rsid w:val="00680337"/>
    <w:rsid w:val="00876DEE"/>
    <w:rsid w:val="00993520"/>
    <w:rsid w:val="00C1662B"/>
    <w:rsid w:val="00D15A8E"/>
    <w:rsid w:val="00E84B3B"/>
    <w:rsid w:val="00F36EE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3E53694-116A-4472-899E-29EA4D03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3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פרק 230</vt:lpstr>
    </vt:vector>
  </TitlesOfParts>
  <Company/>
  <LinksUpToDate>false</LinksUpToDate>
  <CharactersWithSpaces>1136</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8192012</vt:i4>
      </vt:variant>
      <vt:variant>
        <vt:i4>0</vt:i4>
      </vt:variant>
      <vt:variant>
        <vt:i4>0</vt:i4>
      </vt:variant>
      <vt:variant>
        <vt:i4>5</vt:i4>
      </vt:variant>
      <vt:variant>
        <vt:lpwstr>http://www.nevo.co.il/Law_word/law06/TAK-5317.pdf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230</dc:title>
  <dc:subject/>
  <dc:creator>eli</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P230</vt:lpwstr>
  </property>
  <property fmtid="{D5CDD505-2E9C-101B-9397-08002B2CF9AE}" pid="3" name="CHNAME">
    <vt:lpwstr>תעבורה</vt:lpwstr>
  </property>
  <property fmtid="{D5CDD505-2E9C-101B-9397-08002B2CF9AE}" pid="4" name="LAWNAME">
    <vt:lpwstr>תקנות התעבורה (פטור מרישום ורישוי של גרורים למגורים מסוג מסויים), תשנ"א-1990</vt:lpwstr>
  </property>
  <property fmtid="{D5CDD505-2E9C-101B-9397-08002B2CF9AE}" pid="5" name="LAWNUMBER">
    <vt:lpwstr>0050</vt:lpwstr>
  </property>
  <property fmtid="{D5CDD505-2E9C-101B-9397-08002B2CF9AE}" pid="6" name="TYPE">
    <vt:lpwstr>01</vt:lpwstr>
  </property>
  <property fmtid="{D5CDD505-2E9C-101B-9397-08002B2CF9AE}" pid="7" name="MEKOR_NAME1">
    <vt:lpwstr>פקודת התעבורה</vt:lpwstr>
  </property>
  <property fmtid="{D5CDD505-2E9C-101B-9397-08002B2CF9AE}" pid="8" name="MEKOR_SAIF1">
    <vt:lpwstr>18X</vt:lpwstr>
  </property>
  <property fmtid="{D5CDD505-2E9C-101B-9397-08002B2CF9AE}" pid="9" name="NOSE11">
    <vt:lpwstr>רשויות ומשפט מנהלי</vt:lpwstr>
  </property>
  <property fmtid="{D5CDD505-2E9C-101B-9397-08002B2CF9AE}" pid="10" name="NOSE21">
    <vt:lpwstr>רישוי</vt:lpwstr>
  </property>
  <property fmtid="{D5CDD505-2E9C-101B-9397-08002B2CF9AE}" pid="11" name="NOSE31">
    <vt:lpwstr>תעבורה</vt:lpwstr>
  </property>
  <property fmtid="{D5CDD505-2E9C-101B-9397-08002B2CF9AE}" pid="12" name="NOSE41">
    <vt:lpwstr>רכב</vt:lpwstr>
  </property>
  <property fmtid="{D5CDD505-2E9C-101B-9397-08002B2CF9AE}" pid="13" name="NOSE12">
    <vt:lpwstr>רשויות ומשפט מנהלי</vt:lpwstr>
  </property>
  <property fmtid="{D5CDD505-2E9C-101B-9397-08002B2CF9AE}" pid="14" name="NOSE22">
    <vt:lpwstr>תעבורה</vt:lpwstr>
  </property>
  <property fmtid="{D5CDD505-2E9C-101B-9397-08002B2CF9AE}" pid="15" name="NOSE32">
    <vt:lpwstr>רכב</vt:lpwstr>
  </property>
  <property fmtid="{D5CDD505-2E9C-101B-9397-08002B2CF9AE}" pid="16" name="NOSE42">
    <vt:lpwstr>רישום ורישוי</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