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00D" w:rsidRDefault="0096300D">
      <w:pPr>
        <w:pStyle w:val="big-header"/>
        <w:ind w:left="0" w:right="1134"/>
        <w:rPr>
          <w:rFonts w:hint="cs"/>
          <w:rtl/>
        </w:rPr>
      </w:pPr>
      <w:r>
        <w:rPr>
          <w:rFonts w:hint="cs"/>
          <w:rtl/>
        </w:rPr>
        <w:t>תקנות התעבורה (שמירת דיסקת טכוגרף והגשתה לבית המשפט), תשס"ז-2007</w:t>
      </w:r>
    </w:p>
    <w:p w:rsidR="00705251" w:rsidRPr="00705251" w:rsidRDefault="00705251" w:rsidP="00705251">
      <w:pPr>
        <w:spacing w:line="320" w:lineRule="auto"/>
        <w:jc w:val="left"/>
        <w:rPr>
          <w:rFonts w:cs="FrankRuehl"/>
          <w:szCs w:val="26"/>
          <w:rtl/>
        </w:rPr>
      </w:pPr>
    </w:p>
    <w:p w:rsidR="00705251" w:rsidRDefault="00705251" w:rsidP="00705251">
      <w:pPr>
        <w:spacing w:line="320" w:lineRule="auto"/>
        <w:jc w:val="left"/>
        <w:rPr>
          <w:rFonts w:cs="Miriam"/>
          <w:szCs w:val="22"/>
          <w:rtl/>
        </w:rPr>
      </w:pPr>
      <w:r w:rsidRPr="00705251">
        <w:rPr>
          <w:rFonts w:cs="Miriam"/>
          <w:szCs w:val="22"/>
          <w:rtl/>
        </w:rPr>
        <w:t>רשויות ומשפט מנהלי</w:t>
      </w:r>
      <w:r w:rsidRPr="00705251">
        <w:rPr>
          <w:rFonts w:cs="FrankRuehl"/>
          <w:szCs w:val="26"/>
          <w:rtl/>
        </w:rPr>
        <w:t xml:space="preserve"> – תעבורה – עבירות וביהמ"ש – סדרי דין</w:t>
      </w:r>
    </w:p>
    <w:p w:rsidR="00705251" w:rsidRDefault="00705251" w:rsidP="00705251">
      <w:pPr>
        <w:spacing w:line="320" w:lineRule="auto"/>
        <w:jc w:val="left"/>
        <w:rPr>
          <w:rFonts w:cs="Miriam"/>
          <w:szCs w:val="22"/>
          <w:rtl/>
        </w:rPr>
      </w:pPr>
      <w:r w:rsidRPr="00705251">
        <w:rPr>
          <w:rFonts w:cs="Miriam"/>
          <w:szCs w:val="22"/>
          <w:rtl/>
        </w:rPr>
        <w:t>בתי משפט וסדרי דין</w:t>
      </w:r>
      <w:r w:rsidRPr="00705251">
        <w:rPr>
          <w:rFonts w:cs="FrankRuehl"/>
          <w:szCs w:val="26"/>
          <w:rtl/>
        </w:rPr>
        <w:t xml:space="preserve"> – סדר דין פלילי</w:t>
      </w:r>
    </w:p>
    <w:p w:rsidR="00705251" w:rsidRDefault="00705251" w:rsidP="00705251">
      <w:pPr>
        <w:spacing w:line="320" w:lineRule="auto"/>
        <w:jc w:val="left"/>
        <w:rPr>
          <w:rFonts w:cs="Miriam"/>
          <w:szCs w:val="22"/>
          <w:rtl/>
        </w:rPr>
      </w:pPr>
      <w:r w:rsidRPr="00705251">
        <w:rPr>
          <w:rFonts w:cs="Miriam"/>
          <w:szCs w:val="22"/>
          <w:rtl/>
        </w:rPr>
        <w:t>בתי משפט וסדרי דין</w:t>
      </w:r>
      <w:r w:rsidRPr="00705251">
        <w:rPr>
          <w:rFonts w:cs="FrankRuehl"/>
          <w:szCs w:val="26"/>
          <w:rtl/>
        </w:rPr>
        <w:t xml:space="preserve"> – ראיות</w:t>
      </w:r>
    </w:p>
    <w:p w:rsidR="001039D3" w:rsidRPr="00705251" w:rsidRDefault="00705251" w:rsidP="00705251">
      <w:pPr>
        <w:spacing w:line="320" w:lineRule="auto"/>
        <w:jc w:val="left"/>
        <w:rPr>
          <w:rFonts w:cs="Miriam"/>
          <w:szCs w:val="22"/>
          <w:rtl/>
        </w:rPr>
      </w:pPr>
      <w:r w:rsidRPr="00705251">
        <w:rPr>
          <w:rFonts w:cs="Miriam"/>
          <w:szCs w:val="22"/>
          <w:rtl/>
        </w:rPr>
        <w:t>בתי משפט וסדרי דין</w:t>
      </w:r>
      <w:r w:rsidRPr="00705251">
        <w:rPr>
          <w:rFonts w:cs="FrankRuehl"/>
          <w:szCs w:val="26"/>
          <w:rtl/>
        </w:rPr>
        <w:t xml:space="preserve"> – בתי משפט ובתי דין – בימ"ש לתעבורה</w:t>
      </w:r>
    </w:p>
    <w:p w:rsidR="0096300D" w:rsidRDefault="0096300D">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6300D">
        <w:tblPrEx>
          <w:tblCellMar>
            <w:top w:w="0" w:type="dxa"/>
            <w:bottom w:w="0" w:type="dxa"/>
          </w:tblCellMar>
        </w:tblPrEx>
        <w:trPr>
          <w:jc w:val="right"/>
        </w:trPr>
        <w:tc>
          <w:tcPr>
            <w:tcW w:w="850" w:type="dxa"/>
          </w:tcPr>
          <w:p w:rsidR="0096300D" w:rsidRDefault="0096300D">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96300D" w:rsidRDefault="0096300D">
            <w:pPr>
              <w:spacing w:line="240" w:lineRule="auto"/>
              <w:jc w:val="left"/>
              <w:rPr>
                <w:rFonts w:cs="Frankruhel" w:hint="cs"/>
                <w:sz w:val="24"/>
              </w:rPr>
            </w:pPr>
            <w:hyperlink w:anchor="Seif0" w:tooltip="הגדרות" w:history="1">
              <w:r>
                <w:rPr>
                  <w:rStyle w:val="Hyperlink"/>
                </w:rPr>
                <w:t>Go</w:t>
              </w:r>
            </w:hyperlink>
          </w:p>
        </w:tc>
        <w:tc>
          <w:tcPr>
            <w:tcW w:w="5669" w:type="dxa"/>
          </w:tcPr>
          <w:p w:rsidR="0096300D" w:rsidRDefault="0096300D">
            <w:pPr>
              <w:spacing w:line="240" w:lineRule="auto"/>
              <w:jc w:val="left"/>
              <w:rPr>
                <w:rFonts w:cs="Frankruhel"/>
                <w:sz w:val="24"/>
                <w:rtl/>
              </w:rPr>
            </w:pPr>
            <w:r>
              <w:rPr>
                <w:rFonts w:cs="Frankruhel"/>
                <w:sz w:val="24"/>
                <w:rtl/>
              </w:rPr>
              <w:t>הגדרות</w:t>
            </w:r>
          </w:p>
        </w:tc>
        <w:tc>
          <w:tcPr>
            <w:tcW w:w="1247" w:type="dxa"/>
          </w:tcPr>
          <w:p w:rsidR="0096300D" w:rsidRDefault="0096300D">
            <w:pPr>
              <w:spacing w:line="240" w:lineRule="auto"/>
              <w:jc w:val="left"/>
              <w:rPr>
                <w:rFonts w:cs="Frankruhel" w:hint="cs"/>
                <w:sz w:val="24"/>
              </w:rPr>
            </w:pPr>
            <w:r>
              <w:rPr>
                <w:rFonts w:cs="Frankruhel"/>
                <w:sz w:val="24"/>
                <w:rtl/>
              </w:rPr>
              <w:t xml:space="preserve">סעיף 1 </w:t>
            </w:r>
          </w:p>
        </w:tc>
      </w:tr>
      <w:tr w:rsidR="0096300D">
        <w:tblPrEx>
          <w:tblCellMar>
            <w:top w:w="0" w:type="dxa"/>
            <w:bottom w:w="0" w:type="dxa"/>
          </w:tblCellMar>
        </w:tblPrEx>
        <w:trPr>
          <w:jc w:val="right"/>
        </w:trPr>
        <w:tc>
          <w:tcPr>
            <w:tcW w:w="850" w:type="dxa"/>
          </w:tcPr>
          <w:p w:rsidR="0096300D" w:rsidRDefault="0096300D">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96300D" w:rsidRDefault="0096300D">
            <w:pPr>
              <w:spacing w:line="240" w:lineRule="auto"/>
              <w:jc w:val="left"/>
              <w:rPr>
                <w:rFonts w:cs="Frankruhel" w:hint="cs"/>
                <w:sz w:val="24"/>
              </w:rPr>
            </w:pPr>
            <w:hyperlink w:anchor="Seif1" w:tooltip="סימון, שמירה והחזקה של דיסקה" w:history="1">
              <w:r>
                <w:rPr>
                  <w:rStyle w:val="Hyperlink"/>
                </w:rPr>
                <w:t>Go</w:t>
              </w:r>
            </w:hyperlink>
          </w:p>
        </w:tc>
        <w:tc>
          <w:tcPr>
            <w:tcW w:w="5669" w:type="dxa"/>
          </w:tcPr>
          <w:p w:rsidR="0096300D" w:rsidRDefault="0096300D">
            <w:pPr>
              <w:spacing w:line="240" w:lineRule="auto"/>
              <w:jc w:val="left"/>
              <w:rPr>
                <w:rFonts w:cs="Frankruhel"/>
                <w:sz w:val="24"/>
                <w:rtl/>
              </w:rPr>
            </w:pPr>
            <w:r>
              <w:rPr>
                <w:rFonts w:cs="Frankruhel"/>
                <w:sz w:val="24"/>
                <w:rtl/>
              </w:rPr>
              <w:t>סימון, שמירה והחזקה של דיסקה</w:t>
            </w:r>
          </w:p>
        </w:tc>
        <w:tc>
          <w:tcPr>
            <w:tcW w:w="1247" w:type="dxa"/>
          </w:tcPr>
          <w:p w:rsidR="0096300D" w:rsidRDefault="0096300D">
            <w:pPr>
              <w:spacing w:line="240" w:lineRule="auto"/>
              <w:jc w:val="left"/>
              <w:rPr>
                <w:rFonts w:cs="Frankruhel" w:hint="cs"/>
                <w:sz w:val="24"/>
              </w:rPr>
            </w:pPr>
            <w:r>
              <w:rPr>
                <w:rFonts w:cs="Frankruhel"/>
                <w:sz w:val="24"/>
                <w:rtl/>
              </w:rPr>
              <w:t xml:space="preserve">סעיף 2 </w:t>
            </w:r>
          </w:p>
        </w:tc>
      </w:tr>
      <w:tr w:rsidR="0096300D">
        <w:tblPrEx>
          <w:tblCellMar>
            <w:top w:w="0" w:type="dxa"/>
            <w:bottom w:w="0" w:type="dxa"/>
          </w:tblCellMar>
        </w:tblPrEx>
        <w:trPr>
          <w:jc w:val="right"/>
        </w:trPr>
        <w:tc>
          <w:tcPr>
            <w:tcW w:w="850" w:type="dxa"/>
          </w:tcPr>
          <w:p w:rsidR="0096300D" w:rsidRDefault="0096300D">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96300D" w:rsidRDefault="0096300D">
            <w:pPr>
              <w:spacing w:line="240" w:lineRule="auto"/>
              <w:jc w:val="left"/>
              <w:rPr>
                <w:rFonts w:cs="Frankruhel" w:hint="cs"/>
                <w:sz w:val="24"/>
              </w:rPr>
            </w:pPr>
            <w:hyperlink w:anchor="Seif2" w:tooltip="הגשת דיסקה לבית המשפט" w:history="1">
              <w:r>
                <w:rPr>
                  <w:rStyle w:val="Hyperlink"/>
                </w:rPr>
                <w:t>Go</w:t>
              </w:r>
            </w:hyperlink>
          </w:p>
        </w:tc>
        <w:tc>
          <w:tcPr>
            <w:tcW w:w="5669" w:type="dxa"/>
          </w:tcPr>
          <w:p w:rsidR="0096300D" w:rsidRDefault="0096300D">
            <w:pPr>
              <w:spacing w:line="240" w:lineRule="auto"/>
              <w:jc w:val="left"/>
              <w:rPr>
                <w:rFonts w:cs="Frankruhel"/>
                <w:sz w:val="24"/>
                <w:rtl/>
              </w:rPr>
            </w:pPr>
            <w:r>
              <w:rPr>
                <w:rFonts w:cs="Frankruhel"/>
                <w:sz w:val="24"/>
                <w:rtl/>
              </w:rPr>
              <w:t>הגשת דיסקה לבית המשפט</w:t>
            </w:r>
          </w:p>
        </w:tc>
        <w:tc>
          <w:tcPr>
            <w:tcW w:w="1247" w:type="dxa"/>
          </w:tcPr>
          <w:p w:rsidR="0096300D" w:rsidRDefault="0096300D">
            <w:pPr>
              <w:spacing w:line="240" w:lineRule="auto"/>
              <w:jc w:val="left"/>
              <w:rPr>
                <w:rFonts w:cs="Frankruhel" w:hint="cs"/>
                <w:sz w:val="24"/>
              </w:rPr>
            </w:pPr>
            <w:r>
              <w:rPr>
                <w:rFonts w:cs="Frankruhel"/>
                <w:sz w:val="24"/>
                <w:rtl/>
              </w:rPr>
              <w:t xml:space="preserve">סעיף 3 </w:t>
            </w:r>
          </w:p>
        </w:tc>
      </w:tr>
      <w:tr w:rsidR="0096300D">
        <w:tblPrEx>
          <w:tblCellMar>
            <w:top w:w="0" w:type="dxa"/>
            <w:bottom w:w="0" w:type="dxa"/>
          </w:tblCellMar>
        </w:tblPrEx>
        <w:trPr>
          <w:jc w:val="right"/>
        </w:trPr>
        <w:tc>
          <w:tcPr>
            <w:tcW w:w="850" w:type="dxa"/>
          </w:tcPr>
          <w:p w:rsidR="0096300D" w:rsidRDefault="0096300D">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96300D" w:rsidRDefault="0096300D">
            <w:pPr>
              <w:spacing w:line="240" w:lineRule="auto"/>
              <w:jc w:val="left"/>
              <w:rPr>
                <w:rFonts w:cs="Frankruhel" w:hint="cs"/>
                <w:sz w:val="24"/>
              </w:rPr>
            </w:pPr>
            <w:hyperlink w:anchor="Seif3" w:tooltip="תחילה" w:history="1">
              <w:r>
                <w:rPr>
                  <w:rStyle w:val="Hyperlink"/>
                </w:rPr>
                <w:t>Go</w:t>
              </w:r>
            </w:hyperlink>
          </w:p>
        </w:tc>
        <w:tc>
          <w:tcPr>
            <w:tcW w:w="5669" w:type="dxa"/>
          </w:tcPr>
          <w:p w:rsidR="0096300D" w:rsidRDefault="0096300D">
            <w:pPr>
              <w:spacing w:line="240" w:lineRule="auto"/>
              <w:jc w:val="left"/>
              <w:rPr>
                <w:rFonts w:cs="Frankruhel"/>
                <w:sz w:val="24"/>
                <w:rtl/>
              </w:rPr>
            </w:pPr>
            <w:r>
              <w:rPr>
                <w:rFonts w:cs="Frankruhel"/>
                <w:sz w:val="24"/>
                <w:rtl/>
              </w:rPr>
              <w:t>תחילה</w:t>
            </w:r>
          </w:p>
        </w:tc>
        <w:tc>
          <w:tcPr>
            <w:tcW w:w="1247" w:type="dxa"/>
          </w:tcPr>
          <w:p w:rsidR="0096300D" w:rsidRDefault="0096300D">
            <w:pPr>
              <w:spacing w:line="240" w:lineRule="auto"/>
              <w:jc w:val="left"/>
              <w:rPr>
                <w:rFonts w:cs="Frankruhel" w:hint="cs"/>
                <w:sz w:val="24"/>
              </w:rPr>
            </w:pPr>
            <w:r>
              <w:rPr>
                <w:rFonts w:cs="Frankruhel"/>
                <w:sz w:val="24"/>
                <w:rtl/>
              </w:rPr>
              <w:t xml:space="preserve">סעיף 4 </w:t>
            </w:r>
          </w:p>
        </w:tc>
      </w:tr>
    </w:tbl>
    <w:p w:rsidR="0096300D" w:rsidRDefault="0096300D">
      <w:pPr>
        <w:pStyle w:val="P00"/>
        <w:spacing w:before="72"/>
        <w:ind w:left="0" w:right="1134"/>
        <w:rPr>
          <w:rFonts w:hint="cs"/>
          <w:rtl/>
        </w:rPr>
      </w:pPr>
    </w:p>
    <w:p w:rsidR="0096300D" w:rsidRPr="001039D3" w:rsidRDefault="0096300D" w:rsidP="001039D3">
      <w:pPr>
        <w:pStyle w:val="big-header"/>
        <w:ind w:left="0" w:right="1134"/>
        <w:rPr>
          <w:rStyle w:val="default"/>
          <w:rFonts w:cs="FrankRuehl" w:hint="cs"/>
          <w:szCs w:val="32"/>
          <w:rtl/>
        </w:rPr>
      </w:pPr>
      <w:r>
        <w:rPr>
          <w:rtl/>
        </w:rPr>
        <w:br w:type="page"/>
      </w:r>
      <w:r>
        <w:rPr>
          <w:rFonts w:hint="cs"/>
          <w:rtl/>
        </w:rPr>
        <w:lastRenderedPageBreak/>
        <w:t xml:space="preserve">תקנות התעבורה (שמירת דיסקת טכוגרף והגשתה לבית המשפט), </w:t>
      </w:r>
      <w:r>
        <w:rPr>
          <w:rtl/>
        </w:rPr>
        <w:br/>
      </w:r>
      <w:r>
        <w:rPr>
          <w:rFonts w:hint="cs"/>
          <w:rtl/>
        </w:rPr>
        <w:t>תשס"ז-2007</w:t>
      </w:r>
      <w:r>
        <w:rPr>
          <w:rStyle w:val="default"/>
          <w:sz w:val="22"/>
          <w:szCs w:val="22"/>
          <w:rtl/>
        </w:rPr>
        <w:footnoteReference w:customMarkFollows="1" w:id="1"/>
        <w:t>*</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27ג(ב) לפקודת התעבורה (להלן – הפקודה), ובאישור ועדת הכלכלה של הכנסת, אני מתקין תקנות אלה:</w:t>
      </w:r>
    </w:p>
    <w:p w:rsidR="0096300D" w:rsidRDefault="0096300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4pt;z-index:251656192" o:allowincell="f" filled="f" stroked="f" strokecolor="lime" strokeweight=".25pt">
            <v:textbox style="mso-next-textbox:#_x0000_s1026" inset="0,0,0,0">
              <w:txbxContent>
                <w:p w:rsidR="0096300D" w:rsidRDefault="0096300D">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t>בתקנות אלה –</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"דיסקה" – כמשמעותה בתקנה 364ד לתקנות התעבורה, התשכ"א</w:t>
      </w:r>
      <w:r>
        <w:rPr>
          <w:rStyle w:val="default"/>
          <w:rFonts w:cs="FrankRuehl" w:hint="cs"/>
          <w:rtl/>
        </w:rPr>
        <w:t>-1961</w:t>
      </w:r>
      <w:r>
        <w:rPr>
          <w:rStyle w:val="default"/>
          <w:rFonts w:cs="FrankRuehl"/>
          <w:rtl/>
        </w:rPr>
        <w:t>;</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"תובע" – כמשמעותו בסעיפים 11 ו</w:t>
      </w:r>
      <w:r>
        <w:rPr>
          <w:rStyle w:val="default"/>
          <w:rFonts w:cs="FrankRuehl" w:hint="cs"/>
          <w:rtl/>
        </w:rPr>
        <w:t>-</w:t>
      </w:r>
      <w:r>
        <w:rPr>
          <w:rStyle w:val="default"/>
          <w:rFonts w:cs="FrankRuehl"/>
          <w:rtl/>
        </w:rPr>
        <w:t>12 לחוק סדר הדין הפלילי [נוסח משולב], התשמ"ב</w:t>
      </w:r>
      <w:r>
        <w:rPr>
          <w:rStyle w:val="default"/>
          <w:rFonts w:cs="FrankRuehl" w:hint="cs"/>
          <w:rtl/>
        </w:rPr>
        <w:t xml:space="preserve">-1982 </w:t>
      </w:r>
      <w:r>
        <w:rPr>
          <w:rStyle w:val="default"/>
          <w:rFonts w:cs="FrankRuehl"/>
          <w:rtl/>
        </w:rPr>
        <w:t>(להלן – חוק סדר הדין הפלילי), או תובע צבאי כמשמעותו בסעיף 181 לחוק השיפוט הצבאי, התשט"ו</w:t>
      </w:r>
      <w:r>
        <w:rPr>
          <w:rStyle w:val="default"/>
          <w:rFonts w:cs="FrankRuehl" w:hint="cs"/>
          <w:rtl/>
        </w:rPr>
        <w:t>-1955</w:t>
      </w:r>
      <w:r>
        <w:rPr>
          <w:rStyle w:val="default"/>
          <w:rFonts w:cs="FrankRuehl"/>
          <w:rtl/>
        </w:rPr>
        <w:t>;</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"תעודת עובד הציבור" – כמשמעותה בסעיף 23 לפקודת הראיות [נוסח חדש], התשל"א-</w:t>
      </w:r>
      <w:r>
        <w:rPr>
          <w:rStyle w:val="default"/>
          <w:rFonts w:cs="FrankRuehl" w:hint="cs"/>
          <w:rtl/>
        </w:rPr>
        <w:t>1971.</w:t>
      </w:r>
    </w:p>
    <w:p w:rsidR="0096300D" w:rsidRDefault="0096300D">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21.1pt;z-index:251657216" o:allowincell="f" filled="f" stroked="f" strokecolor="lime" strokeweight=".25pt">
            <v:textbox style="mso-next-textbox:#_x0000_s1027" inset="0,0,0,0">
              <w:txbxContent>
                <w:p w:rsidR="0096300D" w:rsidRDefault="0096300D">
                  <w:pPr>
                    <w:spacing w:line="160" w:lineRule="exact"/>
                    <w:jc w:val="left"/>
                    <w:rPr>
                      <w:rFonts w:cs="Miriam" w:hint="cs"/>
                      <w:szCs w:val="18"/>
                      <w:rtl/>
                    </w:rPr>
                  </w:pPr>
                  <w:r>
                    <w:rPr>
                      <w:rFonts w:cs="Miriam" w:hint="cs"/>
                      <w:szCs w:val="18"/>
                      <w:rtl/>
                    </w:rPr>
                    <w:t>סימון, שמירה והחזקה של דיסקה</w:t>
                  </w:r>
                </w:p>
              </w:txbxContent>
            </v:textbox>
            <w10:anchorlock/>
          </v:rect>
        </w:pict>
      </w:r>
      <w:r>
        <w:rPr>
          <w:rStyle w:val="big-number"/>
          <w:rtl/>
        </w:rPr>
        <w:t>2</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תפס שוטר דיסקה, יציין על גבי הדיסקה את תאריך התפיסה ואת מספרו האישי;</w:t>
      </w:r>
      <w:r>
        <w:rPr>
          <w:rStyle w:val="default"/>
          <w:rFonts w:cs="FrankRuehl" w:hint="cs"/>
          <w:rtl/>
        </w:rPr>
        <w:t xml:space="preserve"> </w:t>
      </w:r>
      <w:r>
        <w:rPr>
          <w:rStyle w:val="default"/>
          <w:rFonts w:cs="FrankRuehl"/>
          <w:rtl/>
        </w:rPr>
        <w:t>לאחר התפיסה והסימון יכניס השוטר את הדיסקה למעטפה (להלן – המעטפה), יסגור אותה ויאשר בחתימתו את מועד תפיסתה של הדיסקה, סימונה והכנסתה למעטפה.</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הדיסקה תישמר במעטפה שתוצמד לתיק החקירה והיא תהווה חלק ממנו.</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ניתן, באישור בכתב של קצין משטרה או תובע, לפי העניין, למסור את המעטפה לאדם אחר, אף אם אינו שוטר או תובע, לצורך הליך פלילי לרבות לצורך חקירה.</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נאשם או סניגור שנמסרה לו דיסקה לצורך ניהול הגנה, יחתום על טופס כאמור בתוספת, שבו יתחייב לא לעשות כל שינוי בדיסקה, ולהחזירה במצב שבו קיבל אותה.</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נפתחה מעטפה בידי שוטר או תובע לצורך מילוי תפקידו, יציין השוטר או התובע בכתב את נסיבות פתיחת המעטפה, מועד הפתיחה ותכליתה, ואת המועד, המקום ונסיבות נוספות, אם ישנן, של החזרת הדיסקה למעטפה.</w:t>
      </w:r>
    </w:p>
    <w:p w:rsidR="0096300D" w:rsidRDefault="0096300D">
      <w:pPr>
        <w:pStyle w:val="P00"/>
        <w:spacing w:before="72"/>
        <w:ind w:left="0" w:right="1134"/>
        <w:rPr>
          <w:rStyle w:val="default"/>
          <w:rFonts w:cs="FrankRuehl" w:hint="cs"/>
          <w:rtl/>
        </w:rPr>
      </w:pPr>
      <w:bookmarkStart w:id="2" w:name="Seif2"/>
      <w:bookmarkEnd w:id="2"/>
      <w:r>
        <w:rPr>
          <w:lang w:val="he-IL"/>
        </w:rPr>
        <w:pict>
          <v:rect id="_x0000_s1273" style="position:absolute;left:0;text-align:left;margin-left:464.5pt;margin-top:8.05pt;width:75.05pt;height:20.95pt;z-index:251658240" o:allowincell="f" filled="f" stroked="f" strokecolor="lime" strokeweight=".25pt">
            <v:textbox style="mso-next-textbox:#_x0000_s1273" inset="0,0,0,0">
              <w:txbxContent>
                <w:p w:rsidR="0096300D" w:rsidRDefault="0096300D">
                  <w:pPr>
                    <w:spacing w:line="160" w:lineRule="exact"/>
                    <w:jc w:val="left"/>
                    <w:rPr>
                      <w:rFonts w:cs="Miriam" w:hint="cs"/>
                      <w:szCs w:val="18"/>
                      <w:rtl/>
                    </w:rPr>
                  </w:pPr>
                  <w:r>
                    <w:rPr>
                      <w:rFonts w:cs="Miriam" w:hint="cs"/>
                      <w:szCs w:val="18"/>
                      <w:rtl/>
                    </w:rPr>
                    <w:t>הגשת דיסקה לבית המשפט</w:t>
                  </w:r>
                </w:p>
              </w:txbxContent>
            </v:textbox>
            <w10:anchorlock/>
          </v:rect>
        </w:pict>
      </w:r>
      <w:r>
        <w:rPr>
          <w:rStyle w:val="big-number"/>
          <w:rFonts w:hint="cs"/>
          <w:rtl/>
        </w:rPr>
        <w:t>3</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דיסקה תוגש לבית המשפט בצירוף תעודת עובד הציבור שיאושר בה –</w:t>
      </w:r>
    </w:p>
    <w:p w:rsidR="0096300D" w:rsidRDefault="0096300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כי הדיסקה נשמרה והוחזקה באופן האמור בתקנה 2;</w:t>
      </w:r>
    </w:p>
    <w:p w:rsidR="0096300D" w:rsidRDefault="0096300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כי לא נעשה בה כל שינוי כאמור בסעיף 27ג(א) לפקודה.</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תעודת עובד הציבור יכול שתוכן עד לשלב של בירור האשמה כאמור בסימן ה' לפרק ה' לחוק סדר הדין הפלילי; ואולם אין בהוראה זו כדי לגרוע מזכות הנאשם או אדם אחר המנוי בסעיף 74 לחוק סדר הדין הפלילי לעיין בתעודה במהלך עיון בחומר חקירה לפי הסעיף האמור, אם ביקש זאת מראש.</w:t>
      </w:r>
    </w:p>
    <w:p w:rsidR="0096300D" w:rsidRDefault="009630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בהוראת תקנה זו כדי לגרוע מהאפשרות להביא לעדות את מי שביצע פעולה כאמור בתקנה 2, גם אם לא ניתנה לגביה תעודת עובד הציבור.</w:t>
      </w:r>
    </w:p>
    <w:p w:rsidR="0096300D" w:rsidRDefault="0096300D">
      <w:pPr>
        <w:pStyle w:val="P00"/>
        <w:spacing w:before="72"/>
        <w:ind w:left="0" w:right="1134"/>
        <w:rPr>
          <w:rStyle w:val="default"/>
          <w:rFonts w:cs="FrankRuehl" w:hint="cs"/>
          <w:rtl/>
        </w:rPr>
      </w:pPr>
      <w:bookmarkStart w:id="3" w:name="Seif3"/>
      <w:bookmarkEnd w:id="3"/>
      <w:r>
        <w:rPr>
          <w:lang w:val="he-IL"/>
        </w:rPr>
        <w:pict>
          <v:rect id="_x0000_s1274" style="position:absolute;left:0;text-align:left;margin-left:464.5pt;margin-top:8.05pt;width:75.05pt;height:14.05pt;z-index:251659264" o:allowincell="f" filled="f" stroked="f" strokecolor="lime" strokeweight=".25pt">
            <v:textbox style="mso-next-textbox:#_x0000_s1274" inset="0,0,0,0">
              <w:txbxContent>
                <w:p w:rsidR="0096300D" w:rsidRDefault="0096300D">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4</w:t>
      </w:r>
      <w:r>
        <w:rPr>
          <w:rStyle w:val="default"/>
          <w:rFonts w:cs="FrankRuehl"/>
          <w:rtl/>
        </w:rPr>
        <w:t>.</w:t>
      </w:r>
      <w:r>
        <w:rPr>
          <w:rStyle w:val="default"/>
          <w:rFonts w:cs="FrankRuehl"/>
          <w:rtl/>
        </w:rPr>
        <w:tab/>
        <w:t>תחילתן של תקנות אלה 30 ימים מיום פרסומן.</w:t>
      </w:r>
    </w:p>
    <w:p w:rsidR="0096300D" w:rsidRDefault="0096300D">
      <w:pPr>
        <w:pStyle w:val="P00"/>
        <w:spacing w:before="72"/>
        <w:ind w:left="0" w:right="1134"/>
        <w:rPr>
          <w:rStyle w:val="default"/>
          <w:rFonts w:cs="FrankRuehl" w:hint="cs"/>
          <w:rtl/>
        </w:rPr>
      </w:pPr>
    </w:p>
    <w:p w:rsidR="0096300D" w:rsidRDefault="0096300D">
      <w:pPr>
        <w:pStyle w:val="P00"/>
        <w:spacing w:before="72"/>
        <w:ind w:left="0" w:right="1134"/>
        <w:jc w:val="center"/>
        <w:rPr>
          <w:rStyle w:val="default"/>
          <w:rFonts w:cs="FrankRuehl"/>
          <w:b/>
          <w:bCs/>
          <w:rtl/>
        </w:rPr>
      </w:pPr>
      <w:r>
        <w:rPr>
          <w:rStyle w:val="default"/>
          <w:rFonts w:cs="FrankRuehl"/>
          <w:b/>
          <w:bCs/>
          <w:rtl/>
        </w:rPr>
        <w:t>תוספת</w:t>
      </w:r>
    </w:p>
    <w:p w:rsidR="0096300D" w:rsidRDefault="0096300D">
      <w:pPr>
        <w:pStyle w:val="P00"/>
        <w:spacing w:before="72"/>
        <w:ind w:left="0" w:right="1134"/>
        <w:jc w:val="center"/>
        <w:rPr>
          <w:rStyle w:val="default"/>
          <w:rFonts w:cs="FrankRuehl"/>
          <w:sz w:val="24"/>
          <w:szCs w:val="24"/>
          <w:rtl/>
        </w:rPr>
      </w:pPr>
      <w:r>
        <w:rPr>
          <w:rStyle w:val="default"/>
          <w:rFonts w:cs="FrankRuehl"/>
          <w:sz w:val="24"/>
          <w:szCs w:val="24"/>
          <w:rtl/>
        </w:rPr>
        <w:t>(תקנה 2(ד))</w:t>
      </w:r>
    </w:p>
    <w:p w:rsidR="0096300D" w:rsidRDefault="0096300D">
      <w:pPr>
        <w:pStyle w:val="P00"/>
        <w:spacing w:before="72"/>
        <w:ind w:left="0" w:right="1134"/>
        <w:rPr>
          <w:rStyle w:val="default"/>
          <w:rFonts w:cs="David" w:hint="cs"/>
          <w:sz w:val="22"/>
          <w:szCs w:val="22"/>
          <w:rtl/>
        </w:rPr>
      </w:pPr>
      <w:r>
        <w:rPr>
          <w:rStyle w:val="default"/>
          <w:rFonts w:cs="David"/>
          <w:sz w:val="22"/>
          <w:szCs w:val="22"/>
          <w:rtl/>
        </w:rPr>
        <w:t>טופס</w:t>
      </w:r>
    </w:p>
    <w:p w:rsidR="0096300D" w:rsidRDefault="0096300D">
      <w:pPr>
        <w:pStyle w:val="P00"/>
        <w:spacing w:before="72"/>
        <w:ind w:left="0" w:right="1134"/>
        <w:rPr>
          <w:rStyle w:val="default"/>
          <w:rFonts w:cs="FrankRuehl"/>
          <w:rtl/>
        </w:rPr>
      </w:pPr>
    </w:p>
    <w:p w:rsidR="0096300D" w:rsidRDefault="0096300D">
      <w:pPr>
        <w:pStyle w:val="P00"/>
        <w:spacing w:before="72"/>
        <w:ind w:left="0" w:right="1134"/>
        <w:rPr>
          <w:rStyle w:val="default"/>
          <w:rFonts w:cs="FrankRuehl" w:hint="cs"/>
          <w:rtl/>
        </w:rPr>
      </w:pPr>
      <w:r>
        <w:rPr>
          <w:rStyle w:val="default"/>
          <w:rFonts w:cs="FrankRuehl"/>
          <w:rtl/>
        </w:rPr>
        <w:t xml:space="preserve">אני החתום מטה </w:t>
      </w:r>
      <w:r>
        <w:rPr>
          <w:rStyle w:val="default"/>
          <w:rFonts w:cs="FrankRuehl"/>
          <w:rtl/>
        </w:rPr>
        <w:fldChar w:fldCharType="begin">
          <w:ffData>
            <w:name w:val="טקסט1"/>
            <w:enabled/>
            <w:calcOnExit w:val="0"/>
            <w:textInput/>
          </w:ffData>
        </w:fldChar>
      </w:r>
      <w:bookmarkStart w:id="4"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
      <w:r>
        <w:rPr>
          <w:rStyle w:val="default"/>
          <w:rFonts w:cs="FrankRuehl"/>
          <w:rtl/>
        </w:rPr>
        <w:t xml:space="preserve"> מס' זהות </w:t>
      </w:r>
      <w:r>
        <w:rPr>
          <w:rStyle w:val="default"/>
          <w:rFonts w:cs="FrankRuehl"/>
          <w:rtl/>
        </w:rPr>
        <w:fldChar w:fldCharType="begin">
          <w:ffData>
            <w:name w:val="טקסט2"/>
            <w:enabled/>
            <w:calcOnExit w:val="0"/>
            <w:textInput/>
          </w:ffData>
        </w:fldChar>
      </w:r>
      <w:bookmarkStart w:id="5"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
      <w:r>
        <w:rPr>
          <w:rStyle w:val="default"/>
          <w:rFonts w:cs="FrankRuehl"/>
          <w:rtl/>
        </w:rPr>
        <w:t xml:space="preserve"> מצהיר כי קיבלתי את</w:t>
      </w:r>
      <w:r>
        <w:rPr>
          <w:rStyle w:val="default"/>
          <w:rFonts w:cs="FrankRuehl" w:hint="cs"/>
          <w:rtl/>
        </w:rPr>
        <w:t xml:space="preserve"> </w:t>
      </w:r>
      <w:r>
        <w:rPr>
          <w:rStyle w:val="default"/>
          <w:rFonts w:cs="FrankRuehl"/>
          <w:rtl/>
        </w:rPr>
        <w:t xml:space="preserve">הדיסקה לצורך ניהול תיק מס' </w:t>
      </w:r>
      <w:r>
        <w:rPr>
          <w:rStyle w:val="default"/>
          <w:rFonts w:cs="FrankRuehl"/>
          <w:rtl/>
        </w:rPr>
        <w:fldChar w:fldCharType="begin">
          <w:ffData>
            <w:name w:val="טקסט3"/>
            <w:enabled/>
            <w:calcOnExit w:val="0"/>
            <w:textInput/>
          </w:ffData>
        </w:fldChar>
      </w:r>
      <w:bookmarkStart w:id="6"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
      <w:r>
        <w:rPr>
          <w:rStyle w:val="default"/>
          <w:rFonts w:cs="FrankRuehl"/>
          <w:rtl/>
        </w:rPr>
        <w:t xml:space="preserve"> </w:t>
      </w:r>
      <w:r>
        <w:rPr>
          <w:rStyle w:val="default"/>
          <w:rFonts w:cs="FrankRuehl"/>
          <w:rtl/>
        </w:rPr>
        <w:fldChar w:fldCharType="begin">
          <w:ffData>
            <w:name w:val="נפתח1"/>
            <w:enabled/>
            <w:calcOnExit w:val="0"/>
            <w:ddList>
              <w:listEntry w:val="שבו אני נאשם"/>
              <w:listEntry w:val="שבו נאשם מרשי"/>
            </w:ddList>
          </w:ffData>
        </w:fldChar>
      </w:r>
      <w:bookmarkStart w:id="7" w:name="נפתח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7"/>
      <w:r>
        <w:rPr>
          <w:rStyle w:val="default"/>
          <w:rFonts w:cs="FrankRuehl"/>
          <w:rtl/>
        </w:rPr>
        <w:t xml:space="preserve"> </w:t>
      </w:r>
      <w:r>
        <w:rPr>
          <w:rStyle w:val="default"/>
          <w:rFonts w:cs="FrankRuehl"/>
          <w:rtl/>
        </w:rPr>
        <w:fldChar w:fldCharType="begin">
          <w:ffData>
            <w:name w:val="טקסט4"/>
            <w:enabled/>
            <w:calcOnExit w:val="0"/>
            <w:textInput/>
          </w:ffData>
        </w:fldChar>
      </w:r>
      <w:bookmarkStart w:id="8"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8"/>
      <w:r>
        <w:rPr>
          <w:rStyle w:val="default"/>
          <w:rFonts w:cs="FrankRuehl" w:hint="cs"/>
          <w:rtl/>
        </w:rPr>
        <w:t xml:space="preserve"> </w:t>
      </w:r>
      <w:r>
        <w:rPr>
          <w:rStyle w:val="default"/>
          <w:rFonts w:cs="FrankRuehl"/>
          <w:rtl/>
        </w:rPr>
        <w:t>מס' זהות</w:t>
      </w:r>
      <w:r>
        <w:rPr>
          <w:rStyle w:val="default"/>
          <w:rFonts w:cs="FrankRuehl" w:hint="cs"/>
          <w:rtl/>
        </w:rPr>
        <w:t xml:space="preserve"> </w:t>
      </w:r>
      <w:r>
        <w:rPr>
          <w:rStyle w:val="default"/>
          <w:rFonts w:cs="FrankRuehl"/>
          <w:rtl/>
        </w:rPr>
        <w:fldChar w:fldCharType="begin">
          <w:ffData>
            <w:name w:val="טקסט5"/>
            <w:enabled/>
            <w:calcOnExit w:val="0"/>
            <w:textInput/>
          </w:ffData>
        </w:fldChar>
      </w:r>
      <w:bookmarkStart w:id="9"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9"/>
      <w:r>
        <w:rPr>
          <w:rStyle w:val="default"/>
          <w:rFonts w:cs="FrankRuehl" w:hint="cs"/>
          <w:rtl/>
        </w:rPr>
        <w:t>.</w:t>
      </w:r>
    </w:p>
    <w:p w:rsidR="0096300D" w:rsidRDefault="0096300D">
      <w:pPr>
        <w:pStyle w:val="P00"/>
        <w:spacing w:before="72"/>
        <w:ind w:left="0" w:right="1134"/>
        <w:rPr>
          <w:rStyle w:val="default"/>
          <w:rFonts w:cs="FrankRuehl" w:hint="cs"/>
          <w:rtl/>
        </w:rPr>
      </w:pPr>
      <w:r>
        <w:rPr>
          <w:rStyle w:val="default"/>
          <w:rFonts w:cs="FrankRuehl"/>
          <w:rtl/>
        </w:rPr>
        <w:lastRenderedPageBreak/>
        <w:t xml:space="preserve">אני מתחייב להחזיר את הדיסקה עד יום </w:t>
      </w:r>
      <w:r>
        <w:rPr>
          <w:rStyle w:val="default"/>
          <w:rFonts w:cs="FrankRuehl"/>
          <w:rtl/>
        </w:rPr>
        <w:fldChar w:fldCharType="begin">
          <w:ffData>
            <w:name w:val="טקסט6"/>
            <w:enabled/>
            <w:calcOnExit w:val="0"/>
            <w:textInput/>
          </w:ffData>
        </w:fldChar>
      </w:r>
      <w:bookmarkStart w:id="10"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10"/>
      <w:r>
        <w:rPr>
          <w:rStyle w:val="default"/>
          <w:rFonts w:cs="FrankRuehl"/>
          <w:rtl/>
        </w:rPr>
        <w:t xml:space="preserve"> כפי שקיבלתי אותה, ולא</w:t>
      </w:r>
      <w:r>
        <w:rPr>
          <w:rStyle w:val="default"/>
          <w:rFonts w:cs="FrankRuehl" w:hint="cs"/>
          <w:rtl/>
        </w:rPr>
        <w:t xml:space="preserve"> </w:t>
      </w:r>
      <w:r>
        <w:rPr>
          <w:rStyle w:val="default"/>
          <w:rFonts w:cs="FrankRuehl"/>
          <w:rtl/>
        </w:rPr>
        <w:t>לעשות בה כל שינוי, השמטה או הוספה. אני מודע כי אם אפר את התחייבותי זו אני צפוי לעונשים הקבועים בחוק.</w:t>
      </w:r>
    </w:p>
    <w:p w:rsidR="0096300D" w:rsidRDefault="0096300D">
      <w:pPr>
        <w:pStyle w:val="P00"/>
        <w:spacing w:before="72"/>
        <w:ind w:left="0" w:right="1134"/>
        <w:rPr>
          <w:rStyle w:val="default"/>
          <w:rFonts w:cs="FrankRuehl" w:hint="cs"/>
          <w:rtl/>
        </w:rPr>
      </w:pPr>
    </w:p>
    <w:p w:rsidR="0096300D" w:rsidRDefault="0096300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7"/>
            <w:enabled/>
            <w:calcOnExit w:val="0"/>
            <w:textInput>
              <w:default w:val="תאריך"/>
            </w:textInput>
          </w:ffData>
        </w:fldChar>
      </w:r>
      <w:bookmarkStart w:id="11"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תאריך</w:t>
      </w:r>
      <w:r>
        <w:rPr>
          <w:rStyle w:val="default"/>
          <w:rFonts w:cs="FrankRuehl"/>
          <w:rtl/>
        </w:rPr>
        <w:fldChar w:fldCharType="end"/>
      </w:r>
      <w:bookmarkEnd w:id="11"/>
      <w:r>
        <w:rPr>
          <w:rStyle w:val="default"/>
          <w:rFonts w:cs="FrankRuehl" w:hint="cs"/>
          <w:rtl/>
        </w:rPr>
        <w:tab/>
        <w:t>________________</w:t>
      </w:r>
    </w:p>
    <w:p w:rsidR="0096300D" w:rsidRDefault="0096300D">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rsidR="0096300D" w:rsidRDefault="0096300D">
      <w:pPr>
        <w:pStyle w:val="P00"/>
        <w:spacing w:before="72"/>
        <w:ind w:left="0" w:right="1134"/>
        <w:rPr>
          <w:rStyle w:val="default"/>
          <w:rFonts w:cs="FrankRuehl" w:hint="cs"/>
          <w:rtl/>
        </w:rPr>
      </w:pPr>
    </w:p>
    <w:p w:rsidR="0096300D" w:rsidRDefault="0096300D">
      <w:pPr>
        <w:pStyle w:val="P00"/>
        <w:spacing w:before="72"/>
        <w:ind w:left="0" w:right="1134"/>
        <w:rPr>
          <w:rtl/>
        </w:rPr>
      </w:pPr>
    </w:p>
    <w:p w:rsidR="0096300D" w:rsidRDefault="0096300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כ"ב באב התשס"ז (6 באוגוסט 2007)</w:t>
      </w:r>
      <w:r>
        <w:rPr>
          <w:rFonts w:hint="cs"/>
          <w:rtl/>
        </w:rPr>
        <w:tab/>
        <w:t>אהוד אולמרט</w:t>
      </w:r>
    </w:p>
    <w:p w:rsidR="0096300D" w:rsidRDefault="0096300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ראש הממשלה</w:t>
      </w:r>
    </w:p>
    <w:p w:rsidR="0096300D" w:rsidRDefault="0096300D">
      <w:pPr>
        <w:pStyle w:val="P00"/>
        <w:spacing w:before="72"/>
        <w:ind w:left="0" w:right="1134"/>
        <w:rPr>
          <w:rFonts w:hint="cs"/>
          <w:rtl/>
        </w:rPr>
      </w:pPr>
    </w:p>
    <w:p w:rsidR="0096300D" w:rsidRDefault="0096300D">
      <w:pPr>
        <w:pStyle w:val="P00"/>
        <w:spacing w:before="72"/>
        <w:ind w:left="0" w:right="1134"/>
        <w:rPr>
          <w:rFonts w:hint="cs"/>
          <w:rtl/>
        </w:rPr>
      </w:pPr>
    </w:p>
    <w:sectPr w:rsidR="0096300D">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3B8" w:rsidRDefault="008E13B8">
      <w:r>
        <w:separator/>
      </w:r>
    </w:p>
  </w:endnote>
  <w:endnote w:type="continuationSeparator" w:id="0">
    <w:p w:rsidR="008E13B8" w:rsidRDefault="008E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0D" w:rsidRDefault="0096300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6300D" w:rsidRDefault="009630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300D" w:rsidRDefault="009630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Z:\000000000000-law\yael\07-08-19\999_804.doc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0D" w:rsidRDefault="0096300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861D0">
      <w:rPr>
        <w:rFonts w:hAnsi="FrankRuehl"/>
        <w:noProof/>
        <w:sz w:val="24"/>
        <w:szCs w:val="24"/>
        <w:rtl/>
      </w:rPr>
      <w:t>2</w:t>
    </w:r>
    <w:r>
      <w:rPr>
        <w:rFonts w:hAnsi="FrankRuehl"/>
        <w:sz w:val="24"/>
        <w:szCs w:val="24"/>
        <w:rtl/>
      </w:rPr>
      <w:fldChar w:fldCharType="end"/>
    </w:r>
  </w:p>
  <w:p w:rsidR="0096300D" w:rsidRDefault="009630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300D" w:rsidRDefault="009630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Z:\000000000000-law\yael\07-08-19\999_804.doc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3B8" w:rsidRDefault="008E13B8">
      <w:pPr>
        <w:spacing w:before="60" w:line="240" w:lineRule="auto"/>
        <w:ind w:right="1134"/>
      </w:pPr>
      <w:r>
        <w:separator/>
      </w:r>
    </w:p>
  </w:footnote>
  <w:footnote w:type="continuationSeparator" w:id="0">
    <w:p w:rsidR="008E13B8" w:rsidRDefault="008E13B8">
      <w:r>
        <w:separator/>
      </w:r>
    </w:p>
  </w:footnote>
  <w:footnote w:id="1">
    <w:p w:rsidR="0096300D" w:rsidRDefault="0096300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תשס"ז מס' 6609</w:t>
        </w:r>
      </w:hyperlink>
      <w:r>
        <w:rPr>
          <w:rFonts w:hint="cs"/>
          <w:sz w:val="20"/>
          <w:rtl/>
        </w:rPr>
        <w:t xml:space="preserve"> מיום 15.8.2007 עמ' 1094.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0D" w:rsidRDefault="0096300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96300D" w:rsidRDefault="0096300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6300D" w:rsidRDefault="0096300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00D" w:rsidRDefault="0096300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התעבורה (שמירת דיסקת טכוגרף והגשתה לבית המשפט),</w:t>
    </w:r>
    <w:r>
      <w:rPr>
        <w:rFonts w:hAnsi="FrankRuehl"/>
        <w:color w:val="000000"/>
        <w:sz w:val="28"/>
        <w:szCs w:val="28"/>
        <w:rtl/>
      </w:rPr>
      <w:t xml:space="preserve">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rsidR="0096300D" w:rsidRDefault="0096300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6300D" w:rsidRDefault="0096300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9D3"/>
    <w:rsid w:val="001039D3"/>
    <w:rsid w:val="00201890"/>
    <w:rsid w:val="005C6F3D"/>
    <w:rsid w:val="00705251"/>
    <w:rsid w:val="007861D0"/>
    <w:rsid w:val="008E13B8"/>
    <w:rsid w:val="0096300D"/>
    <w:rsid w:val="00CB29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9514B83-6F4D-4E11-BF56-6AF362A1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3023</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8323079</vt:i4>
      </vt:variant>
      <vt:variant>
        <vt:i4>0</vt:i4>
      </vt:variant>
      <vt:variant>
        <vt:i4>0</vt:i4>
      </vt:variant>
      <vt:variant>
        <vt:i4>5</vt:i4>
      </vt:variant>
      <vt:variant>
        <vt:lpwstr>http://www.nevo.co.il/Law_word/law06/tak-6609.pdf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תעבורה</vt:lpwstr>
  </property>
  <property fmtid="{D5CDD505-2E9C-101B-9397-08002B2CF9AE}" pid="4" name="LAWNAME">
    <vt:lpwstr>תקנות התעבורה (שמירת דיסקת טכוגרף והגשתה לבית המשפט), תשס"ז-2007</vt:lpwstr>
  </property>
  <property fmtid="{D5CDD505-2E9C-101B-9397-08002B2CF9AE}" pid="5" name="LAWNUMBER">
    <vt:lpwstr>0804</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http://www.nevo.co.il/Law_word/law06/tak-6609.pdf;רשומות - תקנות כלליות#פורסמו ק"ת תשס"ז מס' 6609 #מיום 15.8.2007 עמ' 1094</vt:lpwstr>
  </property>
  <property fmtid="{D5CDD505-2E9C-101B-9397-08002B2CF9AE}" pid="20" name="LINKK2">
    <vt:lpwstr/>
  </property>
  <property fmtid="{D5CDD505-2E9C-101B-9397-08002B2CF9AE}" pid="21" name="LINKK3">
    <vt:lpwstr/>
  </property>
  <property fmtid="{D5CDD505-2E9C-101B-9397-08002B2CF9AE}" pid="22" name="NOSE11">
    <vt:lpwstr>רשויות ומשפט מנהלי</vt:lpwstr>
  </property>
  <property fmtid="{D5CDD505-2E9C-101B-9397-08002B2CF9AE}" pid="23" name="NOSE21">
    <vt:lpwstr>תעבורה</vt:lpwstr>
  </property>
  <property fmtid="{D5CDD505-2E9C-101B-9397-08002B2CF9AE}" pid="24" name="NOSE31">
    <vt:lpwstr>עבירות וביהמ"ש</vt:lpwstr>
  </property>
  <property fmtid="{D5CDD505-2E9C-101B-9397-08002B2CF9AE}" pid="25" name="NOSE41">
    <vt:lpwstr>סדרי דין</vt:lpwstr>
  </property>
  <property fmtid="{D5CDD505-2E9C-101B-9397-08002B2CF9AE}" pid="26" name="NOSE12">
    <vt:lpwstr>בתי משפט וסדרי דין</vt:lpwstr>
  </property>
  <property fmtid="{D5CDD505-2E9C-101B-9397-08002B2CF9AE}" pid="27" name="NOSE22">
    <vt:lpwstr>סדר דין פלילי</vt:lpwstr>
  </property>
  <property fmtid="{D5CDD505-2E9C-101B-9397-08002B2CF9AE}" pid="28" name="NOSE32">
    <vt:lpwstr/>
  </property>
  <property fmtid="{D5CDD505-2E9C-101B-9397-08002B2CF9AE}" pid="29" name="NOSE42">
    <vt:lpwstr/>
  </property>
  <property fmtid="{D5CDD505-2E9C-101B-9397-08002B2CF9AE}" pid="30" name="NOSE13">
    <vt:lpwstr>בתי משפט וסדרי דין</vt:lpwstr>
  </property>
  <property fmtid="{D5CDD505-2E9C-101B-9397-08002B2CF9AE}" pid="31" name="NOSE23">
    <vt:lpwstr>ראיות</vt:lpwstr>
  </property>
  <property fmtid="{D5CDD505-2E9C-101B-9397-08002B2CF9AE}" pid="32" name="NOSE33">
    <vt:lpwstr/>
  </property>
  <property fmtid="{D5CDD505-2E9C-101B-9397-08002B2CF9AE}" pid="33" name="NOSE43">
    <vt:lpwstr/>
  </property>
  <property fmtid="{D5CDD505-2E9C-101B-9397-08002B2CF9AE}" pid="34" name="NOSE14">
    <vt:lpwstr>בתי משפט וסדרי דין</vt:lpwstr>
  </property>
  <property fmtid="{D5CDD505-2E9C-101B-9397-08002B2CF9AE}" pid="35" name="NOSE24">
    <vt:lpwstr>בתי משפט ובתי דין</vt:lpwstr>
  </property>
  <property fmtid="{D5CDD505-2E9C-101B-9397-08002B2CF9AE}" pid="36" name="NOSE34">
    <vt:lpwstr>בימ"ש לתעבורה</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התעבורה </vt:lpwstr>
  </property>
  <property fmtid="{D5CDD505-2E9C-101B-9397-08002B2CF9AE}" pid="63" name="MEKOR_SAIF1">
    <vt:lpwstr>27גXבX</vt:lpwstr>
  </property>
</Properties>
</file>