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9260E" w14:textId="77777777" w:rsidR="00B8081D" w:rsidRDefault="00401ADF" w:rsidP="00A00973">
      <w:pPr>
        <w:pStyle w:val="big-header"/>
        <w:ind w:left="0" w:right="1134"/>
        <w:rPr>
          <w:rFonts w:hint="cs"/>
          <w:rtl/>
        </w:rPr>
      </w:pPr>
      <w:r>
        <w:rPr>
          <w:rFonts w:hint="cs"/>
          <w:rtl/>
        </w:rPr>
        <w:t xml:space="preserve">תקנות </w:t>
      </w:r>
      <w:r w:rsidR="00F34CBA">
        <w:rPr>
          <w:rFonts w:hint="cs"/>
          <w:rtl/>
        </w:rPr>
        <w:t>התקשורת (בזק ושידורים) (</w:t>
      </w:r>
      <w:r w:rsidR="006D17B5">
        <w:rPr>
          <w:rFonts w:hint="cs"/>
          <w:rtl/>
        </w:rPr>
        <w:t>דיווח של בעל רישיון על אירוע מיוחד), תשפ"א-2020</w:t>
      </w:r>
    </w:p>
    <w:p w14:paraId="5745E4E4" w14:textId="77777777" w:rsidR="00F34CBA" w:rsidRPr="00F34CBA" w:rsidRDefault="00F34CBA" w:rsidP="00F34CBA">
      <w:pPr>
        <w:spacing w:line="320" w:lineRule="auto"/>
        <w:jc w:val="left"/>
        <w:rPr>
          <w:rFonts w:cs="FrankRuehl"/>
          <w:szCs w:val="26"/>
          <w:rtl/>
        </w:rPr>
      </w:pPr>
    </w:p>
    <w:p w14:paraId="2F6AD7C5" w14:textId="77777777" w:rsidR="00F34CBA" w:rsidRDefault="00F34CBA" w:rsidP="00F34CBA">
      <w:pPr>
        <w:spacing w:line="320" w:lineRule="auto"/>
        <w:jc w:val="left"/>
        <w:rPr>
          <w:rtl/>
        </w:rPr>
      </w:pPr>
    </w:p>
    <w:p w14:paraId="30E46B59" w14:textId="77777777" w:rsidR="00F34CBA" w:rsidRDefault="00F34CBA" w:rsidP="00F34CBA">
      <w:pPr>
        <w:spacing w:line="320" w:lineRule="auto"/>
        <w:jc w:val="left"/>
        <w:rPr>
          <w:rFonts w:cs="Miriam"/>
          <w:szCs w:val="22"/>
          <w:rtl/>
        </w:rPr>
      </w:pPr>
      <w:r w:rsidRPr="00F34CBA">
        <w:rPr>
          <w:rFonts w:cs="Miriam"/>
          <w:szCs w:val="22"/>
          <w:rtl/>
        </w:rPr>
        <w:t>רשויות ומשפט מנהלי</w:t>
      </w:r>
      <w:r w:rsidRPr="00F34CBA">
        <w:rPr>
          <w:rFonts w:cs="FrankRuehl"/>
          <w:szCs w:val="26"/>
          <w:rtl/>
        </w:rPr>
        <w:t xml:space="preserve"> – תקשורת – בזק ושידורים – רישיון</w:t>
      </w:r>
    </w:p>
    <w:p w14:paraId="45F6F373" w14:textId="77777777" w:rsidR="00B8081D" w:rsidRDefault="00B8081D">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570EE" w:rsidRPr="008570EE" w14:paraId="6A5A5D18" w14:textId="77777777" w:rsidTr="008570EE">
        <w:tblPrEx>
          <w:tblCellMar>
            <w:top w:w="0" w:type="dxa"/>
            <w:bottom w:w="0" w:type="dxa"/>
          </w:tblCellMar>
        </w:tblPrEx>
        <w:tc>
          <w:tcPr>
            <w:tcW w:w="1247" w:type="dxa"/>
          </w:tcPr>
          <w:p w14:paraId="2DE64C82" w14:textId="77777777" w:rsidR="008570EE" w:rsidRPr="008570EE" w:rsidRDefault="008570EE" w:rsidP="008570EE">
            <w:pPr>
              <w:spacing w:line="240" w:lineRule="auto"/>
              <w:jc w:val="left"/>
              <w:rPr>
                <w:rFonts w:cs="Frankruhel"/>
                <w:sz w:val="24"/>
                <w:rtl/>
              </w:rPr>
            </w:pPr>
            <w:r>
              <w:rPr>
                <w:rFonts w:cs="Times New Roman"/>
                <w:sz w:val="24"/>
                <w:rtl/>
              </w:rPr>
              <w:t xml:space="preserve">סעיף 1 </w:t>
            </w:r>
          </w:p>
        </w:tc>
        <w:tc>
          <w:tcPr>
            <w:tcW w:w="5669" w:type="dxa"/>
          </w:tcPr>
          <w:p w14:paraId="7711E6DF" w14:textId="77777777" w:rsidR="008570EE" w:rsidRPr="008570EE" w:rsidRDefault="008570EE" w:rsidP="008570EE">
            <w:pPr>
              <w:spacing w:line="240" w:lineRule="auto"/>
              <w:jc w:val="left"/>
              <w:rPr>
                <w:rFonts w:cs="Frankruhel"/>
                <w:sz w:val="24"/>
                <w:rtl/>
              </w:rPr>
            </w:pPr>
            <w:r>
              <w:rPr>
                <w:rFonts w:cs="Times New Roman"/>
                <w:sz w:val="24"/>
                <w:rtl/>
              </w:rPr>
              <w:t>הגדרות</w:t>
            </w:r>
          </w:p>
        </w:tc>
        <w:tc>
          <w:tcPr>
            <w:tcW w:w="567" w:type="dxa"/>
          </w:tcPr>
          <w:p w14:paraId="04D2FC71" w14:textId="77777777" w:rsidR="008570EE" w:rsidRPr="008570EE" w:rsidRDefault="008570EE" w:rsidP="008570EE">
            <w:pPr>
              <w:spacing w:line="240" w:lineRule="auto"/>
              <w:jc w:val="left"/>
              <w:rPr>
                <w:rStyle w:val="Hyperlink"/>
                <w:rtl/>
              </w:rPr>
            </w:pPr>
            <w:hyperlink w:anchor="Seif1" w:tooltip="הגדרות" w:history="1">
              <w:r w:rsidRPr="008570EE">
                <w:rPr>
                  <w:rStyle w:val="Hyperlink"/>
                </w:rPr>
                <w:t>Go</w:t>
              </w:r>
            </w:hyperlink>
          </w:p>
        </w:tc>
        <w:tc>
          <w:tcPr>
            <w:tcW w:w="850" w:type="dxa"/>
          </w:tcPr>
          <w:p w14:paraId="2D2B1F3E" w14:textId="77777777" w:rsidR="008570EE" w:rsidRPr="008570EE" w:rsidRDefault="008570EE" w:rsidP="008570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570EE" w:rsidRPr="008570EE" w14:paraId="56722F62" w14:textId="77777777" w:rsidTr="008570EE">
        <w:tblPrEx>
          <w:tblCellMar>
            <w:top w:w="0" w:type="dxa"/>
            <w:bottom w:w="0" w:type="dxa"/>
          </w:tblCellMar>
        </w:tblPrEx>
        <w:tc>
          <w:tcPr>
            <w:tcW w:w="1247" w:type="dxa"/>
          </w:tcPr>
          <w:p w14:paraId="27B25E2D" w14:textId="77777777" w:rsidR="008570EE" w:rsidRPr="008570EE" w:rsidRDefault="008570EE" w:rsidP="008570EE">
            <w:pPr>
              <w:spacing w:line="240" w:lineRule="auto"/>
              <w:jc w:val="left"/>
              <w:rPr>
                <w:rFonts w:cs="Frankruhel"/>
                <w:sz w:val="24"/>
                <w:rtl/>
              </w:rPr>
            </w:pPr>
            <w:r>
              <w:rPr>
                <w:rFonts w:cs="Times New Roman"/>
                <w:sz w:val="24"/>
                <w:rtl/>
              </w:rPr>
              <w:t xml:space="preserve">סעיף 2 </w:t>
            </w:r>
          </w:p>
        </w:tc>
        <w:tc>
          <w:tcPr>
            <w:tcW w:w="5669" w:type="dxa"/>
          </w:tcPr>
          <w:p w14:paraId="00D3B2E0" w14:textId="77777777" w:rsidR="008570EE" w:rsidRPr="008570EE" w:rsidRDefault="008570EE" w:rsidP="008570EE">
            <w:pPr>
              <w:spacing w:line="240" w:lineRule="auto"/>
              <w:jc w:val="left"/>
              <w:rPr>
                <w:rFonts w:cs="Frankruhel"/>
                <w:sz w:val="24"/>
                <w:rtl/>
              </w:rPr>
            </w:pPr>
            <w:r>
              <w:rPr>
                <w:rFonts w:cs="Times New Roman"/>
                <w:sz w:val="24"/>
                <w:rtl/>
              </w:rPr>
              <w:t>דיווח על אירוע מיוחד</w:t>
            </w:r>
          </w:p>
        </w:tc>
        <w:tc>
          <w:tcPr>
            <w:tcW w:w="567" w:type="dxa"/>
          </w:tcPr>
          <w:p w14:paraId="5481FCA3" w14:textId="77777777" w:rsidR="008570EE" w:rsidRPr="008570EE" w:rsidRDefault="008570EE" w:rsidP="008570EE">
            <w:pPr>
              <w:spacing w:line="240" w:lineRule="auto"/>
              <w:jc w:val="left"/>
              <w:rPr>
                <w:rStyle w:val="Hyperlink"/>
                <w:rtl/>
              </w:rPr>
            </w:pPr>
            <w:hyperlink w:anchor="Seif2" w:tooltip="דיווח על אירוע מיוחד" w:history="1">
              <w:r w:rsidRPr="008570EE">
                <w:rPr>
                  <w:rStyle w:val="Hyperlink"/>
                </w:rPr>
                <w:t>Go</w:t>
              </w:r>
            </w:hyperlink>
          </w:p>
        </w:tc>
        <w:tc>
          <w:tcPr>
            <w:tcW w:w="850" w:type="dxa"/>
          </w:tcPr>
          <w:p w14:paraId="19C5DB13" w14:textId="77777777" w:rsidR="008570EE" w:rsidRPr="008570EE" w:rsidRDefault="008570EE" w:rsidP="008570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570EE" w:rsidRPr="008570EE" w14:paraId="70B051D3" w14:textId="77777777" w:rsidTr="008570EE">
        <w:tblPrEx>
          <w:tblCellMar>
            <w:top w:w="0" w:type="dxa"/>
            <w:bottom w:w="0" w:type="dxa"/>
          </w:tblCellMar>
        </w:tblPrEx>
        <w:tc>
          <w:tcPr>
            <w:tcW w:w="1247" w:type="dxa"/>
          </w:tcPr>
          <w:p w14:paraId="7590A761" w14:textId="77777777" w:rsidR="008570EE" w:rsidRPr="008570EE" w:rsidRDefault="008570EE" w:rsidP="008570EE">
            <w:pPr>
              <w:spacing w:line="240" w:lineRule="auto"/>
              <w:jc w:val="left"/>
              <w:rPr>
                <w:rFonts w:cs="Frankruhel"/>
                <w:sz w:val="24"/>
                <w:rtl/>
              </w:rPr>
            </w:pPr>
            <w:r>
              <w:rPr>
                <w:rFonts w:cs="Times New Roman"/>
                <w:sz w:val="24"/>
                <w:rtl/>
              </w:rPr>
              <w:t xml:space="preserve">סעיף 3 </w:t>
            </w:r>
          </w:p>
        </w:tc>
        <w:tc>
          <w:tcPr>
            <w:tcW w:w="5669" w:type="dxa"/>
          </w:tcPr>
          <w:p w14:paraId="497219D7" w14:textId="77777777" w:rsidR="008570EE" w:rsidRPr="008570EE" w:rsidRDefault="008570EE" w:rsidP="008570EE">
            <w:pPr>
              <w:spacing w:line="240" w:lineRule="auto"/>
              <w:jc w:val="left"/>
              <w:rPr>
                <w:rFonts w:cs="Frankruhel"/>
                <w:sz w:val="24"/>
                <w:rtl/>
              </w:rPr>
            </w:pPr>
            <w:r>
              <w:rPr>
                <w:rFonts w:cs="Times New Roman"/>
                <w:sz w:val="24"/>
                <w:rtl/>
              </w:rPr>
              <w:t>מתכונת הדיווח</w:t>
            </w:r>
          </w:p>
        </w:tc>
        <w:tc>
          <w:tcPr>
            <w:tcW w:w="567" w:type="dxa"/>
          </w:tcPr>
          <w:p w14:paraId="395632A2" w14:textId="77777777" w:rsidR="008570EE" w:rsidRPr="008570EE" w:rsidRDefault="008570EE" w:rsidP="008570EE">
            <w:pPr>
              <w:spacing w:line="240" w:lineRule="auto"/>
              <w:jc w:val="left"/>
              <w:rPr>
                <w:rStyle w:val="Hyperlink"/>
                <w:rtl/>
              </w:rPr>
            </w:pPr>
            <w:hyperlink w:anchor="Seif3" w:tooltip="מתכונת הדיווח" w:history="1">
              <w:r w:rsidRPr="008570EE">
                <w:rPr>
                  <w:rStyle w:val="Hyperlink"/>
                </w:rPr>
                <w:t>Go</w:t>
              </w:r>
            </w:hyperlink>
          </w:p>
        </w:tc>
        <w:tc>
          <w:tcPr>
            <w:tcW w:w="850" w:type="dxa"/>
          </w:tcPr>
          <w:p w14:paraId="3AE14F69" w14:textId="77777777" w:rsidR="008570EE" w:rsidRPr="008570EE" w:rsidRDefault="008570EE" w:rsidP="008570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570EE" w:rsidRPr="008570EE" w14:paraId="1C936D44" w14:textId="77777777" w:rsidTr="008570EE">
        <w:tblPrEx>
          <w:tblCellMar>
            <w:top w:w="0" w:type="dxa"/>
            <w:bottom w:w="0" w:type="dxa"/>
          </w:tblCellMar>
        </w:tblPrEx>
        <w:tc>
          <w:tcPr>
            <w:tcW w:w="1247" w:type="dxa"/>
          </w:tcPr>
          <w:p w14:paraId="373FEDF6" w14:textId="77777777" w:rsidR="008570EE" w:rsidRPr="008570EE" w:rsidRDefault="008570EE" w:rsidP="008570EE">
            <w:pPr>
              <w:spacing w:line="240" w:lineRule="auto"/>
              <w:jc w:val="left"/>
              <w:rPr>
                <w:rFonts w:cs="Frankruhel"/>
                <w:sz w:val="24"/>
                <w:rtl/>
              </w:rPr>
            </w:pPr>
            <w:r>
              <w:rPr>
                <w:rFonts w:cs="Times New Roman"/>
                <w:sz w:val="24"/>
                <w:rtl/>
              </w:rPr>
              <w:t xml:space="preserve">סעיף 4 </w:t>
            </w:r>
          </w:p>
        </w:tc>
        <w:tc>
          <w:tcPr>
            <w:tcW w:w="5669" w:type="dxa"/>
          </w:tcPr>
          <w:p w14:paraId="2A98B5D5" w14:textId="77777777" w:rsidR="008570EE" w:rsidRPr="008570EE" w:rsidRDefault="008570EE" w:rsidP="008570EE">
            <w:pPr>
              <w:spacing w:line="240" w:lineRule="auto"/>
              <w:jc w:val="left"/>
              <w:rPr>
                <w:rFonts w:cs="Frankruhel"/>
                <w:sz w:val="24"/>
                <w:rtl/>
              </w:rPr>
            </w:pPr>
            <w:r>
              <w:rPr>
                <w:rFonts w:cs="Times New Roman"/>
                <w:sz w:val="24"/>
                <w:rtl/>
              </w:rPr>
              <w:t>פטור</w:t>
            </w:r>
          </w:p>
        </w:tc>
        <w:tc>
          <w:tcPr>
            <w:tcW w:w="567" w:type="dxa"/>
          </w:tcPr>
          <w:p w14:paraId="3F848073" w14:textId="77777777" w:rsidR="008570EE" w:rsidRPr="008570EE" w:rsidRDefault="008570EE" w:rsidP="008570EE">
            <w:pPr>
              <w:spacing w:line="240" w:lineRule="auto"/>
              <w:jc w:val="left"/>
              <w:rPr>
                <w:rStyle w:val="Hyperlink"/>
                <w:rtl/>
              </w:rPr>
            </w:pPr>
            <w:hyperlink w:anchor="Seif4" w:tooltip="פטור" w:history="1">
              <w:r w:rsidRPr="008570EE">
                <w:rPr>
                  <w:rStyle w:val="Hyperlink"/>
                </w:rPr>
                <w:t>Go</w:t>
              </w:r>
            </w:hyperlink>
          </w:p>
        </w:tc>
        <w:tc>
          <w:tcPr>
            <w:tcW w:w="850" w:type="dxa"/>
          </w:tcPr>
          <w:p w14:paraId="59408DF9" w14:textId="77777777" w:rsidR="008570EE" w:rsidRPr="008570EE" w:rsidRDefault="008570EE" w:rsidP="008570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570EE" w:rsidRPr="008570EE" w14:paraId="758654CA" w14:textId="77777777" w:rsidTr="008570EE">
        <w:tblPrEx>
          <w:tblCellMar>
            <w:top w:w="0" w:type="dxa"/>
            <w:bottom w:w="0" w:type="dxa"/>
          </w:tblCellMar>
        </w:tblPrEx>
        <w:tc>
          <w:tcPr>
            <w:tcW w:w="1247" w:type="dxa"/>
          </w:tcPr>
          <w:p w14:paraId="5ED37B14" w14:textId="77777777" w:rsidR="008570EE" w:rsidRPr="008570EE" w:rsidRDefault="008570EE" w:rsidP="008570EE">
            <w:pPr>
              <w:spacing w:line="240" w:lineRule="auto"/>
              <w:jc w:val="left"/>
              <w:rPr>
                <w:rFonts w:cs="Frankruhel"/>
                <w:sz w:val="24"/>
                <w:rtl/>
              </w:rPr>
            </w:pPr>
            <w:r>
              <w:rPr>
                <w:rFonts w:cs="Times New Roman"/>
                <w:sz w:val="24"/>
                <w:rtl/>
              </w:rPr>
              <w:t xml:space="preserve">סעיף 5 </w:t>
            </w:r>
          </w:p>
        </w:tc>
        <w:tc>
          <w:tcPr>
            <w:tcW w:w="5669" w:type="dxa"/>
          </w:tcPr>
          <w:p w14:paraId="7225A300" w14:textId="77777777" w:rsidR="008570EE" w:rsidRPr="008570EE" w:rsidRDefault="008570EE" w:rsidP="008570EE">
            <w:pPr>
              <w:spacing w:line="240" w:lineRule="auto"/>
              <w:jc w:val="left"/>
              <w:rPr>
                <w:rFonts w:cs="Frankruhel"/>
                <w:sz w:val="24"/>
                <w:rtl/>
              </w:rPr>
            </w:pPr>
            <w:r>
              <w:rPr>
                <w:rFonts w:cs="Times New Roman"/>
                <w:sz w:val="24"/>
                <w:rtl/>
              </w:rPr>
              <w:t>דחיית מועד דיווח</w:t>
            </w:r>
          </w:p>
        </w:tc>
        <w:tc>
          <w:tcPr>
            <w:tcW w:w="567" w:type="dxa"/>
          </w:tcPr>
          <w:p w14:paraId="28EB370E" w14:textId="77777777" w:rsidR="008570EE" w:rsidRPr="008570EE" w:rsidRDefault="008570EE" w:rsidP="008570EE">
            <w:pPr>
              <w:spacing w:line="240" w:lineRule="auto"/>
              <w:jc w:val="left"/>
              <w:rPr>
                <w:rStyle w:val="Hyperlink"/>
                <w:rtl/>
              </w:rPr>
            </w:pPr>
            <w:hyperlink w:anchor="Seif5" w:tooltip="דחיית מועד דיווח" w:history="1">
              <w:r w:rsidRPr="008570EE">
                <w:rPr>
                  <w:rStyle w:val="Hyperlink"/>
                </w:rPr>
                <w:t>Go</w:t>
              </w:r>
            </w:hyperlink>
          </w:p>
        </w:tc>
        <w:tc>
          <w:tcPr>
            <w:tcW w:w="850" w:type="dxa"/>
          </w:tcPr>
          <w:p w14:paraId="62ABD7E5" w14:textId="77777777" w:rsidR="008570EE" w:rsidRPr="008570EE" w:rsidRDefault="008570EE" w:rsidP="008570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570EE" w:rsidRPr="008570EE" w14:paraId="21868E30" w14:textId="77777777" w:rsidTr="008570EE">
        <w:tblPrEx>
          <w:tblCellMar>
            <w:top w:w="0" w:type="dxa"/>
            <w:bottom w:w="0" w:type="dxa"/>
          </w:tblCellMar>
        </w:tblPrEx>
        <w:tc>
          <w:tcPr>
            <w:tcW w:w="1247" w:type="dxa"/>
          </w:tcPr>
          <w:p w14:paraId="3D6FB91A" w14:textId="77777777" w:rsidR="008570EE" w:rsidRPr="008570EE" w:rsidRDefault="008570EE" w:rsidP="008570EE">
            <w:pPr>
              <w:spacing w:line="240" w:lineRule="auto"/>
              <w:jc w:val="left"/>
              <w:rPr>
                <w:rFonts w:cs="Frankruhel"/>
                <w:sz w:val="24"/>
                <w:rtl/>
              </w:rPr>
            </w:pPr>
            <w:r>
              <w:rPr>
                <w:rFonts w:cs="Times New Roman"/>
                <w:sz w:val="24"/>
                <w:rtl/>
              </w:rPr>
              <w:t xml:space="preserve">סעיף 6 </w:t>
            </w:r>
          </w:p>
        </w:tc>
        <w:tc>
          <w:tcPr>
            <w:tcW w:w="5669" w:type="dxa"/>
          </w:tcPr>
          <w:p w14:paraId="021CEDB2" w14:textId="77777777" w:rsidR="008570EE" w:rsidRPr="008570EE" w:rsidRDefault="008570EE" w:rsidP="008570EE">
            <w:pPr>
              <w:spacing w:line="240" w:lineRule="auto"/>
              <w:jc w:val="left"/>
              <w:rPr>
                <w:rFonts w:cs="Frankruhel"/>
                <w:sz w:val="24"/>
                <w:rtl/>
              </w:rPr>
            </w:pPr>
            <w:r>
              <w:rPr>
                <w:rFonts w:cs="Times New Roman"/>
                <w:sz w:val="24"/>
                <w:rtl/>
              </w:rPr>
              <w:t>אצילת סמכויות</w:t>
            </w:r>
          </w:p>
        </w:tc>
        <w:tc>
          <w:tcPr>
            <w:tcW w:w="567" w:type="dxa"/>
          </w:tcPr>
          <w:p w14:paraId="2AD77193" w14:textId="77777777" w:rsidR="008570EE" w:rsidRPr="008570EE" w:rsidRDefault="008570EE" w:rsidP="008570EE">
            <w:pPr>
              <w:spacing w:line="240" w:lineRule="auto"/>
              <w:jc w:val="left"/>
              <w:rPr>
                <w:rStyle w:val="Hyperlink"/>
                <w:rtl/>
              </w:rPr>
            </w:pPr>
            <w:hyperlink w:anchor="Seif6" w:tooltip="אצילת סמכויות" w:history="1">
              <w:r w:rsidRPr="008570EE">
                <w:rPr>
                  <w:rStyle w:val="Hyperlink"/>
                </w:rPr>
                <w:t>Go</w:t>
              </w:r>
            </w:hyperlink>
          </w:p>
        </w:tc>
        <w:tc>
          <w:tcPr>
            <w:tcW w:w="850" w:type="dxa"/>
          </w:tcPr>
          <w:p w14:paraId="262CD8D1" w14:textId="77777777" w:rsidR="008570EE" w:rsidRPr="008570EE" w:rsidRDefault="008570EE" w:rsidP="008570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570EE" w:rsidRPr="008570EE" w14:paraId="67723C67" w14:textId="77777777" w:rsidTr="008570EE">
        <w:tblPrEx>
          <w:tblCellMar>
            <w:top w:w="0" w:type="dxa"/>
            <w:bottom w:w="0" w:type="dxa"/>
          </w:tblCellMar>
        </w:tblPrEx>
        <w:tc>
          <w:tcPr>
            <w:tcW w:w="1247" w:type="dxa"/>
          </w:tcPr>
          <w:p w14:paraId="42098D1F" w14:textId="77777777" w:rsidR="008570EE" w:rsidRPr="008570EE" w:rsidRDefault="008570EE" w:rsidP="008570EE">
            <w:pPr>
              <w:spacing w:line="240" w:lineRule="auto"/>
              <w:jc w:val="left"/>
              <w:rPr>
                <w:rFonts w:cs="Frankruhel"/>
                <w:sz w:val="24"/>
                <w:rtl/>
              </w:rPr>
            </w:pPr>
            <w:r>
              <w:rPr>
                <w:rFonts w:cs="Times New Roman"/>
                <w:sz w:val="24"/>
                <w:rtl/>
              </w:rPr>
              <w:t xml:space="preserve">סעיף 7 </w:t>
            </w:r>
          </w:p>
        </w:tc>
        <w:tc>
          <w:tcPr>
            <w:tcW w:w="5669" w:type="dxa"/>
          </w:tcPr>
          <w:p w14:paraId="0377B542" w14:textId="77777777" w:rsidR="008570EE" w:rsidRPr="008570EE" w:rsidRDefault="008570EE" w:rsidP="008570EE">
            <w:pPr>
              <w:spacing w:line="240" w:lineRule="auto"/>
              <w:jc w:val="left"/>
              <w:rPr>
                <w:rFonts w:cs="Frankruhel"/>
                <w:sz w:val="24"/>
                <w:rtl/>
              </w:rPr>
            </w:pPr>
            <w:r>
              <w:rPr>
                <w:rFonts w:cs="Times New Roman"/>
                <w:sz w:val="24"/>
                <w:rtl/>
              </w:rPr>
              <w:t>ביטול</w:t>
            </w:r>
          </w:p>
        </w:tc>
        <w:tc>
          <w:tcPr>
            <w:tcW w:w="567" w:type="dxa"/>
          </w:tcPr>
          <w:p w14:paraId="22715409" w14:textId="77777777" w:rsidR="008570EE" w:rsidRPr="008570EE" w:rsidRDefault="008570EE" w:rsidP="008570EE">
            <w:pPr>
              <w:spacing w:line="240" w:lineRule="auto"/>
              <w:jc w:val="left"/>
              <w:rPr>
                <w:rStyle w:val="Hyperlink"/>
                <w:rtl/>
              </w:rPr>
            </w:pPr>
            <w:hyperlink w:anchor="Seif7" w:tooltip="ביטול" w:history="1">
              <w:r w:rsidRPr="008570EE">
                <w:rPr>
                  <w:rStyle w:val="Hyperlink"/>
                </w:rPr>
                <w:t>Go</w:t>
              </w:r>
            </w:hyperlink>
          </w:p>
        </w:tc>
        <w:tc>
          <w:tcPr>
            <w:tcW w:w="850" w:type="dxa"/>
          </w:tcPr>
          <w:p w14:paraId="70B19371" w14:textId="77777777" w:rsidR="008570EE" w:rsidRPr="008570EE" w:rsidRDefault="008570EE" w:rsidP="008570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570EE" w:rsidRPr="008570EE" w14:paraId="362FEF11" w14:textId="77777777" w:rsidTr="008570EE">
        <w:tblPrEx>
          <w:tblCellMar>
            <w:top w:w="0" w:type="dxa"/>
            <w:bottom w:w="0" w:type="dxa"/>
          </w:tblCellMar>
        </w:tblPrEx>
        <w:tc>
          <w:tcPr>
            <w:tcW w:w="1247" w:type="dxa"/>
          </w:tcPr>
          <w:p w14:paraId="24841A0E" w14:textId="77777777" w:rsidR="008570EE" w:rsidRPr="008570EE" w:rsidRDefault="008570EE" w:rsidP="008570EE">
            <w:pPr>
              <w:spacing w:line="240" w:lineRule="auto"/>
              <w:jc w:val="left"/>
              <w:rPr>
                <w:rFonts w:cs="Frankruhel"/>
                <w:sz w:val="24"/>
                <w:rtl/>
              </w:rPr>
            </w:pPr>
            <w:r>
              <w:rPr>
                <w:rFonts w:cs="Times New Roman"/>
                <w:sz w:val="24"/>
                <w:rtl/>
              </w:rPr>
              <w:t xml:space="preserve">סעיף 8 </w:t>
            </w:r>
          </w:p>
        </w:tc>
        <w:tc>
          <w:tcPr>
            <w:tcW w:w="5669" w:type="dxa"/>
          </w:tcPr>
          <w:p w14:paraId="7AE84E5E" w14:textId="77777777" w:rsidR="008570EE" w:rsidRPr="008570EE" w:rsidRDefault="008570EE" w:rsidP="008570EE">
            <w:pPr>
              <w:spacing w:line="240" w:lineRule="auto"/>
              <w:jc w:val="left"/>
              <w:rPr>
                <w:rFonts w:cs="Frankruhel"/>
                <w:sz w:val="24"/>
                <w:rtl/>
              </w:rPr>
            </w:pPr>
            <w:r>
              <w:rPr>
                <w:rFonts w:cs="Times New Roman"/>
                <w:sz w:val="24"/>
                <w:rtl/>
              </w:rPr>
              <w:t>תחילה ותחולה</w:t>
            </w:r>
          </w:p>
        </w:tc>
        <w:tc>
          <w:tcPr>
            <w:tcW w:w="567" w:type="dxa"/>
          </w:tcPr>
          <w:p w14:paraId="3D1370B2" w14:textId="77777777" w:rsidR="008570EE" w:rsidRPr="008570EE" w:rsidRDefault="008570EE" w:rsidP="008570EE">
            <w:pPr>
              <w:spacing w:line="240" w:lineRule="auto"/>
              <w:jc w:val="left"/>
              <w:rPr>
                <w:rStyle w:val="Hyperlink"/>
                <w:rtl/>
              </w:rPr>
            </w:pPr>
            <w:hyperlink w:anchor="Seif8" w:tooltip="תחילה ותחולה" w:history="1">
              <w:r w:rsidRPr="008570EE">
                <w:rPr>
                  <w:rStyle w:val="Hyperlink"/>
                </w:rPr>
                <w:t>Go</w:t>
              </w:r>
            </w:hyperlink>
          </w:p>
        </w:tc>
        <w:tc>
          <w:tcPr>
            <w:tcW w:w="850" w:type="dxa"/>
          </w:tcPr>
          <w:p w14:paraId="2DD742F1" w14:textId="77777777" w:rsidR="008570EE" w:rsidRPr="008570EE" w:rsidRDefault="008570EE" w:rsidP="008570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570EE" w:rsidRPr="008570EE" w14:paraId="6E9CA45A" w14:textId="77777777" w:rsidTr="008570EE">
        <w:tblPrEx>
          <w:tblCellMar>
            <w:top w:w="0" w:type="dxa"/>
            <w:bottom w:w="0" w:type="dxa"/>
          </w:tblCellMar>
        </w:tblPrEx>
        <w:tc>
          <w:tcPr>
            <w:tcW w:w="1247" w:type="dxa"/>
          </w:tcPr>
          <w:p w14:paraId="67F33F02" w14:textId="77777777" w:rsidR="008570EE" w:rsidRPr="008570EE" w:rsidRDefault="008570EE" w:rsidP="008570EE">
            <w:pPr>
              <w:spacing w:line="240" w:lineRule="auto"/>
              <w:jc w:val="left"/>
              <w:rPr>
                <w:rFonts w:cs="Frankruhel"/>
                <w:sz w:val="24"/>
                <w:rtl/>
              </w:rPr>
            </w:pPr>
          </w:p>
        </w:tc>
        <w:tc>
          <w:tcPr>
            <w:tcW w:w="5669" w:type="dxa"/>
          </w:tcPr>
          <w:p w14:paraId="79C515C7" w14:textId="77777777" w:rsidR="008570EE" w:rsidRPr="008570EE" w:rsidRDefault="008570EE" w:rsidP="008570EE">
            <w:pPr>
              <w:spacing w:line="240" w:lineRule="auto"/>
              <w:jc w:val="left"/>
              <w:rPr>
                <w:rFonts w:cs="Frankruhel"/>
                <w:sz w:val="24"/>
                <w:rtl/>
              </w:rPr>
            </w:pPr>
            <w:r>
              <w:rPr>
                <w:rFonts w:cs="Times New Roman"/>
                <w:sz w:val="24"/>
                <w:rtl/>
              </w:rPr>
              <w:t>תוספת ראשונה</w:t>
            </w:r>
          </w:p>
        </w:tc>
        <w:tc>
          <w:tcPr>
            <w:tcW w:w="567" w:type="dxa"/>
          </w:tcPr>
          <w:p w14:paraId="18E15C45" w14:textId="77777777" w:rsidR="008570EE" w:rsidRPr="008570EE" w:rsidRDefault="008570EE" w:rsidP="008570EE">
            <w:pPr>
              <w:spacing w:line="240" w:lineRule="auto"/>
              <w:jc w:val="left"/>
              <w:rPr>
                <w:rStyle w:val="Hyperlink"/>
                <w:rtl/>
              </w:rPr>
            </w:pPr>
            <w:hyperlink w:anchor="med0" w:tooltip="תוספת ראשונה" w:history="1">
              <w:r w:rsidRPr="008570EE">
                <w:rPr>
                  <w:rStyle w:val="Hyperlink"/>
                </w:rPr>
                <w:t>Go</w:t>
              </w:r>
            </w:hyperlink>
          </w:p>
        </w:tc>
        <w:tc>
          <w:tcPr>
            <w:tcW w:w="850" w:type="dxa"/>
          </w:tcPr>
          <w:p w14:paraId="189D88FA" w14:textId="77777777" w:rsidR="008570EE" w:rsidRPr="008570EE" w:rsidRDefault="008570EE" w:rsidP="008570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570EE" w:rsidRPr="008570EE" w14:paraId="26F88205" w14:textId="77777777" w:rsidTr="008570EE">
        <w:tblPrEx>
          <w:tblCellMar>
            <w:top w:w="0" w:type="dxa"/>
            <w:bottom w:w="0" w:type="dxa"/>
          </w:tblCellMar>
        </w:tblPrEx>
        <w:tc>
          <w:tcPr>
            <w:tcW w:w="1247" w:type="dxa"/>
          </w:tcPr>
          <w:p w14:paraId="0A5A001E" w14:textId="77777777" w:rsidR="008570EE" w:rsidRPr="008570EE" w:rsidRDefault="008570EE" w:rsidP="008570EE">
            <w:pPr>
              <w:spacing w:line="240" w:lineRule="auto"/>
              <w:jc w:val="left"/>
              <w:rPr>
                <w:rFonts w:cs="Frankruhel"/>
                <w:sz w:val="24"/>
                <w:rtl/>
              </w:rPr>
            </w:pPr>
          </w:p>
        </w:tc>
        <w:tc>
          <w:tcPr>
            <w:tcW w:w="5669" w:type="dxa"/>
          </w:tcPr>
          <w:p w14:paraId="39C33645" w14:textId="77777777" w:rsidR="008570EE" w:rsidRPr="008570EE" w:rsidRDefault="008570EE" w:rsidP="008570EE">
            <w:pPr>
              <w:spacing w:line="240" w:lineRule="auto"/>
              <w:jc w:val="left"/>
              <w:rPr>
                <w:rFonts w:cs="Frankruhel"/>
                <w:sz w:val="24"/>
                <w:rtl/>
              </w:rPr>
            </w:pPr>
            <w:r>
              <w:rPr>
                <w:rFonts w:cs="Times New Roman"/>
                <w:sz w:val="24"/>
                <w:rtl/>
              </w:rPr>
              <w:t>תוספת שנייה</w:t>
            </w:r>
          </w:p>
        </w:tc>
        <w:tc>
          <w:tcPr>
            <w:tcW w:w="567" w:type="dxa"/>
          </w:tcPr>
          <w:p w14:paraId="1105D7D3" w14:textId="77777777" w:rsidR="008570EE" w:rsidRPr="008570EE" w:rsidRDefault="008570EE" w:rsidP="008570EE">
            <w:pPr>
              <w:spacing w:line="240" w:lineRule="auto"/>
              <w:jc w:val="left"/>
              <w:rPr>
                <w:rStyle w:val="Hyperlink"/>
                <w:rtl/>
              </w:rPr>
            </w:pPr>
            <w:hyperlink w:anchor="med1" w:tooltip="תוספת שנייה" w:history="1">
              <w:r w:rsidRPr="008570EE">
                <w:rPr>
                  <w:rStyle w:val="Hyperlink"/>
                </w:rPr>
                <w:t>Go</w:t>
              </w:r>
            </w:hyperlink>
          </w:p>
        </w:tc>
        <w:tc>
          <w:tcPr>
            <w:tcW w:w="850" w:type="dxa"/>
          </w:tcPr>
          <w:p w14:paraId="28357C91" w14:textId="77777777" w:rsidR="008570EE" w:rsidRPr="008570EE" w:rsidRDefault="008570EE" w:rsidP="008570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26A0CE43" w14:textId="77777777" w:rsidR="00B8081D" w:rsidRDefault="00B8081D">
      <w:pPr>
        <w:pStyle w:val="big-header"/>
        <w:ind w:left="0" w:right="1134"/>
        <w:rPr>
          <w:rtl/>
        </w:rPr>
      </w:pPr>
    </w:p>
    <w:p w14:paraId="0215AF05" w14:textId="77777777" w:rsidR="00B8081D" w:rsidRDefault="00B8081D" w:rsidP="009145EE">
      <w:pPr>
        <w:pStyle w:val="big-header"/>
        <w:ind w:left="0" w:right="1134"/>
        <w:rPr>
          <w:rStyle w:val="default"/>
          <w:rFonts w:cs="FrankRuehl" w:hint="cs"/>
          <w:rtl/>
        </w:rPr>
      </w:pPr>
      <w:r>
        <w:rPr>
          <w:rtl/>
        </w:rPr>
        <w:br w:type="page"/>
      </w:r>
      <w:r w:rsidR="00F34CBA">
        <w:rPr>
          <w:rFonts w:hint="cs"/>
          <w:rtl/>
        </w:rPr>
        <w:lastRenderedPageBreak/>
        <w:t>תקנות התקשורת (בזק ושידורים) (</w:t>
      </w:r>
      <w:r w:rsidR="006D17B5">
        <w:rPr>
          <w:rFonts w:hint="cs"/>
          <w:rtl/>
        </w:rPr>
        <w:t>דיווח של בעל רישיון על אירוע מיוחד), תשפ"א-2020</w:t>
      </w:r>
      <w:r w:rsidR="00690184">
        <w:rPr>
          <w:rStyle w:val="a6"/>
          <w:rtl/>
        </w:rPr>
        <w:footnoteReference w:customMarkFollows="1" w:id="1"/>
        <w:t>*</w:t>
      </w:r>
    </w:p>
    <w:p w14:paraId="14E7FBA8" w14:textId="77777777" w:rsidR="00D67383" w:rsidRDefault="00B8081D" w:rsidP="000E270B">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w:t>
      </w:r>
      <w:r w:rsidR="00401ADF">
        <w:rPr>
          <w:rStyle w:val="default"/>
          <w:rFonts w:cs="FrankRuehl" w:hint="cs"/>
          <w:rtl/>
        </w:rPr>
        <w:t xml:space="preserve">סמכותי לפי </w:t>
      </w:r>
      <w:r w:rsidR="002B1569">
        <w:rPr>
          <w:rStyle w:val="default"/>
          <w:rFonts w:cs="FrankRuehl" w:hint="cs"/>
          <w:rtl/>
        </w:rPr>
        <w:t xml:space="preserve">סעיפים </w:t>
      </w:r>
      <w:r w:rsidR="006D17B5">
        <w:rPr>
          <w:rStyle w:val="default"/>
          <w:rFonts w:cs="FrankRuehl" w:hint="cs"/>
          <w:rtl/>
        </w:rPr>
        <w:t>12(ב)(5)</w:t>
      </w:r>
      <w:r w:rsidR="003223E0">
        <w:rPr>
          <w:rStyle w:val="default"/>
          <w:rFonts w:cs="FrankRuehl" w:hint="cs"/>
          <w:rtl/>
        </w:rPr>
        <w:t xml:space="preserve"> ו-59</w:t>
      </w:r>
      <w:r w:rsidR="000E270B">
        <w:rPr>
          <w:rStyle w:val="default"/>
          <w:rFonts w:cs="FrankRuehl" w:hint="cs"/>
          <w:rtl/>
        </w:rPr>
        <w:t xml:space="preserve"> לחוק התקשורת (בזק ושידורים), התשמ"ב-1982 (להלן </w:t>
      </w:r>
      <w:r w:rsidR="000E270B">
        <w:rPr>
          <w:rStyle w:val="default"/>
          <w:rFonts w:cs="FrankRuehl"/>
          <w:rtl/>
        </w:rPr>
        <w:t>–</w:t>
      </w:r>
      <w:r w:rsidR="000E270B">
        <w:rPr>
          <w:rStyle w:val="default"/>
          <w:rFonts w:cs="FrankRuehl" w:hint="cs"/>
          <w:rtl/>
        </w:rPr>
        <w:t xml:space="preserve"> החוק), ובאישור ועדת הכלכלה של הכנסת</w:t>
      </w:r>
      <w:r w:rsidR="0053563D">
        <w:rPr>
          <w:rStyle w:val="default"/>
          <w:rFonts w:cs="FrankRuehl" w:hint="cs"/>
          <w:rtl/>
        </w:rPr>
        <w:t>, אני מתקין תקנות אלה</w:t>
      </w:r>
      <w:r w:rsidR="00D67383">
        <w:rPr>
          <w:rStyle w:val="default"/>
          <w:rFonts w:cs="FrankRuehl" w:hint="cs"/>
          <w:rtl/>
        </w:rPr>
        <w:t>:</w:t>
      </w:r>
    </w:p>
    <w:p w14:paraId="22AE0F49" w14:textId="77777777" w:rsidR="00B8081D" w:rsidRDefault="00B8081D" w:rsidP="000E270B">
      <w:pPr>
        <w:pStyle w:val="P00"/>
        <w:spacing w:before="72"/>
        <w:ind w:left="0" w:right="1134"/>
        <w:rPr>
          <w:rStyle w:val="default"/>
          <w:rFonts w:cs="FrankRuehl"/>
          <w:rtl/>
        </w:rPr>
      </w:pPr>
      <w:bookmarkStart w:id="0" w:name="Seif1"/>
      <w:bookmarkEnd w:id="0"/>
      <w:r>
        <w:rPr>
          <w:lang w:val="he-IL"/>
        </w:rPr>
        <w:pict w14:anchorId="0B56B6E8">
          <v:rect id="_x0000_s2050" style="position:absolute;left:0;text-align:left;margin-left:464.5pt;margin-top:8.05pt;width:75.05pt;height:13.25pt;z-index:251654144" o:allowincell="f" filled="f" stroked="f" strokecolor="lime" strokeweight=".25pt">
            <v:textbox style="mso-next-textbox:#_x0000_s2050" inset="0,0,0,0">
              <w:txbxContent>
                <w:p w14:paraId="4AD9046B" w14:textId="77777777" w:rsidR="00E64455" w:rsidRDefault="000E270B" w:rsidP="002B1569">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Fonts w:cs="Miriam"/>
          <w:rtl/>
        </w:rPr>
        <w:t>1</w:t>
      </w:r>
      <w:r w:rsidRPr="00547F55">
        <w:rPr>
          <w:rStyle w:val="default"/>
          <w:rFonts w:cs="FrankRuehl"/>
          <w:rtl/>
        </w:rPr>
        <w:t>.</w:t>
      </w:r>
      <w:r w:rsidRPr="00547F55">
        <w:rPr>
          <w:rStyle w:val="default"/>
          <w:rFonts w:cs="FrankRuehl"/>
          <w:rtl/>
        </w:rPr>
        <w:tab/>
      </w:r>
      <w:r w:rsidR="000E270B">
        <w:rPr>
          <w:rStyle w:val="default"/>
          <w:rFonts w:cs="FrankRuehl" w:hint="cs"/>
          <w:rtl/>
        </w:rPr>
        <w:t xml:space="preserve">בתקנות אלה </w:t>
      </w:r>
      <w:r w:rsidR="000E270B">
        <w:rPr>
          <w:rStyle w:val="default"/>
          <w:rFonts w:cs="FrankRuehl"/>
          <w:rtl/>
        </w:rPr>
        <w:t>–</w:t>
      </w:r>
    </w:p>
    <w:p w14:paraId="0A8D374B" w14:textId="77777777" w:rsidR="006D17B5" w:rsidRDefault="006D17B5" w:rsidP="000E270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"אירוע מיוחד" </w:t>
      </w:r>
      <w:r>
        <w:rPr>
          <w:rStyle w:val="default"/>
          <w:rFonts w:cs="FrankRuehl"/>
          <w:rtl/>
        </w:rPr>
        <w:t>–</w:t>
      </w:r>
      <w:r>
        <w:rPr>
          <w:rStyle w:val="default"/>
          <w:rFonts w:cs="FrankRuehl" w:hint="cs"/>
          <w:rtl/>
        </w:rPr>
        <w:t xml:space="preserve"> כמפורט בטבלה שבתוספת הראשונה;</w:t>
      </w:r>
    </w:p>
    <w:p w14:paraId="668EEE91" w14:textId="77777777" w:rsidR="006D17B5" w:rsidRDefault="006D17B5" w:rsidP="000E270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"אתר ליבה" </w:t>
      </w:r>
      <w:r>
        <w:rPr>
          <w:rStyle w:val="default"/>
          <w:rFonts w:cs="FrankRuehl"/>
          <w:rtl/>
        </w:rPr>
        <w:t>–</w:t>
      </w:r>
      <w:r>
        <w:rPr>
          <w:rStyle w:val="default"/>
          <w:rFonts w:cs="FrankRuehl" w:hint="cs"/>
          <w:rtl/>
        </w:rPr>
        <w:t xml:space="preserve"> אתר ראשי או אתר ראשי חלופי (גיבוי), שבו מותקנות מערכות החיוניות למתן שירותי המפעיל לכלל מנוייו או לחלק ניכר מהם, ובכלל זה מתג, ציוד תקשורת, בסיסי נתונים, מערכות מחשוב, אחסון ומרכז בקרה וניהול;</w:t>
      </w:r>
    </w:p>
    <w:p w14:paraId="146324F8" w14:textId="77777777" w:rsidR="006D17B5" w:rsidRDefault="006D17B5" w:rsidP="000E270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"דוח סופי" </w:t>
      </w:r>
      <w:r>
        <w:rPr>
          <w:rStyle w:val="default"/>
          <w:rFonts w:cs="FrankRuehl"/>
          <w:rtl/>
        </w:rPr>
        <w:t>–</w:t>
      </w:r>
      <w:r>
        <w:rPr>
          <w:rStyle w:val="default"/>
          <w:rFonts w:cs="FrankRuehl" w:hint="cs"/>
          <w:rtl/>
        </w:rPr>
        <w:t xml:space="preserve"> דוח כאמור בתקנה 2(ג);</w:t>
      </w:r>
    </w:p>
    <w:p w14:paraId="3A8DEDF9" w14:textId="77777777" w:rsidR="006D17B5" w:rsidRDefault="006D17B5" w:rsidP="000E270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"דוח ראשוני" </w:t>
      </w:r>
      <w:r>
        <w:rPr>
          <w:rStyle w:val="default"/>
          <w:rFonts w:cs="FrankRuehl"/>
          <w:rtl/>
        </w:rPr>
        <w:t>–</w:t>
      </w:r>
      <w:r>
        <w:rPr>
          <w:rStyle w:val="default"/>
          <w:rFonts w:cs="FrankRuehl" w:hint="cs"/>
          <w:rtl/>
        </w:rPr>
        <w:t xml:space="preserve"> דוח כאמור בתקנה 2(ב);</w:t>
      </w:r>
    </w:p>
    <w:p w14:paraId="71EF45EA" w14:textId="77777777" w:rsidR="006D17B5" w:rsidRDefault="006D17B5" w:rsidP="000E270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"הודעה" </w:t>
      </w:r>
      <w:r>
        <w:rPr>
          <w:rStyle w:val="default"/>
          <w:rFonts w:cs="FrankRuehl"/>
          <w:rtl/>
        </w:rPr>
        <w:t>–</w:t>
      </w:r>
      <w:r>
        <w:rPr>
          <w:rStyle w:val="default"/>
          <w:rFonts w:cs="FrankRuehl" w:hint="cs"/>
          <w:rtl/>
        </w:rPr>
        <w:t xml:space="preserve"> הודעה כאמור בתקנה 2(א);</w:t>
      </w:r>
    </w:p>
    <w:p w14:paraId="035A27C2" w14:textId="77777777" w:rsidR="006D17B5" w:rsidRDefault="006D17B5" w:rsidP="000E270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"מב"ל" (מפעיל בין-לאומי) </w:t>
      </w:r>
      <w:r>
        <w:rPr>
          <w:rStyle w:val="default"/>
          <w:rFonts w:cs="FrankRuehl"/>
          <w:rtl/>
        </w:rPr>
        <w:t>–</w:t>
      </w:r>
      <w:r>
        <w:rPr>
          <w:rStyle w:val="default"/>
          <w:rFonts w:cs="FrankRuehl" w:hint="cs"/>
          <w:rtl/>
        </w:rPr>
        <w:t xml:space="preserve"> מי שנותן שירותי בזק בין-לאומיים מכוח רישיון כללי לפי החוק;</w:t>
      </w:r>
    </w:p>
    <w:p w14:paraId="34B3F9CB" w14:textId="77777777" w:rsidR="006D17B5" w:rsidRDefault="006D17B5" w:rsidP="000E270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"המנהל" </w:t>
      </w:r>
      <w:r w:rsidR="002445CF">
        <w:rPr>
          <w:rStyle w:val="default"/>
          <w:rFonts w:cs="FrankRuehl"/>
          <w:rtl/>
        </w:rPr>
        <w:t>–</w:t>
      </w:r>
      <w:r>
        <w:rPr>
          <w:rStyle w:val="default"/>
          <w:rFonts w:cs="FrankRuehl" w:hint="cs"/>
          <w:rtl/>
        </w:rPr>
        <w:t xml:space="preserve"> </w:t>
      </w:r>
      <w:r w:rsidR="002445CF">
        <w:rPr>
          <w:rStyle w:val="default"/>
          <w:rFonts w:cs="FrankRuehl" w:hint="cs"/>
          <w:rtl/>
        </w:rPr>
        <w:t>סגן המנהל הכללי לענייני פיקוח ואכיפה במשרד התקשורת;</w:t>
      </w:r>
    </w:p>
    <w:p w14:paraId="7782C30D" w14:textId="77777777" w:rsidR="002445CF" w:rsidRDefault="002445CF" w:rsidP="000E270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"מפ"א" (מפעיל פנים-ארצי) </w:t>
      </w:r>
      <w:r>
        <w:rPr>
          <w:rStyle w:val="default"/>
          <w:rFonts w:cs="FrankRuehl"/>
          <w:rtl/>
        </w:rPr>
        <w:t>–</w:t>
      </w:r>
      <w:r>
        <w:rPr>
          <w:rStyle w:val="default"/>
          <w:rFonts w:cs="FrankRuehl" w:hint="cs"/>
          <w:rtl/>
        </w:rPr>
        <w:t xml:space="preserve"> מי שנותן שירותי בזק פנים-ארציים נייחים מכוח רישיון כללי לפי החוק;</w:t>
      </w:r>
    </w:p>
    <w:p w14:paraId="6E81AF8C" w14:textId="77777777" w:rsidR="002445CF" w:rsidRDefault="002445CF" w:rsidP="000E270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"מפעיל" </w:t>
      </w:r>
      <w:r>
        <w:rPr>
          <w:rStyle w:val="default"/>
          <w:rFonts w:cs="FrankRuehl"/>
          <w:rtl/>
        </w:rPr>
        <w:t>–</w:t>
      </w:r>
      <w:r>
        <w:rPr>
          <w:rStyle w:val="default"/>
          <w:rFonts w:cs="FrankRuehl" w:hint="cs"/>
          <w:rtl/>
        </w:rPr>
        <w:t xml:space="preserve"> כל אחד מאלה:</w:t>
      </w:r>
    </w:p>
    <w:p w14:paraId="0038885F" w14:textId="77777777" w:rsidR="002445CF" w:rsidRDefault="002445CF" w:rsidP="004D06A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מב"ל;</w:t>
      </w:r>
    </w:p>
    <w:p w14:paraId="13D45764" w14:textId="77777777" w:rsidR="002445CF" w:rsidRDefault="002445CF" w:rsidP="004D06A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מפ"א;</w:t>
      </w:r>
    </w:p>
    <w:p w14:paraId="5429579E" w14:textId="77777777" w:rsidR="002445CF" w:rsidRDefault="002445CF" w:rsidP="004D06A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מפעיל רט"ן;</w:t>
      </w:r>
    </w:p>
    <w:p w14:paraId="51132AC3" w14:textId="77777777" w:rsidR="002445CF" w:rsidRDefault="002445CF" w:rsidP="004D06A5">
      <w:pPr>
        <w:pStyle w:val="P00"/>
        <w:spacing w:before="72"/>
        <w:ind w:left="1021" w:right="1134"/>
        <w:rPr>
          <w:rStyle w:val="default"/>
          <w:rFonts w:cs="FrankRuehl"/>
          <w:rtl/>
        </w:rPr>
      </w:pPr>
      <w:r>
        <w:rPr>
          <w:rStyle w:val="default"/>
          <w:rFonts w:cs="FrankRuehl" w:hint="cs"/>
          <w:rtl/>
        </w:rPr>
        <w:t>(4)</w:t>
      </w:r>
      <w:r>
        <w:rPr>
          <w:rStyle w:val="default"/>
          <w:rFonts w:cs="FrankRuehl"/>
          <w:rtl/>
        </w:rPr>
        <w:tab/>
      </w:r>
      <w:r w:rsidR="004D06A5">
        <w:rPr>
          <w:rStyle w:val="default"/>
          <w:rFonts w:cs="FrankRuehl" w:hint="cs"/>
          <w:rtl/>
        </w:rPr>
        <w:t>מפעיל שירותי תמסורת;</w:t>
      </w:r>
    </w:p>
    <w:p w14:paraId="675C4923" w14:textId="77777777" w:rsidR="004D06A5" w:rsidRDefault="004D06A5" w:rsidP="004D06A5">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מפעיל שירותי תמסורת באמצעות כבל תת-ימי;</w:t>
      </w:r>
    </w:p>
    <w:p w14:paraId="5A6EBCCC" w14:textId="77777777" w:rsidR="004D06A5" w:rsidRDefault="004D06A5" w:rsidP="004D06A5">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ספק גישה לאינטרנט;</w:t>
      </w:r>
    </w:p>
    <w:p w14:paraId="654DCC54" w14:textId="77777777" w:rsidR="004D06A5" w:rsidRDefault="004D06A5" w:rsidP="000E270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"מפעיל רט"ן" (רשת טלפון נייד) </w:t>
      </w:r>
      <w:r>
        <w:rPr>
          <w:rStyle w:val="default"/>
          <w:rFonts w:cs="FrankRuehl"/>
          <w:rtl/>
        </w:rPr>
        <w:t>–</w:t>
      </w:r>
      <w:r>
        <w:rPr>
          <w:rStyle w:val="default"/>
          <w:rFonts w:cs="FrankRuehl" w:hint="cs"/>
          <w:rtl/>
        </w:rPr>
        <w:t xml:space="preserve"> מי שנותן שירותי רדיו טלפון נייד מכוח רישיון כללי לפי החוק, ובכלל זה מי שנותן שירותי רדיו טלפון נייד ברשת אחרת מכוח רישיון כללי לפי החוק;</w:t>
      </w:r>
    </w:p>
    <w:p w14:paraId="74A493C5" w14:textId="77777777" w:rsidR="004D06A5" w:rsidRDefault="004D06A5" w:rsidP="000E270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"מפעיל שירותי תמסורת" </w:t>
      </w:r>
      <w:r>
        <w:rPr>
          <w:rStyle w:val="default"/>
          <w:rFonts w:cs="FrankRuehl"/>
          <w:rtl/>
        </w:rPr>
        <w:t>–</w:t>
      </w:r>
      <w:r>
        <w:rPr>
          <w:rStyle w:val="default"/>
          <w:rFonts w:cs="FrankRuehl" w:hint="cs"/>
          <w:rtl/>
        </w:rPr>
        <w:t xml:space="preserve"> מי שנותן שירותי תמסורת מכוח רישיון כללי או מיוחד לפי החוק, למעט מפעיל שירותי תמסורת באמצעות כבל תת-ימי;</w:t>
      </w:r>
    </w:p>
    <w:p w14:paraId="68C5E3ED" w14:textId="77777777" w:rsidR="004D06A5" w:rsidRDefault="004D06A5" w:rsidP="000E270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"מפעיל שירותי תמסורת באמצעות כבל תת-ימי" </w:t>
      </w:r>
      <w:r>
        <w:rPr>
          <w:rStyle w:val="default"/>
          <w:rFonts w:cs="FrankRuehl"/>
          <w:rtl/>
        </w:rPr>
        <w:t>–</w:t>
      </w:r>
      <w:r>
        <w:rPr>
          <w:rStyle w:val="default"/>
          <w:rFonts w:cs="FrankRuehl" w:hint="cs"/>
          <w:rtl/>
        </w:rPr>
        <w:t xml:space="preserve"> מי שנותן שירותי תמסורת באמצעות כבל תת-ימי מכוח רישיון כללי או מיוחד לפי החוק;</w:t>
      </w:r>
    </w:p>
    <w:p w14:paraId="0AC5E294" w14:textId="77777777" w:rsidR="004D06A5" w:rsidRDefault="004D06A5" w:rsidP="000E270B">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"ספק גישה לאינטרנט" </w:t>
      </w:r>
      <w:r>
        <w:rPr>
          <w:rStyle w:val="default"/>
          <w:rFonts w:cs="FrankRuehl"/>
          <w:rtl/>
        </w:rPr>
        <w:t>–</w:t>
      </w:r>
      <w:r>
        <w:rPr>
          <w:rStyle w:val="default"/>
          <w:rFonts w:cs="FrankRuehl" w:hint="cs"/>
          <w:rtl/>
        </w:rPr>
        <w:t xml:space="preserve"> מי שנותן שירותי גישה לאינטרנט ל-20,000 מנויים או יותר מכוח רישיון כללי או מיוחד לפי החוק.</w:t>
      </w:r>
    </w:p>
    <w:p w14:paraId="6491F552" w14:textId="77777777" w:rsidR="002B1569" w:rsidRDefault="002B1569" w:rsidP="009145EE">
      <w:pPr>
        <w:pStyle w:val="P00"/>
        <w:spacing w:before="72"/>
        <w:ind w:left="0" w:right="1134"/>
        <w:rPr>
          <w:rStyle w:val="default"/>
          <w:rFonts w:cs="FrankRuehl"/>
          <w:rtl/>
        </w:rPr>
      </w:pPr>
      <w:bookmarkStart w:id="1" w:name="Seif2"/>
      <w:bookmarkEnd w:id="1"/>
      <w:r>
        <w:rPr>
          <w:lang w:val="he-IL"/>
        </w:rPr>
        <w:pict w14:anchorId="18B3A8DE">
          <v:rect id="_x0000_s2172" style="position:absolute;left:0;text-align:left;margin-left:464.5pt;margin-top:8.05pt;width:75.05pt;height:19.55pt;z-index:251655168" o:allowincell="f" filled="f" stroked="f" strokecolor="lime" strokeweight=".25pt">
            <v:textbox style="mso-next-textbox:#_x0000_s2172" inset="0,0,0,0">
              <w:txbxContent>
                <w:p w14:paraId="34488FC9" w14:textId="77777777" w:rsidR="009145EE" w:rsidRDefault="004D06A5" w:rsidP="002E5536">
                  <w:pPr>
                    <w:spacing w:line="160" w:lineRule="exact"/>
                    <w:jc w:val="left"/>
                    <w:rPr>
                      <w:rFonts w:cs="Miriam" w:hint="cs"/>
                      <w:noProof/>
                      <w:szCs w:val="18"/>
                      <w:rtl/>
                    </w:rPr>
                  </w:pPr>
                  <w:r>
                    <w:rPr>
                      <w:rFonts w:cs="Miriam" w:hint="cs"/>
                      <w:szCs w:val="18"/>
                      <w:rtl/>
                    </w:rPr>
                    <w:t>דיווח על אירוע מיוחד</w:t>
                  </w:r>
                </w:p>
              </w:txbxContent>
            </v:textbox>
            <w10:anchorlock/>
          </v:rect>
        </w:pict>
      </w:r>
      <w:r>
        <w:rPr>
          <w:rStyle w:val="big-number"/>
          <w:rFonts w:cs="Miriam" w:hint="cs"/>
          <w:rtl/>
        </w:rPr>
        <w:t>2</w:t>
      </w:r>
      <w:r w:rsidRPr="00547F55">
        <w:rPr>
          <w:rStyle w:val="default"/>
          <w:rFonts w:cs="FrankRuehl"/>
          <w:rtl/>
        </w:rPr>
        <w:t>.</w:t>
      </w:r>
      <w:r w:rsidRPr="00547F55">
        <w:rPr>
          <w:rStyle w:val="default"/>
          <w:rFonts w:cs="FrankRuehl"/>
          <w:rtl/>
        </w:rPr>
        <w:tab/>
      </w:r>
      <w:r w:rsidR="003651D4">
        <w:rPr>
          <w:rStyle w:val="default"/>
          <w:rFonts w:cs="FrankRuehl" w:hint="cs"/>
          <w:rtl/>
        </w:rPr>
        <w:t>(א)</w:t>
      </w:r>
      <w:r w:rsidR="003651D4">
        <w:rPr>
          <w:rStyle w:val="default"/>
          <w:rFonts w:cs="FrankRuehl" w:hint="cs"/>
          <w:rtl/>
        </w:rPr>
        <w:tab/>
      </w:r>
      <w:r w:rsidR="004D06A5">
        <w:rPr>
          <w:rStyle w:val="default"/>
          <w:rFonts w:cs="FrankRuehl" w:hint="cs"/>
          <w:rtl/>
        </w:rPr>
        <w:t>מפעיל יודיע למנהל במסרון או באמצעי תקשורת מקוון אחר שיורה לו המנהל, על קרות אירוע מיוחד, בסמוך ככל האפשר לאחר שנודע לו על קרות האירוע המיוחד; ההודעה תכלול מידע על האירוע המיוחד, ובכלל זה השירות שנפגע, מספר המנויים שנפגעו ומשך הזמן המוערך לטיפול באירוע כאמור; פרטי ההתקשרות לשם מסירת ההודעה יפורסמו באתר האינטרנט של משרד התקשורת</w:t>
      </w:r>
      <w:r w:rsidR="003651D4">
        <w:rPr>
          <w:rStyle w:val="default"/>
          <w:rFonts w:cs="FrankRuehl" w:hint="cs"/>
          <w:rtl/>
        </w:rPr>
        <w:t>.</w:t>
      </w:r>
    </w:p>
    <w:p w14:paraId="4E7D3569" w14:textId="77777777" w:rsidR="004D06A5" w:rsidRDefault="004D06A5" w:rsidP="009145E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מפעיל ימציא למנהל דוח ראשוני בהתאם למפורט בפרט 1 לתוספת השנייה, ביום העבודה שלמחרת המועד שבו המפעיל המציא את ההודעה.</w:t>
      </w:r>
    </w:p>
    <w:p w14:paraId="3476E931" w14:textId="77777777" w:rsidR="004D06A5" w:rsidRDefault="004D06A5" w:rsidP="009145E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מפעיל ימציא למנהל דוח סופי בהתאם למפורט בפרט 2 לתוספת השנייה לאחר סיום </w:t>
      </w:r>
      <w:r>
        <w:rPr>
          <w:rStyle w:val="default"/>
          <w:rFonts w:cs="FrankRuehl" w:hint="cs"/>
          <w:rtl/>
        </w:rPr>
        <w:lastRenderedPageBreak/>
        <w:t xml:space="preserve">האירוע </w:t>
      </w:r>
      <w:r w:rsidR="00CC49F9">
        <w:rPr>
          <w:rStyle w:val="default"/>
          <w:rFonts w:cs="FrankRuehl" w:hint="cs"/>
          <w:rtl/>
        </w:rPr>
        <w:t>ה</w:t>
      </w:r>
      <w:r>
        <w:rPr>
          <w:rStyle w:val="default"/>
          <w:rFonts w:cs="FrankRuehl" w:hint="cs"/>
          <w:rtl/>
        </w:rPr>
        <w:t>מיוחד ובתוך שלושה ימי עבודה ממועד סיום האירוע המיוחד, ואולם לעניין אירוע מיוחד שמקורו באתר ליבה של מפעיל, ימציא המפעיל דוח כאמור בתוך 14 ימי עבודה ממועד סיום האירוע המיוחד.</w:t>
      </w:r>
    </w:p>
    <w:p w14:paraId="50DCD3CB" w14:textId="77777777" w:rsidR="004D06A5" w:rsidRDefault="004D06A5" w:rsidP="009145EE">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נמשך האירוע המיוחד אחרי המועד שבו המפעיל המציא דוח ראשוני, רשאי המנהל לדרוש מהמפעיל למסור לו כל מידע נוסף לגבי האירוע המיוחד, ובכלל זה לעניין המידע המפורט בפרט 1 לתוספת השנייה, בתדירות שיורה לו עליה.</w:t>
      </w:r>
    </w:p>
    <w:p w14:paraId="42B5E82A" w14:textId="77777777" w:rsidR="002B1569" w:rsidRDefault="002B1569" w:rsidP="00CC5E9A">
      <w:pPr>
        <w:pStyle w:val="P00"/>
        <w:spacing w:before="72"/>
        <w:ind w:left="0" w:right="1134"/>
        <w:rPr>
          <w:rStyle w:val="default"/>
          <w:rFonts w:cs="FrankRuehl"/>
          <w:rtl/>
        </w:rPr>
      </w:pPr>
      <w:bookmarkStart w:id="2" w:name="Seif3"/>
      <w:bookmarkEnd w:id="2"/>
      <w:r>
        <w:rPr>
          <w:lang w:val="he-IL"/>
        </w:rPr>
        <w:pict w14:anchorId="3F62042C">
          <v:rect id="_x0000_s2173" style="position:absolute;left:0;text-align:left;margin-left:464.5pt;margin-top:8.05pt;width:75.05pt;height:13.2pt;z-index:251656192" o:allowincell="f" filled="f" stroked="f" strokecolor="lime" strokeweight=".25pt">
            <v:textbox style="mso-next-textbox:#_x0000_s2173" inset="0,0,0,0">
              <w:txbxContent>
                <w:p w14:paraId="27BB3B67" w14:textId="77777777" w:rsidR="009145EE" w:rsidRDefault="004D06A5" w:rsidP="002B1569">
                  <w:pPr>
                    <w:spacing w:line="160" w:lineRule="exact"/>
                    <w:jc w:val="left"/>
                    <w:rPr>
                      <w:rFonts w:cs="Miriam" w:hint="cs"/>
                      <w:noProof/>
                      <w:szCs w:val="18"/>
                      <w:rtl/>
                    </w:rPr>
                  </w:pPr>
                  <w:r>
                    <w:rPr>
                      <w:rFonts w:cs="Miriam" w:hint="cs"/>
                      <w:szCs w:val="18"/>
                      <w:rtl/>
                    </w:rPr>
                    <w:t>מתכונת הדיווח</w:t>
                  </w:r>
                </w:p>
              </w:txbxContent>
            </v:textbox>
            <w10:anchorlock/>
          </v:rect>
        </w:pict>
      </w:r>
      <w:r w:rsidR="00983E6B">
        <w:rPr>
          <w:rStyle w:val="big-number"/>
          <w:rFonts w:cs="Miriam" w:hint="cs"/>
          <w:rtl/>
        </w:rPr>
        <w:t>3</w:t>
      </w:r>
      <w:r w:rsidRPr="00547F55">
        <w:rPr>
          <w:rStyle w:val="default"/>
          <w:rFonts w:cs="FrankRuehl"/>
          <w:rtl/>
        </w:rPr>
        <w:t>.</w:t>
      </w:r>
      <w:r w:rsidRPr="00547F55">
        <w:rPr>
          <w:rStyle w:val="default"/>
          <w:rFonts w:cs="FrankRuehl"/>
          <w:rtl/>
        </w:rPr>
        <w:tab/>
      </w:r>
      <w:r w:rsidR="004D06A5">
        <w:rPr>
          <w:rStyle w:val="default"/>
          <w:rFonts w:cs="FrankRuehl" w:hint="cs"/>
          <w:rtl/>
        </w:rPr>
        <w:t>המנהל רשאי, אם ראה כי נסיבות העניין מצדיקות זאת, להורות למפעיל מסוים להמציא לו דיווח מן הדיווחים המפורטים בתקנה 2 במתכונת אחרת, כפי שיורה.</w:t>
      </w:r>
    </w:p>
    <w:p w14:paraId="57986FCB" w14:textId="77777777" w:rsidR="002B1569" w:rsidRDefault="002B1569" w:rsidP="008C3477">
      <w:pPr>
        <w:pStyle w:val="P00"/>
        <w:spacing w:before="72"/>
        <w:ind w:left="0" w:right="1134"/>
        <w:rPr>
          <w:rStyle w:val="default"/>
          <w:rFonts w:cs="FrankRuehl"/>
          <w:rtl/>
        </w:rPr>
      </w:pPr>
      <w:bookmarkStart w:id="3" w:name="Seif4"/>
      <w:bookmarkEnd w:id="3"/>
      <w:r>
        <w:rPr>
          <w:lang w:val="he-IL"/>
        </w:rPr>
        <w:pict w14:anchorId="2E46D651">
          <v:rect id="_x0000_s2174" style="position:absolute;left:0;text-align:left;margin-left:464.5pt;margin-top:8.05pt;width:75.05pt;height:11.45pt;z-index:251657216" o:allowincell="f" filled="f" stroked="f" strokecolor="lime" strokeweight=".25pt">
            <v:textbox style="mso-next-textbox:#_x0000_s2174" inset="0,0,0,0">
              <w:txbxContent>
                <w:p w14:paraId="17E357BD" w14:textId="77777777" w:rsidR="00E64455" w:rsidRDefault="004D06A5" w:rsidP="002B1569">
                  <w:pPr>
                    <w:spacing w:line="160" w:lineRule="exact"/>
                    <w:jc w:val="left"/>
                    <w:rPr>
                      <w:rFonts w:cs="Miriam" w:hint="cs"/>
                      <w:noProof/>
                      <w:szCs w:val="18"/>
                      <w:rtl/>
                    </w:rPr>
                  </w:pPr>
                  <w:r>
                    <w:rPr>
                      <w:rFonts w:cs="Miriam" w:hint="cs"/>
                      <w:szCs w:val="18"/>
                      <w:rtl/>
                    </w:rPr>
                    <w:t>פטור</w:t>
                  </w:r>
                </w:p>
              </w:txbxContent>
            </v:textbox>
            <w10:anchorlock/>
          </v:rect>
        </w:pict>
      </w:r>
      <w:r w:rsidR="00983E6B">
        <w:rPr>
          <w:rStyle w:val="big-number"/>
          <w:rFonts w:cs="Miriam" w:hint="cs"/>
          <w:rtl/>
        </w:rPr>
        <w:t>4</w:t>
      </w:r>
      <w:r w:rsidRPr="00547F55">
        <w:rPr>
          <w:rStyle w:val="default"/>
          <w:rFonts w:cs="FrankRuehl"/>
          <w:rtl/>
        </w:rPr>
        <w:t>.</w:t>
      </w:r>
      <w:r w:rsidRPr="00547F55">
        <w:rPr>
          <w:rStyle w:val="default"/>
          <w:rFonts w:cs="FrankRuehl"/>
          <w:rtl/>
        </w:rPr>
        <w:tab/>
      </w:r>
      <w:r w:rsidR="008455F7">
        <w:rPr>
          <w:rStyle w:val="default"/>
          <w:rFonts w:cs="FrankRuehl" w:hint="cs"/>
          <w:rtl/>
        </w:rPr>
        <w:t>המנהל רשאי, אם ראה כי נסיבות הענין מצדיקות זאת ובהחלטה מנומקת בכתב, לפטור מפעיל מסוים מהחובה לדווח דיווח לפי תקנה 2(ב) עד (ד), לעניין אירוע מיוחד מסוים.</w:t>
      </w:r>
    </w:p>
    <w:p w14:paraId="0E05A51A" w14:textId="77777777" w:rsidR="006D17B5" w:rsidRDefault="006D17B5" w:rsidP="006D17B5">
      <w:pPr>
        <w:pStyle w:val="P00"/>
        <w:spacing w:before="72"/>
        <w:ind w:left="0" w:right="1134"/>
        <w:rPr>
          <w:rStyle w:val="default"/>
          <w:rFonts w:cs="FrankRuehl"/>
          <w:rtl/>
        </w:rPr>
      </w:pPr>
      <w:bookmarkStart w:id="4" w:name="Seif5"/>
      <w:bookmarkEnd w:id="4"/>
      <w:r>
        <w:rPr>
          <w:lang w:val="he-IL"/>
        </w:rPr>
        <w:pict w14:anchorId="6E989C18">
          <v:rect id="_x0000_s2175" style="position:absolute;left:0;text-align:left;margin-left:464.5pt;margin-top:8.05pt;width:75.05pt;height:11.45pt;z-index:251658240" o:allowincell="f" filled="f" stroked="f" strokecolor="lime" strokeweight=".25pt">
            <v:textbox style="mso-next-textbox:#_x0000_s2175" inset="0,0,0,0">
              <w:txbxContent>
                <w:p w14:paraId="13B3F514" w14:textId="77777777" w:rsidR="006D17B5" w:rsidRDefault="008455F7" w:rsidP="006D17B5">
                  <w:pPr>
                    <w:spacing w:line="160" w:lineRule="exact"/>
                    <w:jc w:val="left"/>
                    <w:rPr>
                      <w:rFonts w:cs="Miriam" w:hint="cs"/>
                      <w:noProof/>
                      <w:szCs w:val="18"/>
                      <w:rtl/>
                    </w:rPr>
                  </w:pPr>
                  <w:r>
                    <w:rPr>
                      <w:rFonts w:cs="Miriam" w:hint="cs"/>
                      <w:szCs w:val="18"/>
                      <w:rtl/>
                    </w:rPr>
                    <w:t>דחיית מועד דיווח</w:t>
                  </w:r>
                </w:p>
              </w:txbxContent>
            </v:textbox>
            <w10:anchorlock/>
          </v:rect>
        </w:pict>
      </w:r>
      <w:r w:rsidR="008455F7">
        <w:rPr>
          <w:rStyle w:val="big-number"/>
          <w:rFonts w:cs="Miriam" w:hint="cs"/>
          <w:rtl/>
        </w:rPr>
        <w:t>5</w:t>
      </w:r>
      <w:r w:rsidRPr="00547F55">
        <w:rPr>
          <w:rStyle w:val="default"/>
          <w:rFonts w:cs="FrankRuehl"/>
          <w:rtl/>
        </w:rPr>
        <w:t>.</w:t>
      </w:r>
      <w:r w:rsidRPr="00547F55">
        <w:rPr>
          <w:rStyle w:val="default"/>
          <w:rFonts w:cs="FrankRuehl"/>
          <w:rtl/>
        </w:rPr>
        <w:tab/>
      </w:r>
      <w:r w:rsidR="008455F7">
        <w:rPr>
          <w:rStyle w:val="default"/>
          <w:rFonts w:cs="FrankRuehl" w:hint="cs"/>
          <w:rtl/>
        </w:rPr>
        <w:t>המנהל רשאי, אם ראה כי נסיבות העניין מצדיקות זאת, לדחות למפעיל מסוים את מועד הדיווח של דיווח לפי תקנה 2(ב) עד (ד), לעניין אירוע מיוחד מסוים.</w:t>
      </w:r>
    </w:p>
    <w:p w14:paraId="099B8E92" w14:textId="77777777" w:rsidR="006D17B5" w:rsidRDefault="006D17B5" w:rsidP="006D17B5">
      <w:pPr>
        <w:pStyle w:val="P00"/>
        <w:spacing w:before="72"/>
        <w:ind w:left="0" w:right="1134"/>
        <w:rPr>
          <w:rStyle w:val="default"/>
          <w:rFonts w:cs="FrankRuehl"/>
          <w:rtl/>
        </w:rPr>
      </w:pPr>
      <w:bookmarkStart w:id="5" w:name="Seif6"/>
      <w:bookmarkEnd w:id="5"/>
      <w:r>
        <w:rPr>
          <w:lang w:val="he-IL"/>
        </w:rPr>
        <w:pict w14:anchorId="6FA9272C">
          <v:rect id="_x0000_s2176" style="position:absolute;left:0;text-align:left;margin-left:464.5pt;margin-top:8.05pt;width:75.05pt;height:11.45pt;z-index:251659264" o:allowincell="f" filled="f" stroked="f" strokecolor="lime" strokeweight=".25pt">
            <v:textbox style="mso-next-textbox:#_x0000_s2176" inset="0,0,0,0">
              <w:txbxContent>
                <w:p w14:paraId="62449F67" w14:textId="77777777" w:rsidR="006D17B5" w:rsidRDefault="008455F7" w:rsidP="006D17B5">
                  <w:pPr>
                    <w:spacing w:line="160" w:lineRule="exact"/>
                    <w:jc w:val="left"/>
                    <w:rPr>
                      <w:rFonts w:cs="Miriam" w:hint="cs"/>
                      <w:noProof/>
                      <w:szCs w:val="18"/>
                      <w:rtl/>
                    </w:rPr>
                  </w:pPr>
                  <w:r>
                    <w:rPr>
                      <w:rFonts w:cs="Miriam" w:hint="cs"/>
                      <w:szCs w:val="18"/>
                      <w:rtl/>
                    </w:rPr>
                    <w:t>אצילת סמכויות</w:t>
                  </w:r>
                </w:p>
              </w:txbxContent>
            </v:textbox>
            <w10:anchorlock/>
          </v:rect>
        </w:pict>
      </w:r>
      <w:r w:rsidR="008455F7">
        <w:rPr>
          <w:rStyle w:val="big-number"/>
          <w:rFonts w:cs="Miriam" w:hint="cs"/>
          <w:rtl/>
        </w:rPr>
        <w:t>6</w:t>
      </w:r>
      <w:r w:rsidRPr="00547F55">
        <w:rPr>
          <w:rStyle w:val="default"/>
          <w:rFonts w:cs="FrankRuehl"/>
          <w:rtl/>
        </w:rPr>
        <w:t>.</w:t>
      </w:r>
      <w:r w:rsidRPr="00547F55">
        <w:rPr>
          <w:rStyle w:val="default"/>
          <w:rFonts w:cs="FrankRuehl"/>
          <w:rtl/>
        </w:rPr>
        <w:tab/>
      </w:r>
      <w:r w:rsidR="008455F7">
        <w:rPr>
          <w:rStyle w:val="default"/>
          <w:rFonts w:cs="FrankRuehl" w:hint="cs"/>
          <w:rtl/>
        </w:rPr>
        <w:t>המנהל רשאי לאצול לעובד משרד התקשורת בעל מומחיות בתחום פיקוח ואכיפה את הסמכויות הנתונות לו לפי תקנות אלה, כולן או חלקן, למעט הסמכות לפי תקנה 4; הודעה על אצילה כאמור תפורסם ברשומות</w:t>
      </w:r>
      <w:r w:rsidR="005002B8">
        <w:rPr>
          <w:rStyle w:val="a6"/>
          <w:rtl/>
        </w:rPr>
        <w:footnoteReference w:id="2"/>
      </w:r>
      <w:r w:rsidR="008455F7">
        <w:rPr>
          <w:rStyle w:val="default"/>
          <w:rFonts w:cs="FrankRuehl" w:hint="cs"/>
          <w:rtl/>
        </w:rPr>
        <w:t>.</w:t>
      </w:r>
    </w:p>
    <w:p w14:paraId="2FB92C64" w14:textId="77777777" w:rsidR="006D17B5" w:rsidRDefault="006D17B5" w:rsidP="006D17B5">
      <w:pPr>
        <w:pStyle w:val="P00"/>
        <w:spacing w:before="72"/>
        <w:ind w:left="0" w:right="1134"/>
        <w:rPr>
          <w:rStyle w:val="default"/>
          <w:rFonts w:cs="FrankRuehl"/>
          <w:rtl/>
        </w:rPr>
      </w:pPr>
      <w:bookmarkStart w:id="6" w:name="Seif7"/>
      <w:bookmarkEnd w:id="6"/>
      <w:r>
        <w:rPr>
          <w:lang w:val="he-IL"/>
        </w:rPr>
        <w:pict w14:anchorId="4750B6E6">
          <v:rect id="_x0000_s2177" style="position:absolute;left:0;text-align:left;margin-left:464.5pt;margin-top:8.05pt;width:75.05pt;height:11.45pt;z-index:251660288" o:allowincell="f" filled="f" stroked="f" strokecolor="lime" strokeweight=".25pt">
            <v:textbox style="mso-next-textbox:#_x0000_s2177" inset="0,0,0,0">
              <w:txbxContent>
                <w:p w14:paraId="1B9EF8D2" w14:textId="77777777" w:rsidR="006D17B5" w:rsidRDefault="008455F7" w:rsidP="006D17B5">
                  <w:pPr>
                    <w:spacing w:line="160" w:lineRule="exact"/>
                    <w:jc w:val="left"/>
                    <w:rPr>
                      <w:rFonts w:cs="Miriam" w:hint="cs"/>
                      <w:noProof/>
                      <w:szCs w:val="18"/>
                      <w:rtl/>
                    </w:rPr>
                  </w:pPr>
                  <w:r>
                    <w:rPr>
                      <w:rFonts w:cs="Miriam" w:hint="cs"/>
                      <w:szCs w:val="18"/>
                      <w:rtl/>
                    </w:rPr>
                    <w:t>ביטול</w:t>
                  </w:r>
                </w:p>
              </w:txbxContent>
            </v:textbox>
            <w10:anchorlock/>
          </v:rect>
        </w:pict>
      </w:r>
      <w:r w:rsidR="008455F7">
        <w:rPr>
          <w:rStyle w:val="big-number"/>
          <w:rFonts w:cs="Miriam" w:hint="cs"/>
          <w:rtl/>
        </w:rPr>
        <w:t>7</w:t>
      </w:r>
      <w:r w:rsidRPr="00547F55">
        <w:rPr>
          <w:rStyle w:val="default"/>
          <w:rFonts w:cs="FrankRuehl"/>
          <w:rtl/>
        </w:rPr>
        <w:t>.</w:t>
      </w:r>
      <w:r w:rsidRPr="00547F55">
        <w:rPr>
          <w:rStyle w:val="default"/>
          <w:rFonts w:cs="FrankRuehl"/>
          <w:rtl/>
        </w:rPr>
        <w:tab/>
      </w:r>
      <w:r w:rsidR="008455F7">
        <w:rPr>
          <w:rStyle w:val="default"/>
          <w:rFonts w:cs="FrankRuehl" w:hint="cs"/>
          <w:rtl/>
        </w:rPr>
        <w:t xml:space="preserve">תקנות הבזק (הפיקוח על פעולותיו של בעל רישיון), התשמ"ו-1986 </w:t>
      </w:r>
      <w:r w:rsidR="008455F7">
        <w:rPr>
          <w:rStyle w:val="default"/>
          <w:rFonts w:cs="FrankRuehl"/>
          <w:rtl/>
        </w:rPr>
        <w:t>–</w:t>
      </w:r>
      <w:r w:rsidR="008455F7">
        <w:rPr>
          <w:rStyle w:val="default"/>
          <w:rFonts w:cs="FrankRuehl" w:hint="cs"/>
          <w:rtl/>
        </w:rPr>
        <w:t xml:space="preserve"> בטלות.</w:t>
      </w:r>
    </w:p>
    <w:p w14:paraId="6DE8B864" w14:textId="77777777" w:rsidR="006D17B5" w:rsidRDefault="006D17B5" w:rsidP="006D17B5">
      <w:pPr>
        <w:pStyle w:val="P00"/>
        <w:spacing w:before="72"/>
        <w:ind w:left="0" w:right="1134"/>
        <w:rPr>
          <w:rStyle w:val="default"/>
          <w:rFonts w:cs="FrankRuehl"/>
          <w:rtl/>
        </w:rPr>
      </w:pPr>
      <w:bookmarkStart w:id="7" w:name="Seif8"/>
      <w:bookmarkEnd w:id="7"/>
      <w:r>
        <w:rPr>
          <w:lang w:val="he-IL"/>
        </w:rPr>
        <w:pict w14:anchorId="7E856F64">
          <v:rect id="_x0000_s2178" style="position:absolute;left:0;text-align:left;margin-left:464.5pt;margin-top:8.05pt;width:75.05pt;height:11.45pt;z-index:251661312" o:allowincell="f" filled="f" stroked="f" strokecolor="lime" strokeweight=".25pt">
            <v:textbox style="mso-next-textbox:#_x0000_s2178" inset="0,0,0,0">
              <w:txbxContent>
                <w:p w14:paraId="1F9CEF90" w14:textId="77777777" w:rsidR="006D17B5" w:rsidRDefault="003235A0" w:rsidP="006D17B5">
                  <w:pPr>
                    <w:spacing w:line="160" w:lineRule="exact"/>
                    <w:jc w:val="left"/>
                    <w:rPr>
                      <w:rFonts w:cs="Miriam" w:hint="cs"/>
                      <w:noProof/>
                      <w:szCs w:val="18"/>
                      <w:rtl/>
                    </w:rPr>
                  </w:pPr>
                  <w:r>
                    <w:rPr>
                      <w:rFonts w:cs="Miriam" w:hint="cs"/>
                      <w:szCs w:val="18"/>
                      <w:rtl/>
                    </w:rPr>
                    <w:t>תחילה ותחולה</w:t>
                  </w:r>
                </w:p>
              </w:txbxContent>
            </v:textbox>
            <w10:anchorlock/>
          </v:rect>
        </w:pict>
      </w:r>
      <w:r w:rsidR="008455F7">
        <w:rPr>
          <w:rStyle w:val="big-number"/>
          <w:rFonts w:cs="Miriam" w:hint="cs"/>
          <w:rtl/>
        </w:rPr>
        <w:t>8</w:t>
      </w:r>
      <w:r w:rsidRPr="00547F55">
        <w:rPr>
          <w:rStyle w:val="default"/>
          <w:rFonts w:cs="FrankRuehl"/>
          <w:rtl/>
        </w:rPr>
        <w:t>.</w:t>
      </w:r>
      <w:r w:rsidRPr="00547F55">
        <w:rPr>
          <w:rStyle w:val="default"/>
          <w:rFonts w:cs="FrankRuehl"/>
          <w:rtl/>
        </w:rPr>
        <w:tab/>
      </w:r>
      <w:r w:rsidR="003235A0">
        <w:rPr>
          <w:rStyle w:val="default"/>
          <w:rFonts w:cs="FrankRuehl" w:hint="cs"/>
          <w:rtl/>
        </w:rPr>
        <w:t xml:space="preserve">תחילתן של תקנות אלה 30 ימים מיום פרסומן (להלן </w:t>
      </w:r>
      <w:r w:rsidR="003235A0">
        <w:rPr>
          <w:rStyle w:val="default"/>
          <w:rFonts w:cs="FrankRuehl"/>
          <w:rtl/>
        </w:rPr>
        <w:t>–</w:t>
      </w:r>
      <w:r w:rsidR="003235A0">
        <w:rPr>
          <w:rStyle w:val="default"/>
          <w:rFonts w:cs="FrankRuehl" w:hint="cs"/>
          <w:rtl/>
        </w:rPr>
        <w:t xml:space="preserve"> יום התחילה), והן יחולו על אירועים מיוחדים שיתקיימו אחרי יום התחילה.</w:t>
      </w:r>
    </w:p>
    <w:p w14:paraId="13F6B9C9" w14:textId="77777777" w:rsidR="00690184" w:rsidRDefault="00690184">
      <w:pPr>
        <w:pStyle w:val="P00"/>
        <w:spacing w:before="72"/>
        <w:ind w:left="0" w:right="1134"/>
        <w:rPr>
          <w:rStyle w:val="default"/>
          <w:rFonts w:cs="FrankRuehl" w:hint="cs"/>
          <w:rtl/>
        </w:rPr>
      </w:pPr>
    </w:p>
    <w:p w14:paraId="7B420565" w14:textId="77777777" w:rsidR="006D17B5" w:rsidRPr="003235A0" w:rsidRDefault="003235A0" w:rsidP="003235A0">
      <w:pPr>
        <w:pStyle w:val="medium2-header"/>
        <w:keepLines w:val="0"/>
        <w:spacing w:before="72"/>
        <w:ind w:left="0" w:right="1134"/>
        <w:rPr>
          <w:noProof/>
          <w:rtl/>
        </w:rPr>
      </w:pPr>
      <w:bookmarkStart w:id="8" w:name="med0"/>
      <w:bookmarkEnd w:id="8"/>
      <w:r w:rsidRPr="003235A0">
        <w:rPr>
          <w:rFonts w:hint="cs"/>
          <w:noProof/>
          <w:rtl/>
        </w:rPr>
        <w:t>תוספת ראשונה</w:t>
      </w:r>
    </w:p>
    <w:p w14:paraId="2ED5E86E" w14:textId="77777777" w:rsidR="003235A0" w:rsidRPr="003235A0" w:rsidRDefault="003235A0" w:rsidP="003235A0">
      <w:pPr>
        <w:pStyle w:val="P00"/>
        <w:spacing w:before="72"/>
        <w:ind w:left="0" w:right="1134"/>
        <w:jc w:val="center"/>
        <w:rPr>
          <w:rStyle w:val="default"/>
          <w:rFonts w:cs="FrankRuehl"/>
          <w:sz w:val="18"/>
          <w:szCs w:val="24"/>
          <w:rtl/>
        </w:rPr>
      </w:pPr>
      <w:r w:rsidRPr="003235A0">
        <w:rPr>
          <w:rStyle w:val="default"/>
          <w:rFonts w:cs="FrankRuehl" w:hint="cs"/>
          <w:sz w:val="18"/>
          <w:szCs w:val="24"/>
          <w:rtl/>
        </w:rPr>
        <w:t>(תקנה 1)</w:t>
      </w:r>
    </w:p>
    <w:p w14:paraId="5F429DCC" w14:textId="77777777" w:rsidR="006D17B5" w:rsidRDefault="003235A0">
      <w:pPr>
        <w:pStyle w:val="P00"/>
        <w:spacing w:before="72"/>
        <w:ind w:left="0" w:right="1134"/>
        <w:rPr>
          <w:rStyle w:val="default"/>
          <w:rFonts w:cs="FrankRuehl"/>
          <w:rtl/>
        </w:rPr>
      </w:pPr>
      <w:r>
        <w:rPr>
          <w:rStyle w:val="default"/>
          <w:rFonts w:cs="FrankRuehl" w:hint="cs"/>
          <w:rtl/>
        </w:rPr>
        <w:t xml:space="preserve">בתוספת זו </w:t>
      </w:r>
      <w:r>
        <w:rPr>
          <w:rStyle w:val="default"/>
          <w:rFonts w:cs="FrankRuehl"/>
          <w:rtl/>
        </w:rPr>
        <w:t>–</w:t>
      </w:r>
    </w:p>
    <w:p w14:paraId="19AC9326" w14:textId="77777777" w:rsidR="003235A0" w:rsidRDefault="003235A0">
      <w:pPr>
        <w:pStyle w:val="P00"/>
        <w:spacing w:before="72"/>
        <w:ind w:left="0" w:right="1134"/>
        <w:rPr>
          <w:rStyle w:val="default"/>
          <w:rFonts w:cs="FrankRuehl"/>
          <w:rtl/>
        </w:rPr>
      </w:pPr>
      <w:r>
        <w:rPr>
          <w:rStyle w:val="default"/>
          <w:rFonts w:cs="FrankRuehl" w:hint="cs"/>
          <w:rtl/>
        </w:rPr>
        <w:t xml:space="preserve">"אתר קצה" </w:t>
      </w:r>
      <w:r>
        <w:rPr>
          <w:rStyle w:val="default"/>
          <w:rFonts w:cs="FrankRuehl"/>
          <w:rtl/>
        </w:rPr>
        <w:t>–</w:t>
      </w:r>
      <w:r>
        <w:rPr>
          <w:rStyle w:val="default"/>
          <w:rFonts w:cs="FrankRuehl" w:hint="cs"/>
          <w:rtl/>
        </w:rPr>
        <w:t xml:space="preserve"> אתר רדיו תאי המשמש לצורכי קליטה ושידור או לשיפור קיבולת ברשת הגישה של מפעיל רט"ן, שמידותיו עולות על 12</w:t>
      </w:r>
      <w:r>
        <w:rPr>
          <w:rStyle w:val="default"/>
          <w:rFonts w:cs="FrankRuehl"/>
        </w:rPr>
        <w:t>x</w:t>
      </w:r>
      <w:r>
        <w:rPr>
          <w:rStyle w:val="default"/>
          <w:rFonts w:cs="FrankRuehl" w:hint="cs"/>
          <w:rtl/>
        </w:rPr>
        <w:t>20</w:t>
      </w:r>
      <w:r>
        <w:rPr>
          <w:rStyle w:val="default"/>
          <w:rFonts w:cs="FrankRuehl"/>
        </w:rPr>
        <w:t>x</w:t>
      </w:r>
      <w:r>
        <w:rPr>
          <w:rStyle w:val="default"/>
          <w:rFonts w:cs="FrankRuehl" w:hint="cs"/>
          <w:rtl/>
        </w:rPr>
        <w:t>20 סנטימטרים;</w:t>
      </w:r>
    </w:p>
    <w:p w14:paraId="0C95CBD6" w14:textId="77777777" w:rsidR="003235A0" w:rsidRDefault="003235A0">
      <w:pPr>
        <w:pStyle w:val="P00"/>
        <w:spacing w:before="72"/>
        <w:ind w:left="0" w:right="1134"/>
        <w:rPr>
          <w:rStyle w:val="default"/>
          <w:rFonts w:cs="FrankRuehl"/>
          <w:rtl/>
        </w:rPr>
      </w:pPr>
      <w:r>
        <w:rPr>
          <w:rStyle w:val="default"/>
          <w:rFonts w:cs="FrankRuehl" w:hint="cs"/>
          <w:rtl/>
        </w:rPr>
        <w:t xml:space="preserve">"השבתה" </w:t>
      </w:r>
      <w:r>
        <w:rPr>
          <w:rStyle w:val="default"/>
          <w:rFonts w:cs="FrankRuehl"/>
          <w:rtl/>
        </w:rPr>
        <w:t>–</w:t>
      </w:r>
      <w:r>
        <w:rPr>
          <w:rStyle w:val="default"/>
          <w:rFonts w:cs="FrankRuehl" w:hint="cs"/>
          <w:rtl/>
        </w:rPr>
        <w:t xml:space="preserve"> חוסר פעילות בשל תקלה או לשם תחזוקה;</w:t>
      </w:r>
    </w:p>
    <w:p w14:paraId="69B9789A" w14:textId="77777777" w:rsidR="003235A0" w:rsidRDefault="003235A0">
      <w:pPr>
        <w:pStyle w:val="P00"/>
        <w:spacing w:before="72"/>
        <w:ind w:left="0" w:right="1134"/>
        <w:rPr>
          <w:rStyle w:val="default"/>
          <w:rFonts w:cs="FrankRuehl"/>
          <w:rtl/>
        </w:rPr>
      </w:pPr>
      <w:r>
        <w:rPr>
          <w:rStyle w:val="default"/>
          <w:rFonts w:cs="FrankRuehl" w:hint="cs"/>
          <w:rtl/>
        </w:rPr>
        <w:t xml:space="preserve">"מוקד חירום ציבורי" </w:t>
      </w:r>
      <w:r>
        <w:rPr>
          <w:rStyle w:val="default"/>
          <w:rFonts w:cs="FrankRuehl"/>
          <w:rtl/>
        </w:rPr>
        <w:t>–</w:t>
      </w:r>
      <w:r>
        <w:rPr>
          <w:rStyle w:val="default"/>
          <w:rFonts w:cs="FrankRuehl" w:hint="cs"/>
          <w:rtl/>
        </w:rPr>
        <w:t xml:space="preserve"> כל אחד מאלה:</w:t>
      </w:r>
    </w:p>
    <w:p w14:paraId="0B549E11" w14:textId="77777777" w:rsidR="003235A0" w:rsidRDefault="003235A0" w:rsidP="003235A0">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מוקד החירום של משטרת ישראל;</w:t>
      </w:r>
    </w:p>
    <w:p w14:paraId="484097CA" w14:textId="77777777" w:rsidR="003235A0" w:rsidRDefault="003235A0" w:rsidP="003235A0">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מוקד החירום של הרשות הארצית לכבאות והצלה שהוקמה בחוק הרשות הארצית לכבאות והצלה, התשע"ב-2012;</w:t>
      </w:r>
    </w:p>
    <w:p w14:paraId="710C0143" w14:textId="77777777" w:rsidR="003235A0" w:rsidRDefault="003235A0" w:rsidP="003235A0">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מוקד החירום של אגודת מגן דוד אדום שהוקמה בחוק מגן דוד אדום, התש"י-1950;</w:t>
      </w:r>
    </w:p>
    <w:p w14:paraId="74996238" w14:textId="77777777" w:rsidR="003235A0" w:rsidRDefault="003235A0" w:rsidP="003235A0">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מוקד החירום של שירות ההתגוננות האזרחית שהוקם בחוק ההתגוננות האזרחית, התשי"א-1951.</w:t>
      </w:r>
    </w:p>
    <w:p w14:paraId="3B59FA5A" w14:textId="77777777" w:rsidR="003235A0" w:rsidRDefault="003235A0">
      <w:pPr>
        <w:pStyle w:val="P00"/>
        <w:spacing w:before="72"/>
        <w:ind w:left="0" w:right="1134"/>
        <w:rPr>
          <w:rStyle w:val="default"/>
          <w:rFonts w:cs="FrankRuehl"/>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6228"/>
      </w:tblGrid>
      <w:tr w:rsidR="00076535" w:rsidRPr="007332D3" w14:paraId="2605A139" w14:textId="77777777" w:rsidTr="007332D3">
        <w:tc>
          <w:tcPr>
            <w:tcW w:w="0" w:type="auto"/>
            <w:shd w:val="clear" w:color="auto" w:fill="auto"/>
            <w:vAlign w:val="bottom"/>
          </w:tcPr>
          <w:p w14:paraId="05E619DA" w14:textId="77777777" w:rsidR="003235A0" w:rsidRPr="007332D3" w:rsidRDefault="003235A0" w:rsidP="007332D3">
            <w:pPr>
              <w:pStyle w:val="P00"/>
              <w:spacing w:before="0"/>
              <w:ind w:left="0"/>
              <w:jc w:val="center"/>
              <w:rPr>
                <w:rStyle w:val="default"/>
                <w:rFonts w:cs="FrankRuehl"/>
                <w:sz w:val="18"/>
                <w:szCs w:val="22"/>
                <w:rtl/>
              </w:rPr>
            </w:pPr>
            <w:r w:rsidRPr="007332D3">
              <w:rPr>
                <w:rStyle w:val="default"/>
                <w:rFonts w:cs="FrankRuehl" w:hint="cs"/>
                <w:sz w:val="18"/>
                <w:szCs w:val="22"/>
                <w:rtl/>
              </w:rPr>
              <w:t>טור א'</w:t>
            </w:r>
          </w:p>
          <w:p w14:paraId="677A7ACA" w14:textId="77777777" w:rsidR="003235A0" w:rsidRPr="007332D3" w:rsidRDefault="003235A0" w:rsidP="007332D3">
            <w:pPr>
              <w:pStyle w:val="P00"/>
              <w:spacing w:before="0"/>
              <w:ind w:left="0"/>
              <w:jc w:val="center"/>
              <w:rPr>
                <w:rStyle w:val="default"/>
                <w:rFonts w:cs="FrankRuehl" w:hint="cs"/>
                <w:sz w:val="18"/>
                <w:szCs w:val="22"/>
                <w:rtl/>
              </w:rPr>
            </w:pPr>
            <w:r w:rsidRPr="007332D3">
              <w:rPr>
                <w:rStyle w:val="default"/>
                <w:rFonts w:cs="FrankRuehl" w:hint="cs"/>
                <w:sz w:val="18"/>
                <w:szCs w:val="22"/>
                <w:rtl/>
              </w:rPr>
              <w:t>המפעיל</w:t>
            </w:r>
          </w:p>
        </w:tc>
        <w:tc>
          <w:tcPr>
            <w:tcW w:w="0" w:type="auto"/>
            <w:shd w:val="clear" w:color="auto" w:fill="auto"/>
            <w:vAlign w:val="bottom"/>
          </w:tcPr>
          <w:p w14:paraId="60C572DE" w14:textId="77777777" w:rsidR="003235A0" w:rsidRPr="007332D3" w:rsidRDefault="003235A0" w:rsidP="007332D3">
            <w:pPr>
              <w:pStyle w:val="P00"/>
              <w:spacing w:before="0"/>
              <w:ind w:left="0"/>
              <w:jc w:val="center"/>
              <w:rPr>
                <w:rStyle w:val="default"/>
                <w:rFonts w:cs="FrankRuehl"/>
                <w:sz w:val="18"/>
                <w:szCs w:val="22"/>
                <w:rtl/>
              </w:rPr>
            </w:pPr>
            <w:r w:rsidRPr="007332D3">
              <w:rPr>
                <w:rStyle w:val="default"/>
                <w:rFonts w:cs="FrankRuehl" w:hint="cs"/>
                <w:sz w:val="18"/>
                <w:szCs w:val="22"/>
                <w:rtl/>
              </w:rPr>
              <w:t>טור ב'</w:t>
            </w:r>
          </w:p>
          <w:p w14:paraId="11D4A689" w14:textId="77777777" w:rsidR="003235A0" w:rsidRPr="007332D3" w:rsidRDefault="003235A0" w:rsidP="007332D3">
            <w:pPr>
              <w:pStyle w:val="P00"/>
              <w:spacing w:before="0"/>
              <w:ind w:left="0"/>
              <w:jc w:val="center"/>
              <w:rPr>
                <w:rStyle w:val="default"/>
                <w:rFonts w:cs="FrankRuehl" w:hint="cs"/>
                <w:sz w:val="18"/>
                <w:szCs w:val="22"/>
                <w:rtl/>
              </w:rPr>
            </w:pPr>
            <w:r w:rsidRPr="007332D3">
              <w:rPr>
                <w:rStyle w:val="default"/>
                <w:rFonts w:cs="FrankRuehl" w:hint="cs"/>
                <w:sz w:val="18"/>
                <w:szCs w:val="22"/>
                <w:rtl/>
              </w:rPr>
              <w:t>האירוע המיוחד</w:t>
            </w:r>
          </w:p>
        </w:tc>
      </w:tr>
      <w:tr w:rsidR="00076535" w:rsidRPr="007332D3" w14:paraId="19D362B8" w14:textId="77777777" w:rsidTr="007332D3">
        <w:tc>
          <w:tcPr>
            <w:tcW w:w="0" w:type="auto"/>
            <w:vMerge w:val="restart"/>
            <w:shd w:val="clear" w:color="auto" w:fill="auto"/>
          </w:tcPr>
          <w:p w14:paraId="4106DE2D" w14:textId="77777777" w:rsidR="003235A0" w:rsidRPr="007332D3" w:rsidRDefault="003235A0" w:rsidP="007332D3">
            <w:pPr>
              <w:pStyle w:val="P00"/>
              <w:spacing w:before="0"/>
              <w:ind w:left="0"/>
              <w:jc w:val="left"/>
              <w:rPr>
                <w:rStyle w:val="default"/>
                <w:rFonts w:cs="FrankRuehl" w:hint="cs"/>
                <w:szCs w:val="24"/>
                <w:rtl/>
              </w:rPr>
            </w:pPr>
            <w:r w:rsidRPr="007332D3">
              <w:rPr>
                <w:rStyle w:val="default"/>
                <w:rFonts w:cs="FrankRuehl" w:hint="cs"/>
                <w:szCs w:val="24"/>
                <w:rtl/>
              </w:rPr>
              <w:t>1. מב"ל</w:t>
            </w:r>
          </w:p>
        </w:tc>
        <w:tc>
          <w:tcPr>
            <w:tcW w:w="0" w:type="auto"/>
            <w:shd w:val="clear" w:color="auto" w:fill="auto"/>
          </w:tcPr>
          <w:p w14:paraId="3F862F5A" w14:textId="77777777" w:rsidR="003235A0" w:rsidRPr="007332D3" w:rsidRDefault="003235A0" w:rsidP="007332D3">
            <w:pPr>
              <w:pStyle w:val="P00"/>
              <w:spacing w:before="0"/>
              <w:ind w:left="0"/>
              <w:jc w:val="left"/>
              <w:rPr>
                <w:rStyle w:val="default"/>
                <w:rFonts w:cs="FrankRuehl" w:hint="cs"/>
                <w:szCs w:val="24"/>
                <w:rtl/>
              </w:rPr>
            </w:pPr>
            <w:r w:rsidRPr="007332D3">
              <w:rPr>
                <w:rStyle w:val="default"/>
                <w:rFonts w:cs="FrankRuehl" w:hint="cs"/>
                <w:szCs w:val="24"/>
                <w:rtl/>
              </w:rPr>
              <w:t>1. השבתת שירות שיחות (דיבור) בין-לאומי לכלל מנויי המב"ל או לכלל המנויים של מפעיל אחד או יותר, למשך שעה או יותר</w:t>
            </w:r>
          </w:p>
        </w:tc>
      </w:tr>
      <w:tr w:rsidR="00076535" w:rsidRPr="007332D3" w14:paraId="3D8BD0D3" w14:textId="77777777" w:rsidTr="007332D3">
        <w:tc>
          <w:tcPr>
            <w:tcW w:w="0" w:type="auto"/>
            <w:vMerge/>
            <w:shd w:val="clear" w:color="auto" w:fill="auto"/>
          </w:tcPr>
          <w:p w14:paraId="5D7EEA35" w14:textId="77777777" w:rsidR="003235A0" w:rsidRPr="007332D3" w:rsidRDefault="003235A0" w:rsidP="007332D3">
            <w:pPr>
              <w:pStyle w:val="P00"/>
              <w:spacing w:before="0"/>
              <w:ind w:left="0"/>
              <w:jc w:val="left"/>
              <w:rPr>
                <w:rStyle w:val="default"/>
                <w:rFonts w:cs="FrankRuehl" w:hint="cs"/>
                <w:szCs w:val="24"/>
                <w:rtl/>
              </w:rPr>
            </w:pPr>
          </w:p>
        </w:tc>
        <w:tc>
          <w:tcPr>
            <w:tcW w:w="0" w:type="auto"/>
            <w:shd w:val="clear" w:color="auto" w:fill="auto"/>
          </w:tcPr>
          <w:p w14:paraId="68EBEA63" w14:textId="77777777" w:rsidR="003235A0" w:rsidRPr="007332D3" w:rsidRDefault="003235A0" w:rsidP="007332D3">
            <w:pPr>
              <w:pStyle w:val="P00"/>
              <w:spacing w:before="0"/>
              <w:ind w:left="0"/>
              <w:jc w:val="left"/>
              <w:rPr>
                <w:rStyle w:val="default"/>
                <w:rFonts w:cs="FrankRuehl" w:hint="cs"/>
                <w:szCs w:val="24"/>
                <w:rtl/>
              </w:rPr>
            </w:pPr>
            <w:r w:rsidRPr="007332D3">
              <w:rPr>
                <w:rStyle w:val="default"/>
                <w:rFonts w:cs="FrankRuehl" w:hint="cs"/>
                <w:szCs w:val="24"/>
                <w:rtl/>
              </w:rPr>
              <w:t>2. שיעור השיחות שנכשלו מתוך כלל השיחות (</w:t>
            </w:r>
            <w:r w:rsidRPr="007332D3">
              <w:rPr>
                <w:rStyle w:val="default"/>
                <w:rFonts w:cs="FrankRuehl"/>
                <w:szCs w:val="24"/>
              </w:rPr>
              <w:t>GOS</w:t>
            </w:r>
            <w:r w:rsidRPr="007332D3">
              <w:rPr>
                <w:rStyle w:val="default"/>
                <w:rFonts w:cs="FrankRuehl" w:hint="cs"/>
                <w:szCs w:val="24"/>
                <w:rtl/>
              </w:rPr>
              <w:t>) בשעה הוא עשרה אחוזים או יותר, למשך שעה או יותר</w:t>
            </w:r>
          </w:p>
        </w:tc>
      </w:tr>
      <w:tr w:rsidR="00076535" w:rsidRPr="007332D3" w14:paraId="37045892" w14:textId="77777777" w:rsidTr="007332D3">
        <w:tc>
          <w:tcPr>
            <w:tcW w:w="0" w:type="auto"/>
            <w:vMerge w:val="restart"/>
            <w:shd w:val="clear" w:color="auto" w:fill="auto"/>
          </w:tcPr>
          <w:p w14:paraId="37D707F8" w14:textId="77777777" w:rsidR="003235A0" w:rsidRPr="007332D3" w:rsidRDefault="003235A0" w:rsidP="007332D3">
            <w:pPr>
              <w:pStyle w:val="P00"/>
              <w:spacing w:before="0"/>
              <w:ind w:left="0"/>
              <w:jc w:val="left"/>
              <w:rPr>
                <w:rStyle w:val="default"/>
                <w:rFonts w:cs="FrankRuehl" w:hint="cs"/>
                <w:szCs w:val="24"/>
                <w:rtl/>
              </w:rPr>
            </w:pPr>
            <w:r w:rsidRPr="007332D3">
              <w:rPr>
                <w:rStyle w:val="default"/>
                <w:rFonts w:cs="FrankRuehl" w:hint="cs"/>
                <w:szCs w:val="24"/>
                <w:rtl/>
              </w:rPr>
              <w:t>2. מפ"א</w:t>
            </w:r>
          </w:p>
        </w:tc>
        <w:tc>
          <w:tcPr>
            <w:tcW w:w="0" w:type="auto"/>
            <w:shd w:val="clear" w:color="auto" w:fill="auto"/>
          </w:tcPr>
          <w:p w14:paraId="4F597C5A" w14:textId="77777777" w:rsidR="003235A0" w:rsidRPr="007332D3" w:rsidRDefault="003235A0" w:rsidP="007332D3">
            <w:pPr>
              <w:pStyle w:val="P00"/>
              <w:spacing w:before="0"/>
              <w:ind w:left="0"/>
              <w:jc w:val="left"/>
              <w:rPr>
                <w:rStyle w:val="default"/>
                <w:rFonts w:cs="FrankRuehl" w:hint="cs"/>
                <w:szCs w:val="24"/>
                <w:rtl/>
              </w:rPr>
            </w:pPr>
            <w:r w:rsidRPr="007332D3">
              <w:rPr>
                <w:rStyle w:val="default"/>
                <w:rFonts w:cs="FrankRuehl" w:hint="cs"/>
                <w:szCs w:val="24"/>
                <w:rtl/>
              </w:rPr>
              <w:t>1. השבתת שירות שיחות (דיבור) או שירות העברת נתונים, ל-10,000 או יותר ממנויי המפעיל, או לעשרה אחוזים או יותר ממנויי המפעיל בשעה, הנמוך מביניהם, למשך שעה או יותר</w:t>
            </w:r>
          </w:p>
        </w:tc>
      </w:tr>
      <w:tr w:rsidR="00076535" w:rsidRPr="007332D3" w14:paraId="4283854F" w14:textId="77777777" w:rsidTr="007332D3">
        <w:tc>
          <w:tcPr>
            <w:tcW w:w="0" w:type="auto"/>
            <w:vMerge/>
            <w:shd w:val="clear" w:color="auto" w:fill="auto"/>
          </w:tcPr>
          <w:p w14:paraId="3CC6A4A4" w14:textId="77777777" w:rsidR="003235A0" w:rsidRPr="007332D3" w:rsidRDefault="003235A0" w:rsidP="007332D3">
            <w:pPr>
              <w:pStyle w:val="P00"/>
              <w:spacing w:before="0"/>
              <w:ind w:left="0"/>
              <w:jc w:val="left"/>
              <w:rPr>
                <w:rStyle w:val="default"/>
                <w:rFonts w:cs="FrankRuehl" w:hint="cs"/>
                <w:szCs w:val="24"/>
                <w:rtl/>
              </w:rPr>
            </w:pPr>
          </w:p>
        </w:tc>
        <w:tc>
          <w:tcPr>
            <w:tcW w:w="0" w:type="auto"/>
            <w:shd w:val="clear" w:color="auto" w:fill="auto"/>
          </w:tcPr>
          <w:p w14:paraId="2BA70BFC" w14:textId="77777777" w:rsidR="003235A0" w:rsidRPr="007332D3" w:rsidRDefault="003235A0" w:rsidP="007332D3">
            <w:pPr>
              <w:pStyle w:val="P00"/>
              <w:spacing w:before="0"/>
              <w:ind w:left="0"/>
              <w:jc w:val="left"/>
              <w:rPr>
                <w:rStyle w:val="default"/>
                <w:rFonts w:cs="FrankRuehl" w:hint="cs"/>
                <w:szCs w:val="24"/>
                <w:rtl/>
              </w:rPr>
            </w:pPr>
            <w:r w:rsidRPr="007332D3">
              <w:rPr>
                <w:rStyle w:val="default"/>
                <w:rFonts w:cs="FrankRuehl" w:hint="cs"/>
                <w:szCs w:val="24"/>
                <w:rtl/>
              </w:rPr>
              <w:t>2. שיעור השיחות שנכשלו מתוך כלל השיחות (</w:t>
            </w:r>
            <w:r w:rsidRPr="007332D3">
              <w:rPr>
                <w:rStyle w:val="default"/>
                <w:rFonts w:cs="FrankRuehl"/>
                <w:szCs w:val="24"/>
              </w:rPr>
              <w:t>GOS</w:t>
            </w:r>
            <w:r w:rsidRPr="007332D3">
              <w:rPr>
                <w:rStyle w:val="default"/>
                <w:rFonts w:cs="FrankRuehl" w:hint="cs"/>
                <w:szCs w:val="24"/>
                <w:rtl/>
              </w:rPr>
              <w:t>) בשעה הוא עשרה אחוזים או יותר, למשך שעה או יותר</w:t>
            </w:r>
          </w:p>
        </w:tc>
      </w:tr>
      <w:tr w:rsidR="00076535" w:rsidRPr="007332D3" w14:paraId="06B52316" w14:textId="77777777" w:rsidTr="007332D3">
        <w:tc>
          <w:tcPr>
            <w:tcW w:w="0" w:type="auto"/>
            <w:vMerge/>
            <w:shd w:val="clear" w:color="auto" w:fill="auto"/>
          </w:tcPr>
          <w:p w14:paraId="4A9DFB78" w14:textId="77777777" w:rsidR="003235A0" w:rsidRPr="007332D3" w:rsidRDefault="003235A0" w:rsidP="007332D3">
            <w:pPr>
              <w:pStyle w:val="P00"/>
              <w:spacing w:before="0"/>
              <w:ind w:left="0"/>
              <w:jc w:val="left"/>
              <w:rPr>
                <w:rStyle w:val="default"/>
                <w:rFonts w:cs="FrankRuehl" w:hint="cs"/>
                <w:szCs w:val="24"/>
                <w:rtl/>
              </w:rPr>
            </w:pPr>
          </w:p>
        </w:tc>
        <w:tc>
          <w:tcPr>
            <w:tcW w:w="0" w:type="auto"/>
            <w:shd w:val="clear" w:color="auto" w:fill="auto"/>
          </w:tcPr>
          <w:p w14:paraId="29C50748" w14:textId="77777777" w:rsidR="003235A0" w:rsidRPr="007332D3" w:rsidRDefault="003235A0" w:rsidP="007332D3">
            <w:pPr>
              <w:pStyle w:val="P00"/>
              <w:spacing w:before="0"/>
              <w:ind w:left="0"/>
              <w:jc w:val="left"/>
              <w:rPr>
                <w:rStyle w:val="default"/>
                <w:rFonts w:cs="FrankRuehl" w:hint="cs"/>
                <w:szCs w:val="24"/>
                <w:rtl/>
              </w:rPr>
            </w:pPr>
            <w:r w:rsidRPr="007332D3">
              <w:rPr>
                <w:rStyle w:val="default"/>
                <w:rFonts w:cs="FrankRuehl" w:hint="cs"/>
                <w:szCs w:val="24"/>
                <w:rtl/>
              </w:rPr>
              <w:t>3. שיעור זמינות שירות העברת הנתונים בשעה הוא פחות מתשעים אחוזים, למשך שעה או יותר</w:t>
            </w:r>
          </w:p>
        </w:tc>
      </w:tr>
      <w:tr w:rsidR="00076535" w:rsidRPr="007332D3" w14:paraId="28358E7E" w14:textId="77777777" w:rsidTr="007332D3">
        <w:tc>
          <w:tcPr>
            <w:tcW w:w="0" w:type="auto"/>
            <w:vMerge/>
            <w:shd w:val="clear" w:color="auto" w:fill="auto"/>
          </w:tcPr>
          <w:p w14:paraId="6E0FB2DE" w14:textId="77777777" w:rsidR="003235A0" w:rsidRPr="007332D3" w:rsidRDefault="003235A0" w:rsidP="007332D3">
            <w:pPr>
              <w:pStyle w:val="P00"/>
              <w:spacing w:before="0"/>
              <w:ind w:left="0"/>
              <w:jc w:val="left"/>
              <w:rPr>
                <w:rStyle w:val="default"/>
                <w:rFonts w:cs="FrankRuehl" w:hint="cs"/>
                <w:szCs w:val="24"/>
                <w:rtl/>
              </w:rPr>
            </w:pPr>
          </w:p>
        </w:tc>
        <w:tc>
          <w:tcPr>
            <w:tcW w:w="0" w:type="auto"/>
            <w:shd w:val="clear" w:color="auto" w:fill="auto"/>
          </w:tcPr>
          <w:p w14:paraId="6B4DF179" w14:textId="77777777" w:rsidR="003235A0" w:rsidRPr="007332D3" w:rsidRDefault="003235A0" w:rsidP="007332D3">
            <w:pPr>
              <w:pStyle w:val="P00"/>
              <w:spacing w:before="0"/>
              <w:ind w:left="0"/>
              <w:jc w:val="left"/>
              <w:rPr>
                <w:rStyle w:val="default"/>
                <w:rFonts w:cs="FrankRuehl" w:hint="cs"/>
                <w:szCs w:val="24"/>
                <w:rtl/>
              </w:rPr>
            </w:pPr>
            <w:r w:rsidRPr="007332D3">
              <w:rPr>
                <w:rStyle w:val="default"/>
                <w:rFonts w:cs="FrankRuehl" w:hint="cs"/>
                <w:szCs w:val="24"/>
                <w:rtl/>
              </w:rPr>
              <w:t>4. כל השבתה מלאה של אתר ליבה</w:t>
            </w:r>
          </w:p>
        </w:tc>
      </w:tr>
      <w:tr w:rsidR="00076535" w:rsidRPr="007332D3" w14:paraId="2B2A80E3" w14:textId="77777777" w:rsidTr="007332D3">
        <w:tc>
          <w:tcPr>
            <w:tcW w:w="0" w:type="auto"/>
            <w:vMerge/>
            <w:shd w:val="clear" w:color="auto" w:fill="auto"/>
          </w:tcPr>
          <w:p w14:paraId="29A84207" w14:textId="77777777" w:rsidR="003235A0" w:rsidRPr="007332D3" w:rsidRDefault="003235A0" w:rsidP="007332D3">
            <w:pPr>
              <w:pStyle w:val="P00"/>
              <w:spacing w:before="0"/>
              <w:ind w:left="0"/>
              <w:jc w:val="left"/>
              <w:rPr>
                <w:rStyle w:val="default"/>
                <w:rFonts w:cs="FrankRuehl" w:hint="cs"/>
                <w:szCs w:val="24"/>
                <w:rtl/>
              </w:rPr>
            </w:pPr>
          </w:p>
        </w:tc>
        <w:tc>
          <w:tcPr>
            <w:tcW w:w="0" w:type="auto"/>
            <w:shd w:val="clear" w:color="auto" w:fill="auto"/>
          </w:tcPr>
          <w:p w14:paraId="36F9E09C" w14:textId="77777777" w:rsidR="003235A0" w:rsidRPr="007332D3" w:rsidRDefault="003235A0" w:rsidP="007332D3">
            <w:pPr>
              <w:pStyle w:val="P00"/>
              <w:spacing w:before="0"/>
              <w:ind w:left="0"/>
              <w:jc w:val="left"/>
              <w:rPr>
                <w:rStyle w:val="default"/>
                <w:rFonts w:cs="FrankRuehl" w:hint="cs"/>
                <w:szCs w:val="24"/>
                <w:rtl/>
              </w:rPr>
            </w:pPr>
            <w:r w:rsidRPr="007332D3">
              <w:rPr>
                <w:rStyle w:val="default"/>
                <w:rFonts w:cs="FrankRuehl" w:hint="cs"/>
                <w:szCs w:val="24"/>
                <w:rtl/>
              </w:rPr>
              <w:t>5. כל השבתה של עשרה אחוזים או יותר מקווי התמסורת בין רשת המפעיל למוקד חירום ציבורי</w:t>
            </w:r>
          </w:p>
        </w:tc>
      </w:tr>
      <w:tr w:rsidR="00076535" w:rsidRPr="007332D3" w14:paraId="0CBE72D1" w14:textId="77777777" w:rsidTr="007332D3">
        <w:tc>
          <w:tcPr>
            <w:tcW w:w="0" w:type="auto"/>
            <w:vMerge/>
            <w:shd w:val="clear" w:color="auto" w:fill="auto"/>
          </w:tcPr>
          <w:p w14:paraId="189F517E" w14:textId="77777777" w:rsidR="003235A0" w:rsidRPr="007332D3" w:rsidRDefault="003235A0" w:rsidP="007332D3">
            <w:pPr>
              <w:pStyle w:val="P00"/>
              <w:spacing w:before="0"/>
              <w:ind w:left="0"/>
              <w:jc w:val="left"/>
              <w:rPr>
                <w:rStyle w:val="default"/>
                <w:rFonts w:cs="FrankRuehl" w:hint="cs"/>
                <w:szCs w:val="24"/>
                <w:rtl/>
              </w:rPr>
            </w:pPr>
          </w:p>
        </w:tc>
        <w:tc>
          <w:tcPr>
            <w:tcW w:w="0" w:type="auto"/>
            <w:shd w:val="clear" w:color="auto" w:fill="auto"/>
          </w:tcPr>
          <w:p w14:paraId="33061E20" w14:textId="77777777" w:rsidR="003235A0" w:rsidRPr="007332D3" w:rsidRDefault="003235A0" w:rsidP="007332D3">
            <w:pPr>
              <w:pStyle w:val="P00"/>
              <w:spacing w:before="0"/>
              <w:ind w:left="0"/>
              <w:jc w:val="left"/>
              <w:rPr>
                <w:rStyle w:val="default"/>
                <w:rFonts w:cs="FrankRuehl" w:hint="cs"/>
                <w:szCs w:val="24"/>
                <w:rtl/>
              </w:rPr>
            </w:pPr>
            <w:r w:rsidRPr="007332D3">
              <w:rPr>
                <w:rStyle w:val="default"/>
                <w:rFonts w:cs="FrankRuehl" w:hint="cs"/>
                <w:szCs w:val="24"/>
                <w:rtl/>
              </w:rPr>
              <w:t>6. השבתת שירות ליישוב לשש שעות או יותר</w:t>
            </w:r>
          </w:p>
        </w:tc>
      </w:tr>
      <w:tr w:rsidR="00076535" w:rsidRPr="007332D3" w14:paraId="3CDCDA37" w14:textId="77777777" w:rsidTr="007332D3">
        <w:tc>
          <w:tcPr>
            <w:tcW w:w="0" w:type="auto"/>
            <w:vMerge w:val="restart"/>
            <w:shd w:val="clear" w:color="auto" w:fill="auto"/>
          </w:tcPr>
          <w:p w14:paraId="01477074" w14:textId="77777777" w:rsidR="00076535" w:rsidRPr="007332D3" w:rsidRDefault="00076535" w:rsidP="007332D3">
            <w:pPr>
              <w:pStyle w:val="P00"/>
              <w:spacing w:before="0"/>
              <w:ind w:left="0"/>
              <w:jc w:val="left"/>
              <w:rPr>
                <w:rStyle w:val="default"/>
                <w:rFonts w:cs="FrankRuehl" w:hint="cs"/>
                <w:szCs w:val="24"/>
                <w:rtl/>
              </w:rPr>
            </w:pPr>
            <w:r w:rsidRPr="007332D3">
              <w:rPr>
                <w:rStyle w:val="default"/>
                <w:rFonts w:cs="FrankRuehl" w:hint="cs"/>
                <w:szCs w:val="24"/>
                <w:rtl/>
              </w:rPr>
              <w:t>3. מפעיל רט"ן</w:t>
            </w:r>
          </w:p>
        </w:tc>
        <w:tc>
          <w:tcPr>
            <w:tcW w:w="0" w:type="auto"/>
            <w:shd w:val="clear" w:color="auto" w:fill="auto"/>
          </w:tcPr>
          <w:p w14:paraId="2CB1D248" w14:textId="77777777" w:rsidR="00076535" w:rsidRPr="007332D3" w:rsidRDefault="00076535" w:rsidP="007332D3">
            <w:pPr>
              <w:pStyle w:val="P00"/>
              <w:spacing w:before="0"/>
              <w:ind w:left="0"/>
              <w:jc w:val="left"/>
              <w:rPr>
                <w:rStyle w:val="default"/>
                <w:rFonts w:cs="FrankRuehl" w:hint="cs"/>
                <w:szCs w:val="24"/>
                <w:rtl/>
              </w:rPr>
            </w:pPr>
            <w:r w:rsidRPr="007332D3">
              <w:rPr>
                <w:rStyle w:val="default"/>
                <w:rFonts w:cs="FrankRuehl" w:hint="cs"/>
                <w:szCs w:val="24"/>
                <w:rtl/>
              </w:rPr>
              <w:t>1. השבתה של חמישה עד עשרה אתרי קצה שביניהם קיים רצף גאוגרפי בכיסוי הסלולרי, ובלבד שההשבתה נמשכת 72 שעות רצופות או יותר</w:t>
            </w:r>
          </w:p>
        </w:tc>
      </w:tr>
      <w:tr w:rsidR="00076535" w:rsidRPr="007332D3" w14:paraId="761E7254" w14:textId="77777777" w:rsidTr="007332D3">
        <w:tc>
          <w:tcPr>
            <w:tcW w:w="0" w:type="auto"/>
            <w:vMerge/>
            <w:shd w:val="clear" w:color="auto" w:fill="auto"/>
          </w:tcPr>
          <w:p w14:paraId="7FAC4EF3" w14:textId="77777777" w:rsidR="00076535" w:rsidRPr="007332D3" w:rsidRDefault="00076535" w:rsidP="007332D3">
            <w:pPr>
              <w:pStyle w:val="P00"/>
              <w:spacing w:before="0"/>
              <w:ind w:left="0"/>
              <w:jc w:val="left"/>
              <w:rPr>
                <w:rStyle w:val="default"/>
                <w:rFonts w:cs="FrankRuehl" w:hint="cs"/>
                <w:szCs w:val="24"/>
                <w:rtl/>
              </w:rPr>
            </w:pPr>
          </w:p>
        </w:tc>
        <w:tc>
          <w:tcPr>
            <w:tcW w:w="0" w:type="auto"/>
            <w:shd w:val="clear" w:color="auto" w:fill="auto"/>
          </w:tcPr>
          <w:p w14:paraId="105DB611" w14:textId="77777777" w:rsidR="00076535" w:rsidRPr="007332D3" w:rsidRDefault="00076535" w:rsidP="007332D3">
            <w:pPr>
              <w:pStyle w:val="P00"/>
              <w:spacing w:before="0"/>
              <w:ind w:left="0"/>
              <w:jc w:val="left"/>
              <w:rPr>
                <w:rStyle w:val="default"/>
                <w:rFonts w:cs="FrankRuehl" w:hint="cs"/>
                <w:szCs w:val="24"/>
                <w:rtl/>
              </w:rPr>
            </w:pPr>
            <w:r w:rsidRPr="007332D3">
              <w:rPr>
                <w:rStyle w:val="default"/>
                <w:rFonts w:cs="FrankRuehl" w:hint="cs"/>
                <w:szCs w:val="24"/>
                <w:rtl/>
              </w:rPr>
              <w:t>2. השבתה של 11 עד 50 אתרי קצה שביניהם קיים רצף גאוגרפי בכיסוי הסלולרי, ובלבד שההשבתה נמשכת 12 שעות רצופות או יותר</w:t>
            </w:r>
          </w:p>
        </w:tc>
      </w:tr>
      <w:tr w:rsidR="00076535" w:rsidRPr="007332D3" w14:paraId="70E0BF90" w14:textId="77777777" w:rsidTr="007332D3">
        <w:tc>
          <w:tcPr>
            <w:tcW w:w="0" w:type="auto"/>
            <w:vMerge/>
            <w:shd w:val="clear" w:color="auto" w:fill="auto"/>
          </w:tcPr>
          <w:p w14:paraId="0914FDA6" w14:textId="77777777" w:rsidR="00076535" w:rsidRPr="007332D3" w:rsidRDefault="00076535" w:rsidP="007332D3">
            <w:pPr>
              <w:pStyle w:val="P00"/>
              <w:spacing w:before="0"/>
              <w:ind w:left="0"/>
              <w:jc w:val="left"/>
              <w:rPr>
                <w:rStyle w:val="default"/>
                <w:rFonts w:cs="FrankRuehl" w:hint="cs"/>
                <w:szCs w:val="24"/>
                <w:rtl/>
              </w:rPr>
            </w:pPr>
          </w:p>
        </w:tc>
        <w:tc>
          <w:tcPr>
            <w:tcW w:w="0" w:type="auto"/>
            <w:shd w:val="clear" w:color="auto" w:fill="auto"/>
          </w:tcPr>
          <w:p w14:paraId="055389F9" w14:textId="77777777" w:rsidR="00076535" w:rsidRPr="007332D3" w:rsidRDefault="00076535" w:rsidP="007332D3">
            <w:pPr>
              <w:pStyle w:val="P00"/>
              <w:spacing w:before="0"/>
              <w:ind w:left="0"/>
              <w:jc w:val="left"/>
              <w:rPr>
                <w:rStyle w:val="default"/>
                <w:rFonts w:cs="FrankRuehl" w:hint="cs"/>
                <w:szCs w:val="24"/>
                <w:rtl/>
              </w:rPr>
            </w:pPr>
            <w:r w:rsidRPr="007332D3">
              <w:rPr>
                <w:rStyle w:val="default"/>
                <w:rFonts w:cs="FrankRuehl" w:hint="cs"/>
                <w:szCs w:val="24"/>
                <w:rtl/>
              </w:rPr>
              <w:t>3. כל השבתה של 51 אתרים או יותר שביניהם קיים רצף גאוגרפי בכיסוי הסלולרי</w:t>
            </w:r>
          </w:p>
        </w:tc>
      </w:tr>
      <w:tr w:rsidR="00076535" w:rsidRPr="007332D3" w14:paraId="5C4896DE" w14:textId="77777777" w:rsidTr="007332D3">
        <w:tc>
          <w:tcPr>
            <w:tcW w:w="0" w:type="auto"/>
            <w:vMerge/>
            <w:shd w:val="clear" w:color="auto" w:fill="auto"/>
          </w:tcPr>
          <w:p w14:paraId="7921FAA9" w14:textId="77777777" w:rsidR="00076535" w:rsidRPr="007332D3" w:rsidRDefault="00076535" w:rsidP="007332D3">
            <w:pPr>
              <w:pStyle w:val="P00"/>
              <w:spacing w:before="0"/>
              <w:ind w:left="0"/>
              <w:jc w:val="left"/>
              <w:rPr>
                <w:rStyle w:val="default"/>
                <w:rFonts w:cs="FrankRuehl" w:hint="cs"/>
                <w:szCs w:val="24"/>
                <w:rtl/>
              </w:rPr>
            </w:pPr>
          </w:p>
        </w:tc>
        <w:tc>
          <w:tcPr>
            <w:tcW w:w="0" w:type="auto"/>
            <w:shd w:val="clear" w:color="auto" w:fill="auto"/>
          </w:tcPr>
          <w:p w14:paraId="279A0F45" w14:textId="77777777" w:rsidR="00076535" w:rsidRPr="007332D3" w:rsidRDefault="00076535" w:rsidP="007332D3">
            <w:pPr>
              <w:pStyle w:val="P00"/>
              <w:spacing w:before="0"/>
              <w:ind w:left="0"/>
              <w:jc w:val="left"/>
              <w:rPr>
                <w:rStyle w:val="default"/>
                <w:rFonts w:cs="FrankRuehl" w:hint="cs"/>
                <w:szCs w:val="24"/>
                <w:rtl/>
              </w:rPr>
            </w:pPr>
            <w:r w:rsidRPr="007332D3">
              <w:rPr>
                <w:rStyle w:val="default"/>
                <w:rFonts w:cs="FrankRuehl" w:hint="cs"/>
                <w:szCs w:val="24"/>
                <w:rtl/>
              </w:rPr>
              <w:t>4. השבתת שירות שיחות (דיבור), שירות העברת נתונים או שירות העברת מסרונים ל-10,000 או יותר ממנויי המפעיל, או לעשרה אחוזים או יותר ממנויי המפעיל בשעה, הנמוך מביניהם, למשך שעה או יותר</w:t>
            </w:r>
          </w:p>
        </w:tc>
      </w:tr>
      <w:tr w:rsidR="00076535" w:rsidRPr="007332D3" w14:paraId="1DFF2BDA" w14:textId="77777777" w:rsidTr="007332D3">
        <w:tc>
          <w:tcPr>
            <w:tcW w:w="0" w:type="auto"/>
            <w:vMerge/>
            <w:shd w:val="clear" w:color="auto" w:fill="auto"/>
          </w:tcPr>
          <w:p w14:paraId="67D0A374" w14:textId="77777777" w:rsidR="00076535" w:rsidRPr="007332D3" w:rsidRDefault="00076535" w:rsidP="007332D3">
            <w:pPr>
              <w:pStyle w:val="P00"/>
              <w:spacing w:before="0"/>
              <w:ind w:left="0"/>
              <w:jc w:val="left"/>
              <w:rPr>
                <w:rStyle w:val="default"/>
                <w:rFonts w:cs="FrankRuehl" w:hint="cs"/>
                <w:szCs w:val="24"/>
                <w:rtl/>
              </w:rPr>
            </w:pPr>
          </w:p>
        </w:tc>
        <w:tc>
          <w:tcPr>
            <w:tcW w:w="0" w:type="auto"/>
            <w:shd w:val="clear" w:color="auto" w:fill="auto"/>
          </w:tcPr>
          <w:p w14:paraId="4A1B8D0E" w14:textId="77777777" w:rsidR="00076535" w:rsidRPr="007332D3" w:rsidRDefault="00076535" w:rsidP="007332D3">
            <w:pPr>
              <w:pStyle w:val="P00"/>
              <w:spacing w:before="0"/>
              <w:ind w:left="0"/>
              <w:jc w:val="left"/>
              <w:rPr>
                <w:rStyle w:val="default"/>
                <w:rFonts w:cs="FrankRuehl" w:hint="cs"/>
                <w:szCs w:val="24"/>
                <w:rtl/>
              </w:rPr>
            </w:pPr>
            <w:r w:rsidRPr="007332D3">
              <w:rPr>
                <w:rStyle w:val="default"/>
                <w:rFonts w:cs="FrankRuehl" w:hint="cs"/>
                <w:szCs w:val="24"/>
                <w:rtl/>
              </w:rPr>
              <w:t>5. שיעור השיחות שנכשלו מתוך כלל השיחות (</w:t>
            </w:r>
            <w:r w:rsidRPr="007332D3">
              <w:rPr>
                <w:rStyle w:val="default"/>
                <w:rFonts w:cs="FrankRuehl"/>
                <w:szCs w:val="24"/>
              </w:rPr>
              <w:t>GOS</w:t>
            </w:r>
            <w:r w:rsidRPr="007332D3">
              <w:rPr>
                <w:rStyle w:val="default"/>
                <w:rFonts w:cs="FrankRuehl" w:hint="cs"/>
                <w:szCs w:val="24"/>
                <w:rtl/>
              </w:rPr>
              <w:t>) בשעה הוא עשרה אחוזים או יותר, למשך שעה או יותר</w:t>
            </w:r>
          </w:p>
        </w:tc>
      </w:tr>
      <w:tr w:rsidR="00076535" w:rsidRPr="007332D3" w14:paraId="1384EF08" w14:textId="77777777" w:rsidTr="007332D3">
        <w:tc>
          <w:tcPr>
            <w:tcW w:w="0" w:type="auto"/>
            <w:vMerge/>
            <w:shd w:val="clear" w:color="auto" w:fill="auto"/>
          </w:tcPr>
          <w:p w14:paraId="614214E6" w14:textId="77777777" w:rsidR="00076535" w:rsidRPr="007332D3" w:rsidRDefault="00076535" w:rsidP="007332D3">
            <w:pPr>
              <w:pStyle w:val="P00"/>
              <w:spacing w:before="0"/>
              <w:ind w:left="0"/>
              <w:jc w:val="left"/>
              <w:rPr>
                <w:rStyle w:val="default"/>
                <w:rFonts w:cs="FrankRuehl" w:hint="cs"/>
                <w:szCs w:val="24"/>
                <w:rtl/>
              </w:rPr>
            </w:pPr>
          </w:p>
        </w:tc>
        <w:tc>
          <w:tcPr>
            <w:tcW w:w="0" w:type="auto"/>
            <w:shd w:val="clear" w:color="auto" w:fill="auto"/>
          </w:tcPr>
          <w:p w14:paraId="3F289911" w14:textId="77777777" w:rsidR="00076535" w:rsidRPr="007332D3" w:rsidRDefault="00076535" w:rsidP="007332D3">
            <w:pPr>
              <w:pStyle w:val="P00"/>
              <w:spacing w:before="0"/>
              <w:ind w:left="0"/>
              <w:jc w:val="left"/>
              <w:rPr>
                <w:rStyle w:val="default"/>
                <w:rFonts w:cs="FrankRuehl" w:hint="cs"/>
                <w:szCs w:val="24"/>
                <w:rtl/>
              </w:rPr>
            </w:pPr>
            <w:r w:rsidRPr="007332D3">
              <w:rPr>
                <w:rStyle w:val="default"/>
                <w:rFonts w:cs="FrankRuehl" w:hint="cs"/>
                <w:szCs w:val="24"/>
                <w:rtl/>
              </w:rPr>
              <w:t>6. שיעור זמינות שירות העברת הנתונים בשעה הוא פחות מתשעים אחוזים, למשך שעה או יותר</w:t>
            </w:r>
          </w:p>
        </w:tc>
      </w:tr>
      <w:tr w:rsidR="00076535" w:rsidRPr="007332D3" w14:paraId="207B2250" w14:textId="77777777" w:rsidTr="007332D3">
        <w:tc>
          <w:tcPr>
            <w:tcW w:w="0" w:type="auto"/>
            <w:vMerge/>
            <w:shd w:val="clear" w:color="auto" w:fill="auto"/>
          </w:tcPr>
          <w:p w14:paraId="6DD2AED1" w14:textId="77777777" w:rsidR="00076535" w:rsidRPr="007332D3" w:rsidRDefault="00076535" w:rsidP="007332D3">
            <w:pPr>
              <w:pStyle w:val="P00"/>
              <w:spacing w:before="0"/>
              <w:ind w:left="0"/>
              <w:jc w:val="left"/>
              <w:rPr>
                <w:rStyle w:val="default"/>
                <w:rFonts w:cs="FrankRuehl" w:hint="cs"/>
                <w:szCs w:val="24"/>
                <w:rtl/>
              </w:rPr>
            </w:pPr>
          </w:p>
        </w:tc>
        <w:tc>
          <w:tcPr>
            <w:tcW w:w="0" w:type="auto"/>
            <w:shd w:val="clear" w:color="auto" w:fill="auto"/>
          </w:tcPr>
          <w:p w14:paraId="46896882" w14:textId="77777777" w:rsidR="00076535" w:rsidRPr="007332D3" w:rsidRDefault="00076535" w:rsidP="007332D3">
            <w:pPr>
              <w:pStyle w:val="P00"/>
              <w:spacing w:before="0"/>
              <w:ind w:left="0"/>
              <w:jc w:val="left"/>
              <w:rPr>
                <w:rStyle w:val="default"/>
                <w:rFonts w:cs="FrankRuehl" w:hint="cs"/>
                <w:szCs w:val="24"/>
                <w:rtl/>
              </w:rPr>
            </w:pPr>
            <w:r w:rsidRPr="007332D3">
              <w:rPr>
                <w:rStyle w:val="default"/>
                <w:rFonts w:cs="FrankRuehl" w:hint="cs"/>
                <w:szCs w:val="24"/>
                <w:rtl/>
              </w:rPr>
              <w:t>7. שיעור זמינות שירות מסרונים בשעה הוא פחות מתשעים אחוזים, למשך שעה או יותר</w:t>
            </w:r>
          </w:p>
        </w:tc>
      </w:tr>
      <w:tr w:rsidR="00076535" w:rsidRPr="007332D3" w14:paraId="4F2B0320" w14:textId="77777777" w:rsidTr="007332D3">
        <w:tc>
          <w:tcPr>
            <w:tcW w:w="0" w:type="auto"/>
            <w:vMerge/>
            <w:shd w:val="clear" w:color="auto" w:fill="auto"/>
          </w:tcPr>
          <w:p w14:paraId="2EE01DCC" w14:textId="77777777" w:rsidR="00076535" w:rsidRPr="007332D3" w:rsidRDefault="00076535" w:rsidP="007332D3">
            <w:pPr>
              <w:pStyle w:val="P00"/>
              <w:spacing w:before="0"/>
              <w:ind w:left="0"/>
              <w:jc w:val="left"/>
              <w:rPr>
                <w:rStyle w:val="default"/>
                <w:rFonts w:cs="FrankRuehl" w:hint="cs"/>
                <w:szCs w:val="24"/>
                <w:rtl/>
              </w:rPr>
            </w:pPr>
          </w:p>
        </w:tc>
        <w:tc>
          <w:tcPr>
            <w:tcW w:w="0" w:type="auto"/>
            <w:shd w:val="clear" w:color="auto" w:fill="auto"/>
          </w:tcPr>
          <w:p w14:paraId="66E3E091" w14:textId="77777777" w:rsidR="00076535" w:rsidRPr="007332D3" w:rsidRDefault="00076535" w:rsidP="007332D3">
            <w:pPr>
              <w:pStyle w:val="P00"/>
              <w:spacing w:before="0"/>
              <w:ind w:left="0"/>
              <w:jc w:val="left"/>
              <w:rPr>
                <w:rStyle w:val="default"/>
                <w:rFonts w:cs="FrankRuehl" w:hint="cs"/>
                <w:szCs w:val="24"/>
                <w:rtl/>
              </w:rPr>
            </w:pPr>
            <w:r w:rsidRPr="007332D3">
              <w:rPr>
                <w:rStyle w:val="default"/>
                <w:rFonts w:cs="FrankRuehl" w:hint="cs"/>
                <w:szCs w:val="24"/>
                <w:rtl/>
              </w:rPr>
              <w:t>8. השבתה באתר ליבה של אחד מהמרכיבים שלהלן: בסיס הנתונים, המערכת האחראית על הרשאות גישה לרשת ומכילה את הפרטים של כל מנוי סלולרי (</w:t>
            </w:r>
            <w:r w:rsidRPr="007332D3">
              <w:rPr>
                <w:rStyle w:val="default"/>
                <w:rFonts w:cs="FrankRuehl"/>
                <w:szCs w:val="24"/>
              </w:rPr>
              <w:t>HSS</w:t>
            </w:r>
            <w:r w:rsidRPr="007332D3">
              <w:rPr>
                <w:rStyle w:val="default"/>
                <w:rFonts w:cs="FrankRuehl" w:hint="cs"/>
                <w:szCs w:val="24"/>
                <w:rtl/>
              </w:rPr>
              <w:t>) או המערכת האחראית על ניהול תהליך ההתחברות לרשת ומהווה צומת הבקרה הראשי (</w:t>
            </w:r>
            <w:r w:rsidRPr="007332D3">
              <w:rPr>
                <w:rStyle w:val="default"/>
                <w:rFonts w:cs="FrankRuehl"/>
                <w:szCs w:val="24"/>
              </w:rPr>
              <w:t>MME</w:t>
            </w:r>
            <w:r w:rsidRPr="007332D3">
              <w:rPr>
                <w:rStyle w:val="default"/>
                <w:rFonts w:cs="FrankRuehl" w:hint="cs"/>
                <w:szCs w:val="24"/>
                <w:rtl/>
              </w:rPr>
              <w:t>), למשך שעה או יותר</w:t>
            </w:r>
          </w:p>
        </w:tc>
      </w:tr>
      <w:tr w:rsidR="00076535" w:rsidRPr="007332D3" w14:paraId="2CF839B8" w14:textId="77777777" w:rsidTr="007332D3">
        <w:tc>
          <w:tcPr>
            <w:tcW w:w="0" w:type="auto"/>
            <w:vMerge/>
            <w:shd w:val="clear" w:color="auto" w:fill="auto"/>
          </w:tcPr>
          <w:p w14:paraId="4023C468" w14:textId="77777777" w:rsidR="00076535" w:rsidRPr="007332D3" w:rsidRDefault="00076535" w:rsidP="007332D3">
            <w:pPr>
              <w:pStyle w:val="P00"/>
              <w:spacing w:before="0"/>
              <w:ind w:left="0"/>
              <w:jc w:val="left"/>
              <w:rPr>
                <w:rStyle w:val="default"/>
                <w:rFonts w:cs="FrankRuehl" w:hint="cs"/>
                <w:szCs w:val="24"/>
                <w:rtl/>
              </w:rPr>
            </w:pPr>
          </w:p>
        </w:tc>
        <w:tc>
          <w:tcPr>
            <w:tcW w:w="0" w:type="auto"/>
            <w:shd w:val="clear" w:color="auto" w:fill="auto"/>
          </w:tcPr>
          <w:p w14:paraId="3732A532" w14:textId="77777777" w:rsidR="00076535" w:rsidRPr="007332D3" w:rsidRDefault="00076535" w:rsidP="007332D3">
            <w:pPr>
              <w:pStyle w:val="P00"/>
              <w:spacing w:before="0"/>
              <w:ind w:left="0"/>
              <w:jc w:val="left"/>
              <w:rPr>
                <w:rStyle w:val="default"/>
                <w:rFonts w:cs="FrankRuehl" w:hint="cs"/>
                <w:szCs w:val="24"/>
                <w:rtl/>
              </w:rPr>
            </w:pPr>
            <w:r w:rsidRPr="007332D3">
              <w:rPr>
                <w:rStyle w:val="default"/>
                <w:rFonts w:cs="FrankRuehl" w:hint="cs"/>
                <w:szCs w:val="24"/>
                <w:rtl/>
              </w:rPr>
              <w:t>9. כל השבתה מלאה של אתר ליבה</w:t>
            </w:r>
          </w:p>
        </w:tc>
      </w:tr>
      <w:tr w:rsidR="00076535" w:rsidRPr="007332D3" w14:paraId="47128741" w14:textId="77777777" w:rsidTr="007332D3">
        <w:tc>
          <w:tcPr>
            <w:tcW w:w="0" w:type="auto"/>
            <w:shd w:val="clear" w:color="auto" w:fill="auto"/>
          </w:tcPr>
          <w:p w14:paraId="49CB176B" w14:textId="77777777" w:rsidR="003235A0" w:rsidRPr="007332D3" w:rsidRDefault="00076535" w:rsidP="007332D3">
            <w:pPr>
              <w:pStyle w:val="P00"/>
              <w:spacing w:before="0"/>
              <w:ind w:left="0"/>
              <w:jc w:val="left"/>
              <w:rPr>
                <w:rStyle w:val="default"/>
                <w:rFonts w:cs="FrankRuehl" w:hint="cs"/>
                <w:szCs w:val="24"/>
                <w:rtl/>
              </w:rPr>
            </w:pPr>
            <w:r w:rsidRPr="007332D3">
              <w:rPr>
                <w:rStyle w:val="default"/>
                <w:rFonts w:cs="FrankRuehl" w:hint="cs"/>
                <w:szCs w:val="24"/>
                <w:rtl/>
              </w:rPr>
              <w:t>4. מפעיל שירותי תמסורת</w:t>
            </w:r>
          </w:p>
        </w:tc>
        <w:tc>
          <w:tcPr>
            <w:tcW w:w="0" w:type="auto"/>
            <w:shd w:val="clear" w:color="auto" w:fill="auto"/>
          </w:tcPr>
          <w:p w14:paraId="0F4E39F8" w14:textId="77777777" w:rsidR="003235A0" w:rsidRPr="007332D3" w:rsidRDefault="00076535" w:rsidP="007332D3">
            <w:pPr>
              <w:pStyle w:val="P00"/>
              <w:spacing w:before="0"/>
              <w:ind w:left="0"/>
              <w:jc w:val="left"/>
              <w:rPr>
                <w:rStyle w:val="default"/>
                <w:rFonts w:cs="FrankRuehl" w:hint="cs"/>
                <w:szCs w:val="24"/>
                <w:rtl/>
              </w:rPr>
            </w:pPr>
            <w:r w:rsidRPr="007332D3">
              <w:rPr>
                <w:rStyle w:val="default"/>
                <w:rFonts w:cs="FrankRuehl" w:hint="cs"/>
                <w:szCs w:val="24"/>
                <w:rtl/>
              </w:rPr>
              <w:t>1. שיעור הזמינות של כלל שירותי התמסורת בשעה הוא פחות מתשעים אחוזים, למשך שעה או יותר</w:t>
            </w:r>
          </w:p>
        </w:tc>
      </w:tr>
      <w:tr w:rsidR="00076535" w:rsidRPr="007332D3" w14:paraId="705ED9D5" w14:textId="77777777" w:rsidTr="007332D3">
        <w:tc>
          <w:tcPr>
            <w:tcW w:w="0" w:type="auto"/>
            <w:vMerge w:val="restart"/>
            <w:shd w:val="clear" w:color="auto" w:fill="auto"/>
          </w:tcPr>
          <w:p w14:paraId="2CDBB03E" w14:textId="77777777" w:rsidR="00076535" w:rsidRPr="007332D3" w:rsidRDefault="00076535" w:rsidP="007332D3">
            <w:pPr>
              <w:pStyle w:val="P00"/>
              <w:spacing w:before="0"/>
              <w:ind w:left="0"/>
              <w:jc w:val="left"/>
              <w:rPr>
                <w:rStyle w:val="default"/>
                <w:rFonts w:cs="FrankRuehl" w:hint="cs"/>
                <w:szCs w:val="24"/>
                <w:rtl/>
              </w:rPr>
            </w:pPr>
            <w:r w:rsidRPr="007332D3">
              <w:rPr>
                <w:rStyle w:val="default"/>
                <w:rFonts w:cs="FrankRuehl" w:hint="cs"/>
                <w:szCs w:val="24"/>
                <w:rtl/>
              </w:rPr>
              <w:t>5. מפעיל שירותי תמסורת באמצעות כבל תת-ימי</w:t>
            </w:r>
          </w:p>
        </w:tc>
        <w:tc>
          <w:tcPr>
            <w:tcW w:w="0" w:type="auto"/>
            <w:shd w:val="clear" w:color="auto" w:fill="auto"/>
          </w:tcPr>
          <w:p w14:paraId="0304F605" w14:textId="77777777" w:rsidR="00076535" w:rsidRPr="007332D3" w:rsidRDefault="00076535" w:rsidP="007332D3">
            <w:pPr>
              <w:pStyle w:val="P00"/>
              <w:spacing w:before="0"/>
              <w:ind w:left="0"/>
              <w:jc w:val="left"/>
              <w:rPr>
                <w:rStyle w:val="default"/>
                <w:rFonts w:cs="FrankRuehl" w:hint="cs"/>
                <w:szCs w:val="24"/>
                <w:rtl/>
              </w:rPr>
            </w:pPr>
            <w:r w:rsidRPr="007332D3">
              <w:rPr>
                <w:rStyle w:val="default"/>
                <w:rFonts w:cs="FrankRuehl" w:hint="cs"/>
                <w:szCs w:val="24"/>
                <w:rtl/>
              </w:rPr>
              <w:t>1. שיעור הזמינות של כלל שירותי התמסורת הניתנים באמצעות הכבל התת-ימי בשעה הוא פחות משמונים אחוזים, למשך שעה או יותר</w:t>
            </w:r>
          </w:p>
        </w:tc>
      </w:tr>
      <w:tr w:rsidR="00076535" w:rsidRPr="007332D3" w14:paraId="1BCBF95A" w14:textId="77777777" w:rsidTr="007332D3">
        <w:tc>
          <w:tcPr>
            <w:tcW w:w="0" w:type="auto"/>
            <w:vMerge/>
            <w:shd w:val="clear" w:color="auto" w:fill="auto"/>
          </w:tcPr>
          <w:p w14:paraId="01D7AD2E" w14:textId="77777777" w:rsidR="00076535" w:rsidRPr="007332D3" w:rsidRDefault="00076535" w:rsidP="007332D3">
            <w:pPr>
              <w:pStyle w:val="P00"/>
              <w:spacing w:before="0"/>
              <w:ind w:left="0"/>
              <w:jc w:val="left"/>
              <w:rPr>
                <w:rStyle w:val="default"/>
                <w:rFonts w:cs="FrankRuehl" w:hint="cs"/>
                <w:szCs w:val="24"/>
                <w:rtl/>
              </w:rPr>
            </w:pPr>
          </w:p>
        </w:tc>
        <w:tc>
          <w:tcPr>
            <w:tcW w:w="0" w:type="auto"/>
            <w:shd w:val="clear" w:color="auto" w:fill="auto"/>
          </w:tcPr>
          <w:p w14:paraId="4A1B7E60" w14:textId="77777777" w:rsidR="00076535" w:rsidRPr="007332D3" w:rsidRDefault="00076535" w:rsidP="007332D3">
            <w:pPr>
              <w:pStyle w:val="P00"/>
              <w:spacing w:before="0"/>
              <w:ind w:left="0"/>
              <w:jc w:val="left"/>
              <w:rPr>
                <w:rStyle w:val="default"/>
                <w:rFonts w:cs="FrankRuehl" w:hint="cs"/>
                <w:szCs w:val="24"/>
                <w:rtl/>
              </w:rPr>
            </w:pPr>
            <w:r w:rsidRPr="007332D3">
              <w:rPr>
                <w:rStyle w:val="default"/>
                <w:rFonts w:cs="FrankRuehl" w:hint="cs"/>
                <w:szCs w:val="24"/>
                <w:rtl/>
              </w:rPr>
              <w:t>2. כל אירוע של קריעת הכבל התת-ימי או חשיפתו, בישראל או מחוץ לישראל</w:t>
            </w:r>
          </w:p>
        </w:tc>
      </w:tr>
      <w:tr w:rsidR="00076535" w:rsidRPr="007332D3" w14:paraId="364B1457" w14:textId="77777777" w:rsidTr="007332D3">
        <w:tc>
          <w:tcPr>
            <w:tcW w:w="0" w:type="auto"/>
            <w:vMerge w:val="restart"/>
            <w:shd w:val="clear" w:color="auto" w:fill="auto"/>
          </w:tcPr>
          <w:p w14:paraId="7B29BF51" w14:textId="77777777" w:rsidR="00076535" w:rsidRPr="007332D3" w:rsidRDefault="00076535" w:rsidP="007332D3">
            <w:pPr>
              <w:pStyle w:val="P00"/>
              <w:spacing w:before="0"/>
              <w:ind w:left="0"/>
              <w:jc w:val="left"/>
              <w:rPr>
                <w:rStyle w:val="default"/>
                <w:rFonts w:cs="FrankRuehl" w:hint="cs"/>
                <w:szCs w:val="24"/>
                <w:rtl/>
              </w:rPr>
            </w:pPr>
            <w:r w:rsidRPr="007332D3">
              <w:rPr>
                <w:rStyle w:val="default"/>
                <w:rFonts w:cs="FrankRuehl" w:hint="cs"/>
                <w:szCs w:val="24"/>
                <w:rtl/>
              </w:rPr>
              <w:t>6. ספק גישה לאינטרנט</w:t>
            </w:r>
          </w:p>
        </w:tc>
        <w:tc>
          <w:tcPr>
            <w:tcW w:w="0" w:type="auto"/>
            <w:shd w:val="clear" w:color="auto" w:fill="auto"/>
          </w:tcPr>
          <w:p w14:paraId="0B9D8D86" w14:textId="77777777" w:rsidR="00076535" w:rsidRPr="007332D3" w:rsidRDefault="00076535" w:rsidP="007332D3">
            <w:pPr>
              <w:pStyle w:val="P00"/>
              <w:spacing w:before="0"/>
              <w:ind w:left="0"/>
              <w:jc w:val="left"/>
              <w:rPr>
                <w:rStyle w:val="default"/>
                <w:rFonts w:cs="FrankRuehl" w:hint="cs"/>
                <w:szCs w:val="24"/>
                <w:rtl/>
              </w:rPr>
            </w:pPr>
            <w:r w:rsidRPr="007332D3">
              <w:rPr>
                <w:rStyle w:val="default"/>
                <w:rFonts w:cs="FrankRuehl" w:hint="cs"/>
                <w:szCs w:val="24"/>
                <w:rtl/>
              </w:rPr>
              <w:t>1. השבתת שירות העברת נתונים ל-10,000 או יותר ממנויי המפעיל, או לעשרה אחוזים או יותר ממנויי המפעיל בשעה, הנמוך מביניהם, למשך שעה או יותר</w:t>
            </w:r>
          </w:p>
        </w:tc>
      </w:tr>
      <w:tr w:rsidR="00076535" w:rsidRPr="007332D3" w14:paraId="1ED3B55E" w14:textId="77777777" w:rsidTr="007332D3">
        <w:tc>
          <w:tcPr>
            <w:tcW w:w="0" w:type="auto"/>
            <w:vMerge/>
            <w:shd w:val="clear" w:color="auto" w:fill="auto"/>
          </w:tcPr>
          <w:p w14:paraId="79580C18" w14:textId="77777777" w:rsidR="00076535" w:rsidRPr="007332D3" w:rsidRDefault="00076535" w:rsidP="007332D3">
            <w:pPr>
              <w:pStyle w:val="P00"/>
              <w:spacing w:before="0"/>
              <w:ind w:left="0"/>
              <w:jc w:val="left"/>
              <w:rPr>
                <w:rStyle w:val="default"/>
                <w:rFonts w:cs="FrankRuehl" w:hint="cs"/>
                <w:szCs w:val="24"/>
                <w:rtl/>
              </w:rPr>
            </w:pPr>
          </w:p>
        </w:tc>
        <w:tc>
          <w:tcPr>
            <w:tcW w:w="0" w:type="auto"/>
            <w:shd w:val="clear" w:color="auto" w:fill="auto"/>
          </w:tcPr>
          <w:p w14:paraId="41D4E14A" w14:textId="77777777" w:rsidR="00076535" w:rsidRPr="007332D3" w:rsidRDefault="00076535" w:rsidP="007332D3">
            <w:pPr>
              <w:pStyle w:val="P00"/>
              <w:spacing w:before="0"/>
              <w:ind w:left="0"/>
              <w:jc w:val="left"/>
              <w:rPr>
                <w:rStyle w:val="default"/>
                <w:rFonts w:cs="FrankRuehl" w:hint="cs"/>
                <w:szCs w:val="24"/>
                <w:rtl/>
              </w:rPr>
            </w:pPr>
            <w:r w:rsidRPr="007332D3">
              <w:rPr>
                <w:rStyle w:val="default"/>
                <w:rFonts w:cs="FrankRuehl" w:hint="cs"/>
                <w:szCs w:val="24"/>
                <w:rtl/>
              </w:rPr>
              <w:t>2. שיעור זמניות שירות העברת הנתונים בשעה הוא פחות מתשעים אחוזים, למשך שעה או יותר</w:t>
            </w:r>
          </w:p>
        </w:tc>
      </w:tr>
      <w:tr w:rsidR="00076535" w:rsidRPr="007332D3" w14:paraId="7BEB1CE4" w14:textId="77777777" w:rsidTr="007332D3">
        <w:tc>
          <w:tcPr>
            <w:tcW w:w="0" w:type="auto"/>
            <w:vMerge/>
            <w:shd w:val="clear" w:color="auto" w:fill="auto"/>
          </w:tcPr>
          <w:p w14:paraId="3AE196B0" w14:textId="77777777" w:rsidR="00076535" w:rsidRPr="007332D3" w:rsidRDefault="00076535" w:rsidP="007332D3">
            <w:pPr>
              <w:pStyle w:val="P00"/>
              <w:spacing w:before="0"/>
              <w:ind w:left="0"/>
              <w:jc w:val="left"/>
              <w:rPr>
                <w:rStyle w:val="default"/>
                <w:rFonts w:cs="FrankRuehl" w:hint="cs"/>
                <w:szCs w:val="24"/>
                <w:rtl/>
              </w:rPr>
            </w:pPr>
          </w:p>
        </w:tc>
        <w:tc>
          <w:tcPr>
            <w:tcW w:w="0" w:type="auto"/>
            <w:shd w:val="clear" w:color="auto" w:fill="auto"/>
          </w:tcPr>
          <w:p w14:paraId="7B5EB8F9" w14:textId="77777777" w:rsidR="00076535" w:rsidRPr="007332D3" w:rsidRDefault="00076535" w:rsidP="007332D3">
            <w:pPr>
              <w:pStyle w:val="P00"/>
              <w:spacing w:before="0"/>
              <w:ind w:left="0"/>
              <w:jc w:val="left"/>
              <w:rPr>
                <w:rStyle w:val="default"/>
                <w:rFonts w:cs="FrankRuehl" w:hint="cs"/>
                <w:szCs w:val="24"/>
                <w:rtl/>
              </w:rPr>
            </w:pPr>
            <w:r w:rsidRPr="007332D3">
              <w:rPr>
                <w:rStyle w:val="default"/>
                <w:rFonts w:cs="FrankRuehl" w:hint="cs"/>
                <w:szCs w:val="24"/>
                <w:rtl/>
              </w:rPr>
              <w:t>3. כל השבתה מלאה של אתר ליבה</w:t>
            </w:r>
          </w:p>
        </w:tc>
      </w:tr>
    </w:tbl>
    <w:p w14:paraId="05C06186" w14:textId="77777777" w:rsidR="003235A0" w:rsidRDefault="003235A0">
      <w:pPr>
        <w:pStyle w:val="P00"/>
        <w:spacing w:before="72"/>
        <w:ind w:left="0" w:right="1134"/>
        <w:rPr>
          <w:rStyle w:val="default"/>
          <w:rFonts w:cs="FrankRuehl" w:hint="cs"/>
          <w:rtl/>
        </w:rPr>
      </w:pPr>
    </w:p>
    <w:p w14:paraId="406A0D8C" w14:textId="77777777" w:rsidR="00484461" w:rsidRPr="003235A0" w:rsidRDefault="00484461" w:rsidP="00484461">
      <w:pPr>
        <w:pStyle w:val="medium2-header"/>
        <w:keepLines w:val="0"/>
        <w:spacing w:before="72"/>
        <w:ind w:left="0" w:right="1134"/>
        <w:rPr>
          <w:noProof/>
          <w:rtl/>
        </w:rPr>
      </w:pPr>
      <w:bookmarkStart w:id="9" w:name="med1"/>
      <w:bookmarkEnd w:id="9"/>
      <w:r w:rsidRPr="003235A0">
        <w:rPr>
          <w:rFonts w:hint="cs"/>
          <w:noProof/>
          <w:rtl/>
        </w:rPr>
        <w:t xml:space="preserve">תוספת </w:t>
      </w:r>
      <w:r>
        <w:rPr>
          <w:rFonts w:hint="cs"/>
          <w:noProof/>
          <w:rtl/>
        </w:rPr>
        <w:t>שנייה</w:t>
      </w:r>
    </w:p>
    <w:p w14:paraId="3F9692B8" w14:textId="77777777" w:rsidR="006D17B5" w:rsidRPr="00CA3D33" w:rsidRDefault="00484461" w:rsidP="00CA3D33">
      <w:pPr>
        <w:pStyle w:val="P00"/>
        <w:spacing w:before="72"/>
        <w:ind w:left="0" w:right="1134"/>
        <w:jc w:val="center"/>
        <w:rPr>
          <w:rStyle w:val="default"/>
          <w:rFonts w:cs="FrankRuehl"/>
          <w:sz w:val="18"/>
          <w:szCs w:val="24"/>
          <w:rtl/>
        </w:rPr>
      </w:pPr>
      <w:r w:rsidRPr="00CA3D33">
        <w:rPr>
          <w:rStyle w:val="default"/>
          <w:rFonts w:cs="FrankRuehl" w:hint="cs"/>
          <w:sz w:val="18"/>
          <w:szCs w:val="24"/>
          <w:rtl/>
        </w:rPr>
        <w:t>(תקנה 2(ב), (ג) ו-(ד))</w:t>
      </w:r>
    </w:p>
    <w:p w14:paraId="0E87750A" w14:textId="77777777" w:rsidR="006D17B5" w:rsidRDefault="006D17B5">
      <w:pPr>
        <w:pStyle w:val="P00"/>
        <w:spacing w:before="72"/>
        <w:ind w:left="0" w:right="1134"/>
        <w:rPr>
          <w:rStyle w:val="default"/>
          <w:rFonts w:cs="FrankRuehl"/>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3119"/>
        <w:gridCol w:w="3402"/>
      </w:tblGrid>
      <w:tr w:rsidR="00CA3D33" w:rsidRPr="007332D3" w14:paraId="013CFA53" w14:textId="77777777" w:rsidTr="007332D3">
        <w:tc>
          <w:tcPr>
            <w:tcW w:w="1417" w:type="dxa"/>
            <w:shd w:val="clear" w:color="auto" w:fill="auto"/>
          </w:tcPr>
          <w:p w14:paraId="7DA1AC16" w14:textId="77777777" w:rsidR="00CA3D33" w:rsidRPr="007332D3" w:rsidRDefault="00CA3D33" w:rsidP="007332D3">
            <w:pPr>
              <w:pStyle w:val="P00"/>
              <w:spacing w:before="0"/>
              <w:ind w:left="0"/>
              <w:jc w:val="left"/>
              <w:rPr>
                <w:rStyle w:val="default"/>
                <w:rFonts w:cs="FrankRuehl"/>
                <w:szCs w:val="24"/>
                <w:rtl/>
              </w:rPr>
            </w:pPr>
            <w:r w:rsidRPr="007332D3">
              <w:rPr>
                <w:rStyle w:val="default"/>
                <w:rFonts w:cs="FrankRuehl" w:hint="cs"/>
                <w:szCs w:val="24"/>
                <w:rtl/>
              </w:rPr>
              <w:t>1. דוח ראשוני</w:t>
            </w:r>
          </w:p>
        </w:tc>
        <w:tc>
          <w:tcPr>
            <w:tcW w:w="3119" w:type="dxa"/>
            <w:shd w:val="clear" w:color="auto" w:fill="auto"/>
          </w:tcPr>
          <w:p w14:paraId="3E53D5AF" w14:textId="77777777" w:rsidR="00CA3D33" w:rsidRPr="007332D3" w:rsidRDefault="00CA3D33" w:rsidP="007332D3">
            <w:pPr>
              <w:pStyle w:val="P00"/>
              <w:spacing w:before="0"/>
              <w:ind w:left="0"/>
              <w:jc w:val="left"/>
              <w:rPr>
                <w:rStyle w:val="default"/>
                <w:rFonts w:cs="FrankRuehl"/>
                <w:szCs w:val="24"/>
                <w:rtl/>
              </w:rPr>
            </w:pPr>
            <w:r w:rsidRPr="007332D3">
              <w:rPr>
                <w:rStyle w:val="default"/>
                <w:rFonts w:cs="FrankRuehl" w:hint="cs"/>
                <w:szCs w:val="24"/>
                <w:rtl/>
              </w:rPr>
              <w:t>1. שם המפעיל</w:t>
            </w:r>
          </w:p>
        </w:tc>
        <w:tc>
          <w:tcPr>
            <w:tcW w:w="3402" w:type="dxa"/>
            <w:shd w:val="clear" w:color="auto" w:fill="auto"/>
          </w:tcPr>
          <w:p w14:paraId="313960A2" w14:textId="77777777" w:rsidR="00CA3D33" w:rsidRPr="007332D3" w:rsidRDefault="00CA3D33" w:rsidP="007332D3">
            <w:pPr>
              <w:pStyle w:val="P00"/>
              <w:spacing w:before="0"/>
              <w:ind w:left="0"/>
              <w:jc w:val="left"/>
              <w:rPr>
                <w:rStyle w:val="default"/>
                <w:rFonts w:cs="FrankRuehl"/>
                <w:szCs w:val="24"/>
                <w:rtl/>
              </w:rPr>
            </w:pPr>
          </w:p>
        </w:tc>
      </w:tr>
      <w:tr w:rsidR="00E254D1" w:rsidRPr="007332D3" w14:paraId="035ACFFD" w14:textId="77777777" w:rsidTr="007332D3">
        <w:tc>
          <w:tcPr>
            <w:tcW w:w="1417" w:type="dxa"/>
            <w:vMerge w:val="restart"/>
            <w:shd w:val="clear" w:color="auto" w:fill="auto"/>
          </w:tcPr>
          <w:p w14:paraId="1B5C02F8" w14:textId="77777777" w:rsidR="00E254D1" w:rsidRPr="007332D3" w:rsidRDefault="00E254D1" w:rsidP="007332D3">
            <w:pPr>
              <w:pStyle w:val="P00"/>
              <w:spacing w:before="0"/>
              <w:ind w:left="0"/>
              <w:jc w:val="left"/>
              <w:rPr>
                <w:rStyle w:val="default"/>
                <w:rFonts w:cs="FrankRuehl"/>
                <w:szCs w:val="24"/>
                <w:rtl/>
              </w:rPr>
            </w:pPr>
          </w:p>
        </w:tc>
        <w:tc>
          <w:tcPr>
            <w:tcW w:w="3119" w:type="dxa"/>
            <w:shd w:val="clear" w:color="auto" w:fill="auto"/>
          </w:tcPr>
          <w:p w14:paraId="33EA9C24" w14:textId="77777777" w:rsidR="00E254D1" w:rsidRPr="007332D3" w:rsidRDefault="00E254D1" w:rsidP="007332D3">
            <w:pPr>
              <w:pStyle w:val="P00"/>
              <w:spacing w:before="0"/>
              <w:ind w:left="0"/>
              <w:jc w:val="left"/>
              <w:rPr>
                <w:rStyle w:val="default"/>
                <w:rFonts w:cs="FrankRuehl"/>
                <w:szCs w:val="24"/>
                <w:rtl/>
              </w:rPr>
            </w:pPr>
            <w:r w:rsidRPr="007332D3">
              <w:rPr>
                <w:rStyle w:val="default"/>
                <w:rFonts w:cs="FrankRuehl" w:hint="cs"/>
                <w:szCs w:val="24"/>
                <w:rtl/>
              </w:rPr>
              <w:t>2. תאריך ושעת מילוי הדוח</w:t>
            </w:r>
          </w:p>
        </w:tc>
        <w:tc>
          <w:tcPr>
            <w:tcW w:w="3402" w:type="dxa"/>
            <w:shd w:val="clear" w:color="auto" w:fill="auto"/>
          </w:tcPr>
          <w:p w14:paraId="4A74F153" w14:textId="77777777" w:rsidR="00E254D1" w:rsidRPr="007332D3" w:rsidRDefault="00E254D1" w:rsidP="007332D3">
            <w:pPr>
              <w:pStyle w:val="P00"/>
              <w:spacing w:before="0"/>
              <w:ind w:left="0"/>
              <w:jc w:val="left"/>
              <w:rPr>
                <w:rStyle w:val="default"/>
                <w:rFonts w:cs="FrankRuehl"/>
                <w:szCs w:val="24"/>
                <w:rtl/>
              </w:rPr>
            </w:pPr>
          </w:p>
        </w:tc>
      </w:tr>
      <w:tr w:rsidR="00E254D1" w:rsidRPr="007332D3" w14:paraId="6B5934F6" w14:textId="77777777" w:rsidTr="007332D3">
        <w:tc>
          <w:tcPr>
            <w:tcW w:w="1417" w:type="dxa"/>
            <w:vMerge/>
            <w:shd w:val="clear" w:color="auto" w:fill="auto"/>
          </w:tcPr>
          <w:p w14:paraId="4DE9DC00" w14:textId="77777777" w:rsidR="00E254D1" w:rsidRPr="007332D3" w:rsidRDefault="00E254D1" w:rsidP="007332D3">
            <w:pPr>
              <w:pStyle w:val="P00"/>
              <w:spacing w:before="0"/>
              <w:ind w:left="0"/>
              <w:jc w:val="left"/>
              <w:rPr>
                <w:rStyle w:val="default"/>
                <w:rFonts w:cs="FrankRuehl"/>
                <w:szCs w:val="24"/>
                <w:rtl/>
              </w:rPr>
            </w:pPr>
          </w:p>
        </w:tc>
        <w:tc>
          <w:tcPr>
            <w:tcW w:w="3119" w:type="dxa"/>
            <w:shd w:val="clear" w:color="auto" w:fill="auto"/>
          </w:tcPr>
          <w:p w14:paraId="1FA9C398" w14:textId="77777777" w:rsidR="00E254D1" w:rsidRPr="007332D3" w:rsidRDefault="00E254D1" w:rsidP="007332D3">
            <w:pPr>
              <w:pStyle w:val="P00"/>
              <w:spacing w:before="0"/>
              <w:ind w:left="0"/>
              <w:jc w:val="left"/>
              <w:rPr>
                <w:rStyle w:val="default"/>
                <w:rFonts w:cs="FrankRuehl"/>
                <w:szCs w:val="24"/>
                <w:rtl/>
              </w:rPr>
            </w:pPr>
            <w:r w:rsidRPr="007332D3">
              <w:rPr>
                <w:rStyle w:val="default"/>
                <w:rFonts w:cs="FrankRuehl" w:hint="cs"/>
                <w:szCs w:val="24"/>
                <w:rtl/>
              </w:rPr>
              <w:t>3. פרטי ממלא הדוח (שם, שם משפחה ותפקיד)</w:t>
            </w:r>
          </w:p>
        </w:tc>
        <w:tc>
          <w:tcPr>
            <w:tcW w:w="3402" w:type="dxa"/>
            <w:shd w:val="clear" w:color="auto" w:fill="auto"/>
          </w:tcPr>
          <w:p w14:paraId="4EC15EA8" w14:textId="77777777" w:rsidR="00E254D1" w:rsidRPr="007332D3" w:rsidRDefault="00E254D1" w:rsidP="007332D3">
            <w:pPr>
              <w:pStyle w:val="P00"/>
              <w:spacing w:before="0"/>
              <w:ind w:left="0"/>
              <w:jc w:val="left"/>
              <w:rPr>
                <w:rStyle w:val="default"/>
                <w:rFonts w:cs="FrankRuehl"/>
                <w:szCs w:val="24"/>
                <w:rtl/>
              </w:rPr>
            </w:pPr>
          </w:p>
        </w:tc>
      </w:tr>
      <w:tr w:rsidR="00E254D1" w:rsidRPr="007332D3" w14:paraId="40F75964" w14:textId="77777777" w:rsidTr="007332D3">
        <w:tc>
          <w:tcPr>
            <w:tcW w:w="1417" w:type="dxa"/>
            <w:vMerge/>
            <w:shd w:val="clear" w:color="auto" w:fill="auto"/>
          </w:tcPr>
          <w:p w14:paraId="5851AAB7" w14:textId="77777777" w:rsidR="00E254D1" w:rsidRPr="007332D3" w:rsidRDefault="00E254D1" w:rsidP="007332D3">
            <w:pPr>
              <w:pStyle w:val="P00"/>
              <w:spacing w:before="0"/>
              <w:ind w:left="0"/>
              <w:jc w:val="left"/>
              <w:rPr>
                <w:rStyle w:val="default"/>
                <w:rFonts w:cs="FrankRuehl"/>
                <w:szCs w:val="24"/>
                <w:rtl/>
              </w:rPr>
            </w:pPr>
          </w:p>
        </w:tc>
        <w:tc>
          <w:tcPr>
            <w:tcW w:w="3119" w:type="dxa"/>
            <w:shd w:val="clear" w:color="auto" w:fill="auto"/>
          </w:tcPr>
          <w:p w14:paraId="500F174E" w14:textId="77777777" w:rsidR="00E254D1" w:rsidRPr="007332D3" w:rsidRDefault="00E254D1" w:rsidP="007332D3">
            <w:pPr>
              <w:pStyle w:val="P00"/>
              <w:spacing w:before="0"/>
              <w:ind w:left="0"/>
              <w:jc w:val="left"/>
              <w:rPr>
                <w:rStyle w:val="default"/>
                <w:rFonts w:cs="FrankRuehl"/>
                <w:szCs w:val="24"/>
                <w:rtl/>
              </w:rPr>
            </w:pPr>
            <w:r w:rsidRPr="007332D3">
              <w:rPr>
                <w:rStyle w:val="default"/>
                <w:rFonts w:cs="FrankRuehl" w:hint="cs"/>
                <w:szCs w:val="24"/>
                <w:rtl/>
              </w:rPr>
              <w:t>4. השירות שנפגע</w:t>
            </w:r>
          </w:p>
        </w:tc>
        <w:tc>
          <w:tcPr>
            <w:tcW w:w="3402" w:type="dxa"/>
            <w:shd w:val="clear" w:color="auto" w:fill="auto"/>
          </w:tcPr>
          <w:p w14:paraId="6DFDE998" w14:textId="77777777" w:rsidR="00E254D1" w:rsidRPr="007332D3" w:rsidRDefault="00E254D1" w:rsidP="007332D3">
            <w:pPr>
              <w:pStyle w:val="P00"/>
              <w:spacing w:before="0"/>
              <w:ind w:left="0"/>
              <w:jc w:val="left"/>
              <w:rPr>
                <w:rStyle w:val="default"/>
                <w:rFonts w:cs="FrankRuehl"/>
                <w:szCs w:val="24"/>
                <w:rtl/>
              </w:rPr>
            </w:pPr>
          </w:p>
        </w:tc>
      </w:tr>
      <w:tr w:rsidR="00E254D1" w:rsidRPr="007332D3" w14:paraId="0A29E75A" w14:textId="77777777" w:rsidTr="007332D3">
        <w:tc>
          <w:tcPr>
            <w:tcW w:w="1417" w:type="dxa"/>
            <w:vMerge/>
            <w:shd w:val="clear" w:color="auto" w:fill="auto"/>
          </w:tcPr>
          <w:p w14:paraId="6C2D1DD4" w14:textId="77777777" w:rsidR="00E254D1" w:rsidRPr="007332D3" w:rsidRDefault="00E254D1" w:rsidP="007332D3">
            <w:pPr>
              <w:pStyle w:val="P00"/>
              <w:spacing w:before="0"/>
              <w:ind w:left="0"/>
              <w:jc w:val="left"/>
              <w:rPr>
                <w:rStyle w:val="default"/>
                <w:rFonts w:cs="FrankRuehl"/>
                <w:szCs w:val="24"/>
                <w:rtl/>
              </w:rPr>
            </w:pPr>
          </w:p>
        </w:tc>
        <w:tc>
          <w:tcPr>
            <w:tcW w:w="3119" w:type="dxa"/>
            <w:shd w:val="clear" w:color="auto" w:fill="auto"/>
          </w:tcPr>
          <w:p w14:paraId="19DE3951" w14:textId="77777777" w:rsidR="00E254D1" w:rsidRPr="007332D3" w:rsidRDefault="00E254D1" w:rsidP="007332D3">
            <w:pPr>
              <w:pStyle w:val="P00"/>
              <w:spacing w:before="0"/>
              <w:ind w:left="0"/>
              <w:jc w:val="left"/>
              <w:rPr>
                <w:rStyle w:val="default"/>
                <w:rFonts w:cs="FrankRuehl"/>
                <w:szCs w:val="24"/>
                <w:rtl/>
              </w:rPr>
            </w:pPr>
            <w:r w:rsidRPr="007332D3">
              <w:rPr>
                <w:rStyle w:val="default"/>
                <w:rFonts w:cs="FrankRuehl" w:hint="cs"/>
                <w:szCs w:val="24"/>
                <w:rtl/>
              </w:rPr>
              <w:t>5. מספר המנויים שנפגעו</w:t>
            </w:r>
          </w:p>
        </w:tc>
        <w:tc>
          <w:tcPr>
            <w:tcW w:w="3402" w:type="dxa"/>
            <w:shd w:val="clear" w:color="auto" w:fill="auto"/>
          </w:tcPr>
          <w:p w14:paraId="7D499018" w14:textId="77777777" w:rsidR="00E254D1" w:rsidRPr="007332D3" w:rsidRDefault="00E254D1" w:rsidP="007332D3">
            <w:pPr>
              <w:pStyle w:val="P00"/>
              <w:spacing w:before="0"/>
              <w:ind w:left="0"/>
              <w:jc w:val="left"/>
              <w:rPr>
                <w:rStyle w:val="default"/>
                <w:rFonts w:cs="FrankRuehl"/>
                <w:szCs w:val="24"/>
                <w:rtl/>
              </w:rPr>
            </w:pPr>
          </w:p>
        </w:tc>
      </w:tr>
      <w:tr w:rsidR="00E254D1" w:rsidRPr="007332D3" w14:paraId="78296106" w14:textId="77777777" w:rsidTr="007332D3">
        <w:tc>
          <w:tcPr>
            <w:tcW w:w="1417" w:type="dxa"/>
            <w:vMerge/>
            <w:shd w:val="clear" w:color="auto" w:fill="auto"/>
          </w:tcPr>
          <w:p w14:paraId="049D1A47" w14:textId="77777777" w:rsidR="00E254D1" w:rsidRPr="007332D3" w:rsidRDefault="00E254D1" w:rsidP="007332D3">
            <w:pPr>
              <w:pStyle w:val="P00"/>
              <w:spacing w:before="0"/>
              <w:ind w:left="0"/>
              <w:jc w:val="left"/>
              <w:rPr>
                <w:rStyle w:val="default"/>
                <w:rFonts w:cs="FrankRuehl"/>
                <w:szCs w:val="24"/>
                <w:rtl/>
              </w:rPr>
            </w:pPr>
          </w:p>
        </w:tc>
        <w:tc>
          <w:tcPr>
            <w:tcW w:w="3119" w:type="dxa"/>
            <w:shd w:val="clear" w:color="auto" w:fill="auto"/>
          </w:tcPr>
          <w:p w14:paraId="1A05BA36" w14:textId="77777777" w:rsidR="00E254D1" w:rsidRPr="007332D3" w:rsidRDefault="00E254D1" w:rsidP="007332D3">
            <w:pPr>
              <w:pStyle w:val="P00"/>
              <w:spacing w:before="0"/>
              <w:ind w:left="0"/>
              <w:jc w:val="left"/>
              <w:rPr>
                <w:rStyle w:val="default"/>
                <w:rFonts w:cs="FrankRuehl" w:hint="cs"/>
                <w:szCs w:val="24"/>
                <w:rtl/>
              </w:rPr>
            </w:pPr>
            <w:r w:rsidRPr="007332D3">
              <w:rPr>
                <w:rStyle w:val="default"/>
                <w:rFonts w:cs="FrankRuehl" w:hint="cs"/>
                <w:szCs w:val="24"/>
                <w:rtl/>
              </w:rPr>
              <w:t>6. משך הזמן המוערך לטיפול בתקלה</w:t>
            </w:r>
          </w:p>
        </w:tc>
        <w:tc>
          <w:tcPr>
            <w:tcW w:w="3402" w:type="dxa"/>
            <w:shd w:val="clear" w:color="auto" w:fill="auto"/>
          </w:tcPr>
          <w:p w14:paraId="68C567BB" w14:textId="77777777" w:rsidR="00E254D1" w:rsidRPr="007332D3" w:rsidRDefault="00E254D1" w:rsidP="007332D3">
            <w:pPr>
              <w:pStyle w:val="P00"/>
              <w:spacing w:before="0"/>
              <w:ind w:left="0"/>
              <w:jc w:val="left"/>
              <w:rPr>
                <w:rStyle w:val="default"/>
                <w:rFonts w:cs="FrankRuehl"/>
                <w:szCs w:val="24"/>
                <w:rtl/>
              </w:rPr>
            </w:pPr>
          </w:p>
        </w:tc>
      </w:tr>
      <w:tr w:rsidR="00E254D1" w:rsidRPr="007332D3" w14:paraId="41C04AD4" w14:textId="77777777" w:rsidTr="007332D3">
        <w:tc>
          <w:tcPr>
            <w:tcW w:w="1417" w:type="dxa"/>
            <w:vMerge/>
            <w:shd w:val="clear" w:color="auto" w:fill="auto"/>
          </w:tcPr>
          <w:p w14:paraId="667C1931" w14:textId="77777777" w:rsidR="00E254D1" w:rsidRPr="007332D3" w:rsidRDefault="00E254D1" w:rsidP="007332D3">
            <w:pPr>
              <w:pStyle w:val="P00"/>
              <w:spacing w:before="0"/>
              <w:ind w:left="0"/>
              <w:jc w:val="left"/>
              <w:rPr>
                <w:rStyle w:val="default"/>
                <w:rFonts w:cs="FrankRuehl"/>
                <w:szCs w:val="24"/>
                <w:rtl/>
              </w:rPr>
            </w:pPr>
          </w:p>
        </w:tc>
        <w:tc>
          <w:tcPr>
            <w:tcW w:w="3119" w:type="dxa"/>
            <w:shd w:val="clear" w:color="auto" w:fill="auto"/>
          </w:tcPr>
          <w:p w14:paraId="41DF49F0" w14:textId="77777777" w:rsidR="00E254D1" w:rsidRPr="007332D3" w:rsidRDefault="00E254D1" w:rsidP="007332D3">
            <w:pPr>
              <w:pStyle w:val="P00"/>
              <w:spacing w:before="0"/>
              <w:ind w:left="0"/>
              <w:jc w:val="left"/>
              <w:rPr>
                <w:rStyle w:val="default"/>
                <w:rFonts w:cs="FrankRuehl"/>
                <w:szCs w:val="24"/>
                <w:rtl/>
              </w:rPr>
            </w:pPr>
            <w:r w:rsidRPr="007332D3">
              <w:rPr>
                <w:rStyle w:val="default"/>
                <w:rFonts w:cs="FrankRuehl" w:hint="cs"/>
                <w:szCs w:val="24"/>
                <w:rtl/>
              </w:rPr>
              <w:t>7. תיאור התקלה</w:t>
            </w:r>
          </w:p>
        </w:tc>
        <w:tc>
          <w:tcPr>
            <w:tcW w:w="3402" w:type="dxa"/>
            <w:shd w:val="clear" w:color="auto" w:fill="auto"/>
          </w:tcPr>
          <w:p w14:paraId="2E244D90" w14:textId="77777777" w:rsidR="00E254D1" w:rsidRPr="007332D3" w:rsidRDefault="00E254D1" w:rsidP="007332D3">
            <w:pPr>
              <w:pStyle w:val="P00"/>
              <w:spacing w:before="0"/>
              <w:ind w:left="0"/>
              <w:jc w:val="left"/>
              <w:rPr>
                <w:rStyle w:val="default"/>
                <w:rFonts w:cs="FrankRuehl"/>
                <w:szCs w:val="24"/>
                <w:rtl/>
              </w:rPr>
            </w:pPr>
          </w:p>
        </w:tc>
      </w:tr>
      <w:tr w:rsidR="00E254D1" w:rsidRPr="007332D3" w14:paraId="0ECB3510" w14:textId="77777777" w:rsidTr="007332D3">
        <w:tc>
          <w:tcPr>
            <w:tcW w:w="1417" w:type="dxa"/>
            <w:vMerge/>
            <w:shd w:val="clear" w:color="auto" w:fill="auto"/>
          </w:tcPr>
          <w:p w14:paraId="090385BB" w14:textId="77777777" w:rsidR="00E254D1" w:rsidRPr="007332D3" w:rsidRDefault="00E254D1" w:rsidP="007332D3">
            <w:pPr>
              <w:pStyle w:val="P00"/>
              <w:spacing w:before="0"/>
              <w:ind w:left="0"/>
              <w:jc w:val="left"/>
              <w:rPr>
                <w:rStyle w:val="default"/>
                <w:rFonts w:cs="FrankRuehl"/>
                <w:szCs w:val="24"/>
                <w:rtl/>
              </w:rPr>
            </w:pPr>
          </w:p>
        </w:tc>
        <w:tc>
          <w:tcPr>
            <w:tcW w:w="3119" w:type="dxa"/>
            <w:shd w:val="clear" w:color="auto" w:fill="auto"/>
          </w:tcPr>
          <w:p w14:paraId="672DFAD2" w14:textId="77777777" w:rsidR="00E254D1" w:rsidRPr="007332D3" w:rsidRDefault="00E254D1" w:rsidP="007332D3">
            <w:pPr>
              <w:pStyle w:val="P00"/>
              <w:spacing w:before="0"/>
              <w:ind w:left="0"/>
              <w:jc w:val="left"/>
              <w:rPr>
                <w:rStyle w:val="default"/>
                <w:rFonts w:cs="FrankRuehl"/>
                <w:szCs w:val="24"/>
                <w:rtl/>
              </w:rPr>
            </w:pPr>
            <w:r w:rsidRPr="007332D3">
              <w:rPr>
                <w:rStyle w:val="default"/>
                <w:rFonts w:cs="FrankRuehl" w:hint="cs"/>
                <w:szCs w:val="24"/>
                <w:rtl/>
              </w:rPr>
              <w:t>8. מיקום גאוגרפי של מקור התקלה</w:t>
            </w:r>
          </w:p>
        </w:tc>
        <w:tc>
          <w:tcPr>
            <w:tcW w:w="3402" w:type="dxa"/>
            <w:shd w:val="clear" w:color="auto" w:fill="auto"/>
          </w:tcPr>
          <w:p w14:paraId="69FC4AB7" w14:textId="77777777" w:rsidR="00E254D1" w:rsidRPr="007332D3" w:rsidRDefault="00E254D1" w:rsidP="007332D3">
            <w:pPr>
              <w:pStyle w:val="P00"/>
              <w:spacing w:before="0"/>
              <w:ind w:left="0"/>
              <w:jc w:val="left"/>
              <w:rPr>
                <w:rStyle w:val="default"/>
                <w:rFonts w:cs="FrankRuehl"/>
                <w:szCs w:val="24"/>
                <w:rtl/>
              </w:rPr>
            </w:pPr>
          </w:p>
        </w:tc>
      </w:tr>
      <w:tr w:rsidR="00E254D1" w:rsidRPr="007332D3" w14:paraId="3B783C5F" w14:textId="77777777" w:rsidTr="007332D3">
        <w:tc>
          <w:tcPr>
            <w:tcW w:w="1417" w:type="dxa"/>
            <w:vMerge/>
            <w:shd w:val="clear" w:color="auto" w:fill="auto"/>
          </w:tcPr>
          <w:p w14:paraId="24BF4D7A" w14:textId="77777777" w:rsidR="00E254D1" w:rsidRPr="007332D3" w:rsidRDefault="00E254D1" w:rsidP="007332D3">
            <w:pPr>
              <w:pStyle w:val="P00"/>
              <w:spacing w:before="0"/>
              <w:ind w:left="0"/>
              <w:jc w:val="left"/>
              <w:rPr>
                <w:rStyle w:val="default"/>
                <w:rFonts w:cs="FrankRuehl"/>
                <w:szCs w:val="24"/>
                <w:rtl/>
              </w:rPr>
            </w:pPr>
          </w:p>
        </w:tc>
        <w:tc>
          <w:tcPr>
            <w:tcW w:w="3119" w:type="dxa"/>
            <w:shd w:val="clear" w:color="auto" w:fill="auto"/>
          </w:tcPr>
          <w:p w14:paraId="5A0C10AB" w14:textId="77777777" w:rsidR="00E254D1" w:rsidRPr="007332D3" w:rsidRDefault="00E254D1" w:rsidP="007332D3">
            <w:pPr>
              <w:pStyle w:val="P00"/>
              <w:spacing w:before="0"/>
              <w:ind w:left="0"/>
              <w:jc w:val="left"/>
              <w:rPr>
                <w:rStyle w:val="default"/>
                <w:rFonts w:cs="FrankRuehl"/>
                <w:szCs w:val="24"/>
                <w:rtl/>
              </w:rPr>
            </w:pPr>
            <w:r w:rsidRPr="007332D3">
              <w:rPr>
                <w:rStyle w:val="default"/>
                <w:rFonts w:cs="FrankRuehl" w:hint="cs"/>
                <w:szCs w:val="24"/>
                <w:rtl/>
              </w:rPr>
              <w:t>9. האזור הגאוגרפי שמושפע מהתקלה</w:t>
            </w:r>
          </w:p>
        </w:tc>
        <w:tc>
          <w:tcPr>
            <w:tcW w:w="3402" w:type="dxa"/>
            <w:shd w:val="clear" w:color="auto" w:fill="auto"/>
          </w:tcPr>
          <w:p w14:paraId="1BE857AD" w14:textId="77777777" w:rsidR="00E254D1" w:rsidRPr="007332D3" w:rsidRDefault="00E254D1" w:rsidP="007332D3">
            <w:pPr>
              <w:pStyle w:val="P00"/>
              <w:spacing w:before="0"/>
              <w:ind w:left="0"/>
              <w:jc w:val="left"/>
              <w:rPr>
                <w:rStyle w:val="default"/>
                <w:rFonts w:cs="FrankRuehl"/>
                <w:szCs w:val="24"/>
                <w:rtl/>
              </w:rPr>
            </w:pPr>
          </w:p>
        </w:tc>
      </w:tr>
      <w:tr w:rsidR="00E254D1" w:rsidRPr="007332D3" w14:paraId="4606E9A0" w14:textId="77777777" w:rsidTr="007332D3">
        <w:tc>
          <w:tcPr>
            <w:tcW w:w="1417" w:type="dxa"/>
            <w:vMerge/>
            <w:shd w:val="clear" w:color="auto" w:fill="auto"/>
          </w:tcPr>
          <w:p w14:paraId="0EB0EF04" w14:textId="77777777" w:rsidR="00E254D1" w:rsidRPr="007332D3" w:rsidRDefault="00E254D1" w:rsidP="007332D3">
            <w:pPr>
              <w:pStyle w:val="P00"/>
              <w:spacing w:before="0"/>
              <w:ind w:left="0"/>
              <w:jc w:val="left"/>
              <w:rPr>
                <w:rStyle w:val="default"/>
                <w:rFonts w:cs="FrankRuehl"/>
                <w:szCs w:val="24"/>
                <w:rtl/>
              </w:rPr>
            </w:pPr>
          </w:p>
        </w:tc>
        <w:tc>
          <w:tcPr>
            <w:tcW w:w="3119" w:type="dxa"/>
            <w:shd w:val="clear" w:color="auto" w:fill="auto"/>
          </w:tcPr>
          <w:p w14:paraId="34CE3283" w14:textId="77777777" w:rsidR="00E254D1" w:rsidRPr="007332D3" w:rsidRDefault="00E254D1" w:rsidP="007332D3">
            <w:pPr>
              <w:pStyle w:val="P00"/>
              <w:spacing w:before="0"/>
              <w:ind w:left="0"/>
              <w:jc w:val="left"/>
              <w:rPr>
                <w:rStyle w:val="default"/>
                <w:rFonts w:cs="FrankRuehl" w:hint="cs"/>
                <w:szCs w:val="24"/>
                <w:rtl/>
              </w:rPr>
            </w:pPr>
            <w:r w:rsidRPr="007332D3">
              <w:rPr>
                <w:rStyle w:val="default"/>
                <w:rFonts w:cs="FrankRuehl" w:hint="cs"/>
                <w:szCs w:val="24"/>
                <w:rtl/>
              </w:rPr>
              <w:t>10. סיבת התקלה</w:t>
            </w:r>
          </w:p>
        </w:tc>
        <w:tc>
          <w:tcPr>
            <w:tcW w:w="3402" w:type="dxa"/>
            <w:shd w:val="clear" w:color="auto" w:fill="auto"/>
          </w:tcPr>
          <w:p w14:paraId="65749F0F" w14:textId="77777777" w:rsidR="00E254D1" w:rsidRPr="007332D3" w:rsidRDefault="00E254D1" w:rsidP="007332D3">
            <w:pPr>
              <w:pStyle w:val="P00"/>
              <w:spacing w:before="0"/>
              <w:ind w:left="0"/>
              <w:jc w:val="left"/>
              <w:rPr>
                <w:rStyle w:val="default"/>
                <w:rFonts w:cs="FrankRuehl"/>
                <w:szCs w:val="24"/>
                <w:rtl/>
              </w:rPr>
            </w:pPr>
          </w:p>
        </w:tc>
      </w:tr>
      <w:tr w:rsidR="00E254D1" w:rsidRPr="007332D3" w14:paraId="48A5ACCB" w14:textId="77777777" w:rsidTr="007332D3">
        <w:tc>
          <w:tcPr>
            <w:tcW w:w="1417" w:type="dxa"/>
            <w:vMerge/>
            <w:shd w:val="clear" w:color="auto" w:fill="auto"/>
          </w:tcPr>
          <w:p w14:paraId="123D7D8A" w14:textId="77777777" w:rsidR="00E254D1" w:rsidRPr="007332D3" w:rsidRDefault="00E254D1" w:rsidP="007332D3">
            <w:pPr>
              <w:pStyle w:val="P00"/>
              <w:spacing w:before="0"/>
              <w:ind w:left="0"/>
              <w:jc w:val="left"/>
              <w:rPr>
                <w:rStyle w:val="default"/>
                <w:rFonts w:cs="FrankRuehl"/>
                <w:szCs w:val="24"/>
                <w:rtl/>
              </w:rPr>
            </w:pPr>
          </w:p>
        </w:tc>
        <w:tc>
          <w:tcPr>
            <w:tcW w:w="3119" w:type="dxa"/>
            <w:shd w:val="clear" w:color="auto" w:fill="auto"/>
          </w:tcPr>
          <w:p w14:paraId="5C05C583" w14:textId="77777777" w:rsidR="00E254D1" w:rsidRPr="007332D3" w:rsidRDefault="00E254D1" w:rsidP="007332D3">
            <w:pPr>
              <w:pStyle w:val="P00"/>
              <w:spacing w:before="0"/>
              <w:ind w:left="0"/>
              <w:jc w:val="left"/>
              <w:rPr>
                <w:rStyle w:val="default"/>
                <w:rFonts w:cs="FrankRuehl"/>
                <w:szCs w:val="24"/>
                <w:rtl/>
              </w:rPr>
            </w:pPr>
            <w:r w:rsidRPr="007332D3">
              <w:rPr>
                <w:rStyle w:val="default"/>
                <w:rFonts w:cs="FrankRuehl" w:hint="cs"/>
                <w:szCs w:val="24"/>
                <w:rtl/>
              </w:rPr>
              <w:t>11. משמעויות התקלה</w:t>
            </w:r>
          </w:p>
        </w:tc>
        <w:tc>
          <w:tcPr>
            <w:tcW w:w="3402" w:type="dxa"/>
            <w:shd w:val="clear" w:color="auto" w:fill="auto"/>
          </w:tcPr>
          <w:p w14:paraId="64771D23" w14:textId="77777777" w:rsidR="00E254D1" w:rsidRPr="007332D3" w:rsidRDefault="00E254D1" w:rsidP="007332D3">
            <w:pPr>
              <w:pStyle w:val="P00"/>
              <w:spacing w:before="0"/>
              <w:ind w:left="0"/>
              <w:jc w:val="left"/>
              <w:rPr>
                <w:rStyle w:val="default"/>
                <w:rFonts w:cs="FrankRuehl"/>
                <w:szCs w:val="24"/>
                <w:rtl/>
              </w:rPr>
            </w:pPr>
          </w:p>
        </w:tc>
      </w:tr>
      <w:tr w:rsidR="00CA3D33" w:rsidRPr="007332D3" w14:paraId="3E8B86FA" w14:textId="77777777" w:rsidTr="007332D3">
        <w:tc>
          <w:tcPr>
            <w:tcW w:w="1417" w:type="dxa"/>
            <w:shd w:val="clear" w:color="auto" w:fill="auto"/>
          </w:tcPr>
          <w:p w14:paraId="16E2C2DD" w14:textId="77777777" w:rsidR="00CA3D33" w:rsidRPr="007332D3" w:rsidRDefault="00E254D1" w:rsidP="007332D3">
            <w:pPr>
              <w:pStyle w:val="P00"/>
              <w:spacing w:before="0"/>
              <w:ind w:left="0"/>
              <w:jc w:val="left"/>
              <w:rPr>
                <w:rStyle w:val="default"/>
                <w:rFonts w:cs="FrankRuehl"/>
                <w:szCs w:val="24"/>
                <w:rtl/>
              </w:rPr>
            </w:pPr>
            <w:r w:rsidRPr="007332D3">
              <w:rPr>
                <w:rStyle w:val="default"/>
                <w:rFonts w:cs="FrankRuehl" w:hint="cs"/>
                <w:szCs w:val="24"/>
                <w:rtl/>
              </w:rPr>
              <w:t>2. דוח סופי</w:t>
            </w:r>
          </w:p>
        </w:tc>
        <w:tc>
          <w:tcPr>
            <w:tcW w:w="3119" w:type="dxa"/>
            <w:shd w:val="clear" w:color="auto" w:fill="auto"/>
          </w:tcPr>
          <w:p w14:paraId="145A46F8" w14:textId="77777777" w:rsidR="00CA3D33" w:rsidRPr="007332D3" w:rsidRDefault="00E254D1" w:rsidP="007332D3">
            <w:pPr>
              <w:pStyle w:val="P00"/>
              <w:spacing w:before="0"/>
              <w:ind w:left="0"/>
              <w:jc w:val="left"/>
              <w:rPr>
                <w:rStyle w:val="default"/>
                <w:rFonts w:cs="FrankRuehl"/>
                <w:szCs w:val="24"/>
                <w:rtl/>
              </w:rPr>
            </w:pPr>
            <w:r w:rsidRPr="007332D3">
              <w:rPr>
                <w:rStyle w:val="default"/>
                <w:rFonts w:cs="FrankRuehl" w:hint="cs"/>
                <w:szCs w:val="24"/>
                <w:rtl/>
              </w:rPr>
              <w:t>1. שם המפעיל</w:t>
            </w:r>
          </w:p>
        </w:tc>
        <w:tc>
          <w:tcPr>
            <w:tcW w:w="3402" w:type="dxa"/>
            <w:shd w:val="clear" w:color="auto" w:fill="auto"/>
          </w:tcPr>
          <w:p w14:paraId="666151C9" w14:textId="77777777" w:rsidR="00CA3D33" w:rsidRPr="007332D3" w:rsidRDefault="00CA3D33" w:rsidP="007332D3">
            <w:pPr>
              <w:pStyle w:val="P00"/>
              <w:spacing w:before="0"/>
              <w:ind w:left="0"/>
              <w:jc w:val="left"/>
              <w:rPr>
                <w:rStyle w:val="default"/>
                <w:rFonts w:cs="FrankRuehl"/>
                <w:szCs w:val="24"/>
                <w:rtl/>
              </w:rPr>
            </w:pPr>
          </w:p>
        </w:tc>
      </w:tr>
      <w:tr w:rsidR="00E254D1" w:rsidRPr="007332D3" w14:paraId="0151D468" w14:textId="77777777" w:rsidTr="007332D3">
        <w:tc>
          <w:tcPr>
            <w:tcW w:w="1417" w:type="dxa"/>
            <w:vMerge w:val="restart"/>
            <w:shd w:val="clear" w:color="auto" w:fill="auto"/>
          </w:tcPr>
          <w:p w14:paraId="09C6016F" w14:textId="77777777" w:rsidR="00E254D1" w:rsidRPr="007332D3" w:rsidRDefault="00E254D1" w:rsidP="007332D3">
            <w:pPr>
              <w:pStyle w:val="P00"/>
              <w:spacing w:before="0"/>
              <w:ind w:left="0"/>
              <w:jc w:val="left"/>
              <w:rPr>
                <w:rStyle w:val="default"/>
                <w:rFonts w:cs="FrankRuehl"/>
                <w:szCs w:val="24"/>
                <w:rtl/>
              </w:rPr>
            </w:pPr>
          </w:p>
        </w:tc>
        <w:tc>
          <w:tcPr>
            <w:tcW w:w="3119" w:type="dxa"/>
            <w:shd w:val="clear" w:color="auto" w:fill="auto"/>
          </w:tcPr>
          <w:p w14:paraId="0C31C649" w14:textId="77777777" w:rsidR="00E254D1" w:rsidRPr="007332D3" w:rsidRDefault="00E254D1" w:rsidP="007332D3">
            <w:pPr>
              <w:pStyle w:val="P00"/>
              <w:spacing w:before="0"/>
              <w:ind w:left="0"/>
              <w:jc w:val="left"/>
              <w:rPr>
                <w:rStyle w:val="default"/>
                <w:rFonts w:cs="FrankRuehl"/>
                <w:szCs w:val="24"/>
                <w:rtl/>
              </w:rPr>
            </w:pPr>
            <w:r w:rsidRPr="007332D3">
              <w:rPr>
                <w:rStyle w:val="default"/>
                <w:rFonts w:cs="FrankRuehl" w:hint="cs"/>
                <w:szCs w:val="24"/>
                <w:rtl/>
              </w:rPr>
              <w:t>2. תאריך ושעת מילוי הדוח</w:t>
            </w:r>
          </w:p>
        </w:tc>
        <w:tc>
          <w:tcPr>
            <w:tcW w:w="3402" w:type="dxa"/>
            <w:shd w:val="clear" w:color="auto" w:fill="auto"/>
          </w:tcPr>
          <w:p w14:paraId="6C909284" w14:textId="77777777" w:rsidR="00E254D1" w:rsidRPr="007332D3" w:rsidRDefault="00E254D1" w:rsidP="007332D3">
            <w:pPr>
              <w:pStyle w:val="P00"/>
              <w:spacing w:before="0"/>
              <w:ind w:left="0"/>
              <w:jc w:val="left"/>
              <w:rPr>
                <w:rStyle w:val="default"/>
                <w:rFonts w:cs="FrankRuehl"/>
                <w:szCs w:val="24"/>
                <w:rtl/>
              </w:rPr>
            </w:pPr>
          </w:p>
        </w:tc>
      </w:tr>
      <w:tr w:rsidR="00E254D1" w:rsidRPr="007332D3" w14:paraId="048C52D8" w14:textId="77777777" w:rsidTr="007332D3">
        <w:tc>
          <w:tcPr>
            <w:tcW w:w="1417" w:type="dxa"/>
            <w:vMerge/>
            <w:shd w:val="clear" w:color="auto" w:fill="auto"/>
          </w:tcPr>
          <w:p w14:paraId="3B4E5666" w14:textId="77777777" w:rsidR="00E254D1" w:rsidRPr="007332D3" w:rsidRDefault="00E254D1" w:rsidP="007332D3">
            <w:pPr>
              <w:pStyle w:val="P00"/>
              <w:spacing w:before="0"/>
              <w:ind w:left="0"/>
              <w:jc w:val="left"/>
              <w:rPr>
                <w:rStyle w:val="default"/>
                <w:rFonts w:cs="FrankRuehl"/>
                <w:szCs w:val="24"/>
                <w:rtl/>
              </w:rPr>
            </w:pPr>
          </w:p>
        </w:tc>
        <w:tc>
          <w:tcPr>
            <w:tcW w:w="3119" w:type="dxa"/>
            <w:shd w:val="clear" w:color="auto" w:fill="auto"/>
          </w:tcPr>
          <w:p w14:paraId="47555EDF" w14:textId="77777777" w:rsidR="00E254D1" w:rsidRPr="007332D3" w:rsidRDefault="00E254D1" w:rsidP="007332D3">
            <w:pPr>
              <w:pStyle w:val="P00"/>
              <w:spacing w:before="0"/>
              <w:ind w:left="0"/>
              <w:jc w:val="left"/>
              <w:rPr>
                <w:rStyle w:val="default"/>
                <w:rFonts w:cs="FrankRuehl"/>
                <w:szCs w:val="24"/>
                <w:rtl/>
              </w:rPr>
            </w:pPr>
            <w:r w:rsidRPr="007332D3">
              <w:rPr>
                <w:rStyle w:val="default"/>
                <w:rFonts w:cs="FrankRuehl" w:hint="cs"/>
                <w:szCs w:val="24"/>
                <w:rtl/>
              </w:rPr>
              <w:t>3. פרטי ממלא הדוח (שם ומשפחה, תפקיד)</w:t>
            </w:r>
          </w:p>
        </w:tc>
        <w:tc>
          <w:tcPr>
            <w:tcW w:w="3402" w:type="dxa"/>
            <w:shd w:val="clear" w:color="auto" w:fill="auto"/>
          </w:tcPr>
          <w:p w14:paraId="312571D2" w14:textId="77777777" w:rsidR="00E254D1" w:rsidRPr="007332D3" w:rsidRDefault="00E254D1" w:rsidP="007332D3">
            <w:pPr>
              <w:pStyle w:val="P00"/>
              <w:spacing w:before="0"/>
              <w:ind w:left="0"/>
              <w:jc w:val="left"/>
              <w:rPr>
                <w:rStyle w:val="default"/>
                <w:rFonts w:cs="FrankRuehl"/>
                <w:szCs w:val="24"/>
                <w:rtl/>
              </w:rPr>
            </w:pPr>
          </w:p>
        </w:tc>
      </w:tr>
      <w:tr w:rsidR="00E254D1" w:rsidRPr="007332D3" w14:paraId="1ECA4720" w14:textId="77777777" w:rsidTr="007332D3">
        <w:tc>
          <w:tcPr>
            <w:tcW w:w="1417" w:type="dxa"/>
            <w:vMerge/>
            <w:shd w:val="clear" w:color="auto" w:fill="auto"/>
          </w:tcPr>
          <w:p w14:paraId="1652DBDF" w14:textId="77777777" w:rsidR="00E254D1" w:rsidRPr="007332D3" w:rsidRDefault="00E254D1" w:rsidP="007332D3">
            <w:pPr>
              <w:pStyle w:val="P00"/>
              <w:spacing w:before="0"/>
              <w:ind w:left="0"/>
              <w:jc w:val="left"/>
              <w:rPr>
                <w:rStyle w:val="default"/>
                <w:rFonts w:cs="FrankRuehl"/>
                <w:szCs w:val="24"/>
                <w:rtl/>
              </w:rPr>
            </w:pPr>
          </w:p>
        </w:tc>
        <w:tc>
          <w:tcPr>
            <w:tcW w:w="3119" w:type="dxa"/>
            <w:shd w:val="clear" w:color="auto" w:fill="auto"/>
          </w:tcPr>
          <w:p w14:paraId="03C9C4B8" w14:textId="77777777" w:rsidR="00E254D1" w:rsidRPr="007332D3" w:rsidRDefault="00E254D1" w:rsidP="007332D3">
            <w:pPr>
              <w:pStyle w:val="P00"/>
              <w:spacing w:before="0"/>
              <w:ind w:left="0"/>
              <w:jc w:val="left"/>
              <w:rPr>
                <w:rStyle w:val="default"/>
                <w:rFonts w:cs="FrankRuehl"/>
                <w:szCs w:val="24"/>
                <w:rtl/>
              </w:rPr>
            </w:pPr>
            <w:r w:rsidRPr="007332D3">
              <w:rPr>
                <w:rStyle w:val="default"/>
                <w:rFonts w:cs="FrankRuehl" w:hint="cs"/>
                <w:szCs w:val="24"/>
                <w:rtl/>
              </w:rPr>
              <w:t>4. השירות שנפגע</w:t>
            </w:r>
          </w:p>
        </w:tc>
        <w:tc>
          <w:tcPr>
            <w:tcW w:w="3402" w:type="dxa"/>
            <w:shd w:val="clear" w:color="auto" w:fill="auto"/>
          </w:tcPr>
          <w:p w14:paraId="6E8C7DFD" w14:textId="77777777" w:rsidR="00E254D1" w:rsidRPr="007332D3" w:rsidRDefault="00E254D1" w:rsidP="007332D3">
            <w:pPr>
              <w:pStyle w:val="P00"/>
              <w:spacing w:before="0"/>
              <w:ind w:left="0"/>
              <w:jc w:val="left"/>
              <w:rPr>
                <w:rStyle w:val="default"/>
                <w:rFonts w:cs="FrankRuehl"/>
                <w:szCs w:val="24"/>
                <w:rtl/>
              </w:rPr>
            </w:pPr>
          </w:p>
        </w:tc>
      </w:tr>
      <w:tr w:rsidR="00E254D1" w:rsidRPr="007332D3" w14:paraId="33D8898A" w14:textId="77777777" w:rsidTr="007332D3">
        <w:tc>
          <w:tcPr>
            <w:tcW w:w="1417" w:type="dxa"/>
            <w:vMerge/>
            <w:shd w:val="clear" w:color="auto" w:fill="auto"/>
          </w:tcPr>
          <w:p w14:paraId="511765F9" w14:textId="77777777" w:rsidR="00E254D1" w:rsidRPr="007332D3" w:rsidRDefault="00E254D1" w:rsidP="007332D3">
            <w:pPr>
              <w:pStyle w:val="P00"/>
              <w:spacing w:before="0"/>
              <w:ind w:left="0"/>
              <w:jc w:val="left"/>
              <w:rPr>
                <w:rStyle w:val="default"/>
                <w:rFonts w:cs="FrankRuehl"/>
                <w:szCs w:val="24"/>
                <w:rtl/>
              </w:rPr>
            </w:pPr>
          </w:p>
        </w:tc>
        <w:tc>
          <w:tcPr>
            <w:tcW w:w="3119" w:type="dxa"/>
            <w:shd w:val="clear" w:color="auto" w:fill="auto"/>
          </w:tcPr>
          <w:p w14:paraId="09AFE903" w14:textId="77777777" w:rsidR="00E254D1" w:rsidRPr="007332D3" w:rsidRDefault="00E254D1" w:rsidP="007332D3">
            <w:pPr>
              <w:pStyle w:val="P00"/>
              <w:spacing w:before="0"/>
              <w:ind w:left="0"/>
              <w:jc w:val="left"/>
              <w:rPr>
                <w:rStyle w:val="default"/>
                <w:rFonts w:cs="FrankRuehl"/>
                <w:szCs w:val="24"/>
                <w:rtl/>
              </w:rPr>
            </w:pPr>
            <w:r w:rsidRPr="007332D3">
              <w:rPr>
                <w:rStyle w:val="default"/>
                <w:rFonts w:cs="FrankRuehl" w:hint="cs"/>
                <w:szCs w:val="24"/>
                <w:rtl/>
              </w:rPr>
              <w:t>5. מספר המנויים שנפגעו</w:t>
            </w:r>
          </w:p>
        </w:tc>
        <w:tc>
          <w:tcPr>
            <w:tcW w:w="3402" w:type="dxa"/>
            <w:shd w:val="clear" w:color="auto" w:fill="auto"/>
          </w:tcPr>
          <w:p w14:paraId="3C8ACC9D" w14:textId="77777777" w:rsidR="00E254D1" w:rsidRPr="007332D3" w:rsidRDefault="00E254D1" w:rsidP="007332D3">
            <w:pPr>
              <w:pStyle w:val="P00"/>
              <w:spacing w:before="0"/>
              <w:ind w:left="0"/>
              <w:jc w:val="left"/>
              <w:rPr>
                <w:rStyle w:val="default"/>
                <w:rFonts w:cs="FrankRuehl"/>
                <w:szCs w:val="24"/>
                <w:rtl/>
              </w:rPr>
            </w:pPr>
          </w:p>
        </w:tc>
      </w:tr>
      <w:tr w:rsidR="00E254D1" w:rsidRPr="007332D3" w14:paraId="7A7E8EEE" w14:textId="77777777" w:rsidTr="007332D3">
        <w:tc>
          <w:tcPr>
            <w:tcW w:w="1417" w:type="dxa"/>
            <w:vMerge/>
            <w:shd w:val="clear" w:color="auto" w:fill="auto"/>
          </w:tcPr>
          <w:p w14:paraId="15213932" w14:textId="77777777" w:rsidR="00E254D1" w:rsidRPr="007332D3" w:rsidRDefault="00E254D1" w:rsidP="007332D3">
            <w:pPr>
              <w:pStyle w:val="P00"/>
              <w:spacing w:before="0"/>
              <w:ind w:left="0"/>
              <w:jc w:val="left"/>
              <w:rPr>
                <w:rStyle w:val="default"/>
                <w:rFonts w:cs="FrankRuehl"/>
                <w:szCs w:val="24"/>
                <w:rtl/>
              </w:rPr>
            </w:pPr>
          </w:p>
        </w:tc>
        <w:tc>
          <w:tcPr>
            <w:tcW w:w="3119" w:type="dxa"/>
            <w:shd w:val="clear" w:color="auto" w:fill="auto"/>
          </w:tcPr>
          <w:p w14:paraId="369BE046" w14:textId="77777777" w:rsidR="00E254D1" w:rsidRPr="007332D3" w:rsidRDefault="00E254D1" w:rsidP="007332D3">
            <w:pPr>
              <w:pStyle w:val="P00"/>
              <w:spacing w:before="0"/>
              <w:ind w:left="0"/>
              <w:jc w:val="left"/>
              <w:rPr>
                <w:rStyle w:val="default"/>
                <w:rFonts w:cs="FrankRuehl"/>
                <w:szCs w:val="24"/>
                <w:rtl/>
              </w:rPr>
            </w:pPr>
            <w:r w:rsidRPr="007332D3">
              <w:rPr>
                <w:rStyle w:val="default"/>
                <w:rFonts w:cs="FrankRuehl" w:hint="cs"/>
                <w:szCs w:val="24"/>
                <w:rtl/>
              </w:rPr>
              <w:t>6. משך הזמן המוערך לטיפול בתקלה</w:t>
            </w:r>
          </w:p>
        </w:tc>
        <w:tc>
          <w:tcPr>
            <w:tcW w:w="3402" w:type="dxa"/>
            <w:shd w:val="clear" w:color="auto" w:fill="auto"/>
          </w:tcPr>
          <w:p w14:paraId="14F79E3F" w14:textId="77777777" w:rsidR="00E254D1" w:rsidRPr="007332D3" w:rsidRDefault="00E254D1" w:rsidP="007332D3">
            <w:pPr>
              <w:pStyle w:val="P00"/>
              <w:spacing w:before="0"/>
              <w:ind w:left="0"/>
              <w:jc w:val="left"/>
              <w:rPr>
                <w:rStyle w:val="default"/>
                <w:rFonts w:cs="FrankRuehl"/>
                <w:szCs w:val="24"/>
                <w:rtl/>
              </w:rPr>
            </w:pPr>
          </w:p>
        </w:tc>
      </w:tr>
      <w:tr w:rsidR="00E254D1" w:rsidRPr="007332D3" w14:paraId="40086B06" w14:textId="77777777" w:rsidTr="007332D3">
        <w:tc>
          <w:tcPr>
            <w:tcW w:w="1417" w:type="dxa"/>
            <w:vMerge/>
            <w:shd w:val="clear" w:color="auto" w:fill="auto"/>
          </w:tcPr>
          <w:p w14:paraId="643E3B91" w14:textId="77777777" w:rsidR="00E254D1" w:rsidRPr="007332D3" w:rsidRDefault="00E254D1" w:rsidP="007332D3">
            <w:pPr>
              <w:pStyle w:val="P00"/>
              <w:spacing w:before="0"/>
              <w:ind w:left="0"/>
              <w:jc w:val="left"/>
              <w:rPr>
                <w:rStyle w:val="default"/>
                <w:rFonts w:cs="FrankRuehl"/>
                <w:szCs w:val="24"/>
                <w:rtl/>
              </w:rPr>
            </w:pPr>
          </w:p>
        </w:tc>
        <w:tc>
          <w:tcPr>
            <w:tcW w:w="3119" w:type="dxa"/>
            <w:shd w:val="clear" w:color="auto" w:fill="auto"/>
          </w:tcPr>
          <w:p w14:paraId="4280144D" w14:textId="77777777" w:rsidR="00E254D1" w:rsidRPr="007332D3" w:rsidRDefault="00E254D1" w:rsidP="007332D3">
            <w:pPr>
              <w:pStyle w:val="P00"/>
              <w:spacing w:before="0"/>
              <w:ind w:left="0"/>
              <w:jc w:val="left"/>
              <w:rPr>
                <w:rStyle w:val="default"/>
                <w:rFonts w:cs="FrankRuehl"/>
                <w:szCs w:val="24"/>
                <w:rtl/>
              </w:rPr>
            </w:pPr>
            <w:r w:rsidRPr="007332D3">
              <w:rPr>
                <w:rStyle w:val="default"/>
                <w:rFonts w:cs="FrankRuehl" w:hint="cs"/>
                <w:szCs w:val="24"/>
                <w:rtl/>
              </w:rPr>
              <w:t>7. תיאור התקלה</w:t>
            </w:r>
          </w:p>
        </w:tc>
        <w:tc>
          <w:tcPr>
            <w:tcW w:w="3402" w:type="dxa"/>
            <w:shd w:val="clear" w:color="auto" w:fill="auto"/>
          </w:tcPr>
          <w:p w14:paraId="469793A8" w14:textId="77777777" w:rsidR="00E254D1" w:rsidRPr="007332D3" w:rsidRDefault="00E254D1" w:rsidP="007332D3">
            <w:pPr>
              <w:pStyle w:val="P00"/>
              <w:spacing w:before="0"/>
              <w:ind w:left="0"/>
              <w:jc w:val="left"/>
              <w:rPr>
                <w:rStyle w:val="default"/>
                <w:rFonts w:cs="FrankRuehl"/>
                <w:szCs w:val="24"/>
                <w:rtl/>
              </w:rPr>
            </w:pPr>
          </w:p>
        </w:tc>
      </w:tr>
      <w:tr w:rsidR="00E254D1" w:rsidRPr="007332D3" w14:paraId="62EAC2BC" w14:textId="77777777" w:rsidTr="007332D3">
        <w:tc>
          <w:tcPr>
            <w:tcW w:w="1417" w:type="dxa"/>
            <w:vMerge/>
            <w:shd w:val="clear" w:color="auto" w:fill="auto"/>
          </w:tcPr>
          <w:p w14:paraId="1DFE9A9A" w14:textId="77777777" w:rsidR="00E254D1" w:rsidRPr="007332D3" w:rsidRDefault="00E254D1" w:rsidP="007332D3">
            <w:pPr>
              <w:pStyle w:val="P00"/>
              <w:spacing w:before="0"/>
              <w:ind w:left="0"/>
              <w:jc w:val="left"/>
              <w:rPr>
                <w:rStyle w:val="default"/>
                <w:rFonts w:cs="FrankRuehl"/>
                <w:szCs w:val="24"/>
                <w:rtl/>
              </w:rPr>
            </w:pPr>
          </w:p>
        </w:tc>
        <w:tc>
          <w:tcPr>
            <w:tcW w:w="3119" w:type="dxa"/>
            <w:shd w:val="clear" w:color="auto" w:fill="auto"/>
          </w:tcPr>
          <w:p w14:paraId="4B7DBC1E" w14:textId="77777777" w:rsidR="00E254D1" w:rsidRPr="007332D3" w:rsidRDefault="00E254D1" w:rsidP="007332D3">
            <w:pPr>
              <w:pStyle w:val="P00"/>
              <w:spacing w:before="0"/>
              <w:ind w:left="0"/>
              <w:jc w:val="left"/>
              <w:rPr>
                <w:rStyle w:val="default"/>
                <w:rFonts w:cs="FrankRuehl"/>
                <w:szCs w:val="24"/>
                <w:rtl/>
              </w:rPr>
            </w:pPr>
            <w:r w:rsidRPr="007332D3">
              <w:rPr>
                <w:rStyle w:val="default"/>
                <w:rFonts w:cs="FrankRuehl" w:hint="cs"/>
                <w:szCs w:val="24"/>
                <w:rtl/>
              </w:rPr>
              <w:t>8. מיקום גאוגרפי של מקור התקלה</w:t>
            </w:r>
          </w:p>
        </w:tc>
        <w:tc>
          <w:tcPr>
            <w:tcW w:w="3402" w:type="dxa"/>
            <w:shd w:val="clear" w:color="auto" w:fill="auto"/>
          </w:tcPr>
          <w:p w14:paraId="31A6B140" w14:textId="77777777" w:rsidR="00E254D1" w:rsidRPr="007332D3" w:rsidRDefault="00E254D1" w:rsidP="007332D3">
            <w:pPr>
              <w:pStyle w:val="P00"/>
              <w:spacing w:before="0"/>
              <w:ind w:left="0"/>
              <w:jc w:val="left"/>
              <w:rPr>
                <w:rStyle w:val="default"/>
                <w:rFonts w:cs="FrankRuehl"/>
                <w:szCs w:val="24"/>
                <w:rtl/>
              </w:rPr>
            </w:pPr>
          </w:p>
        </w:tc>
      </w:tr>
      <w:tr w:rsidR="00E254D1" w:rsidRPr="007332D3" w14:paraId="65C8E95A" w14:textId="77777777" w:rsidTr="007332D3">
        <w:tc>
          <w:tcPr>
            <w:tcW w:w="1417" w:type="dxa"/>
            <w:vMerge/>
            <w:shd w:val="clear" w:color="auto" w:fill="auto"/>
          </w:tcPr>
          <w:p w14:paraId="633D8202" w14:textId="77777777" w:rsidR="00E254D1" w:rsidRPr="007332D3" w:rsidRDefault="00E254D1" w:rsidP="007332D3">
            <w:pPr>
              <w:pStyle w:val="P00"/>
              <w:spacing w:before="0"/>
              <w:ind w:left="0"/>
              <w:jc w:val="left"/>
              <w:rPr>
                <w:rStyle w:val="default"/>
                <w:rFonts w:cs="FrankRuehl"/>
                <w:szCs w:val="24"/>
                <w:rtl/>
              </w:rPr>
            </w:pPr>
          </w:p>
        </w:tc>
        <w:tc>
          <w:tcPr>
            <w:tcW w:w="3119" w:type="dxa"/>
            <w:shd w:val="clear" w:color="auto" w:fill="auto"/>
          </w:tcPr>
          <w:p w14:paraId="49B16D27" w14:textId="77777777" w:rsidR="00E254D1" w:rsidRPr="007332D3" w:rsidRDefault="00E254D1" w:rsidP="007332D3">
            <w:pPr>
              <w:pStyle w:val="P00"/>
              <w:spacing w:before="0"/>
              <w:ind w:left="0"/>
              <w:jc w:val="left"/>
              <w:rPr>
                <w:rStyle w:val="default"/>
                <w:rFonts w:cs="FrankRuehl"/>
                <w:szCs w:val="24"/>
                <w:rtl/>
              </w:rPr>
            </w:pPr>
            <w:r w:rsidRPr="007332D3">
              <w:rPr>
                <w:rStyle w:val="default"/>
                <w:rFonts w:cs="FrankRuehl" w:hint="cs"/>
                <w:szCs w:val="24"/>
                <w:rtl/>
              </w:rPr>
              <w:t>9. האזור הגאוגרפי שמושפע מהתקלה</w:t>
            </w:r>
          </w:p>
        </w:tc>
        <w:tc>
          <w:tcPr>
            <w:tcW w:w="3402" w:type="dxa"/>
            <w:shd w:val="clear" w:color="auto" w:fill="auto"/>
          </w:tcPr>
          <w:p w14:paraId="36B5569F" w14:textId="77777777" w:rsidR="00E254D1" w:rsidRPr="007332D3" w:rsidRDefault="00E254D1" w:rsidP="007332D3">
            <w:pPr>
              <w:pStyle w:val="P00"/>
              <w:spacing w:before="0"/>
              <w:ind w:left="0"/>
              <w:jc w:val="left"/>
              <w:rPr>
                <w:rStyle w:val="default"/>
                <w:rFonts w:cs="FrankRuehl"/>
                <w:szCs w:val="24"/>
                <w:rtl/>
              </w:rPr>
            </w:pPr>
          </w:p>
        </w:tc>
      </w:tr>
      <w:tr w:rsidR="00E254D1" w:rsidRPr="007332D3" w14:paraId="798E6080" w14:textId="77777777" w:rsidTr="007332D3">
        <w:tc>
          <w:tcPr>
            <w:tcW w:w="1417" w:type="dxa"/>
            <w:vMerge/>
            <w:shd w:val="clear" w:color="auto" w:fill="auto"/>
          </w:tcPr>
          <w:p w14:paraId="67AD087F" w14:textId="77777777" w:rsidR="00E254D1" w:rsidRPr="007332D3" w:rsidRDefault="00E254D1" w:rsidP="007332D3">
            <w:pPr>
              <w:pStyle w:val="P00"/>
              <w:spacing w:before="0"/>
              <w:ind w:left="0"/>
              <w:jc w:val="left"/>
              <w:rPr>
                <w:rStyle w:val="default"/>
                <w:rFonts w:cs="FrankRuehl"/>
                <w:szCs w:val="24"/>
                <w:rtl/>
              </w:rPr>
            </w:pPr>
          </w:p>
        </w:tc>
        <w:tc>
          <w:tcPr>
            <w:tcW w:w="3119" w:type="dxa"/>
            <w:shd w:val="clear" w:color="auto" w:fill="auto"/>
          </w:tcPr>
          <w:p w14:paraId="742BD211" w14:textId="77777777" w:rsidR="00E254D1" w:rsidRPr="007332D3" w:rsidRDefault="00E254D1" w:rsidP="007332D3">
            <w:pPr>
              <w:pStyle w:val="P00"/>
              <w:spacing w:before="0"/>
              <w:ind w:left="0"/>
              <w:jc w:val="left"/>
              <w:rPr>
                <w:rStyle w:val="default"/>
                <w:rFonts w:cs="FrankRuehl"/>
                <w:szCs w:val="24"/>
                <w:rtl/>
              </w:rPr>
            </w:pPr>
            <w:r w:rsidRPr="007332D3">
              <w:rPr>
                <w:rStyle w:val="default"/>
                <w:rFonts w:cs="FrankRuehl" w:hint="cs"/>
                <w:szCs w:val="24"/>
                <w:rtl/>
              </w:rPr>
              <w:t>10. סיבת התקלה</w:t>
            </w:r>
          </w:p>
        </w:tc>
        <w:tc>
          <w:tcPr>
            <w:tcW w:w="3402" w:type="dxa"/>
            <w:shd w:val="clear" w:color="auto" w:fill="auto"/>
          </w:tcPr>
          <w:p w14:paraId="5026BF86" w14:textId="77777777" w:rsidR="00E254D1" w:rsidRPr="007332D3" w:rsidRDefault="00E254D1" w:rsidP="007332D3">
            <w:pPr>
              <w:pStyle w:val="P00"/>
              <w:spacing w:before="0"/>
              <w:ind w:left="0"/>
              <w:jc w:val="left"/>
              <w:rPr>
                <w:rStyle w:val="default"/>
                <w:rFonts w:cs="FrankRuehl"/>
                <w:szCs w:val="24"/>
                <w:rtl/>
              </w:rPr>
            </w:pPr>
          </w:p>
        </w:tc>
      </w:tr>
      <w:tr w:rsidR="00E254D1" w:rsidRPr="007332D3" w14:paraId="15A67503" w14:textId="77777777" w:rsidTr="007332D3">
        <w:tc>
          <w:tcPr>
            <w:tcW w:w="1417" w:type="dxa"/>
            <w:vMerge/>
            <w:shd w:val="clear" w:color="auto" w:fill="auto"/>
          </w:tcPr>
          <w:p w14:paraId="6619131F" w14:textId="77777777" w:rsidR="00E254D1" w:rsidRPr="007332D3" w:rsidRDefault="00E254D1" w:rsidP="007332D3">
            <w:pPr>
              <w:pStyle w:val="P00"/>
              <w:spacing w:before="0"/>
              <w:ind w:left="0"/>
              <w:jc w:val="left"/>
              <w:rPr>
                <w:rStyle w:val="default"/>
                <w:rFonts w:cs="FrankRuehl"/>
                <w:szCs w:val="24"/>
                <w:rtl/>
              </w:rPr>
            </w:pPr>
          </w:p>
        </w:tc>
        <w:tc>
          <w:tcPr>
            <w:tcW w:w="3119" w:type="dxa"/>
            <w:shd w:val="clear" w:color="auto" w:fill="auto"/>
          </w:tcPr>
          <w:p w14:paraId="6AFF7994" w14:textId="77777777" w:rsidR="00E254D1" w:rsidRPr="007332D3" w:rsidRDefault="00E254D1" w:rsidP="007332D3">
            <w:pPr>
              <w:pStyle w:val="P00"/>
              <w:spacing w:before="0"/>
              <w:ind w:left="0"/>
              <w:jc w:val="left"/>
              <w:rPr>
                <w:rStyle w:val="default"/>
                <w:rFonts w:cs="FrankRuehl"/>
                <w:szCs w:val="24"/>
                <w:rtl/>
              </w:rPr>
            </w:pPr>
            <w:r w:rsidRPr="007332D3">
              <w:rPr>
                <w:rStyle w:val="default"/>
                <w:rFonts w:cs="FrankRuehl" w:hint="cs"/>
                <w:szCs w:val="24"/>
                <w:rtl/>
              </w:rPr>
              <w:t>11. משמעויות התקלה</w:t>
            </w:r>
          </w:p>
        </w:tc>
        <w:tc>
          <w:tcPr>
            <w:tcW w:w="3402" w:type="dxa"/>
            <w:shd w:val="clear" w:color="auto" w:fill="auto"/>
          </w:tcPr>
          <w:p w14:paraId="65E8237E" w14:textId="77777777" w:rsidR="00E254D1" w:rsidRPr="007332D3" w:rsidRDefault="00E254D1" w:rsidP="007332D3">
            <w:pPr>
              <w:pStyle w:val="P00"/>
              <w:spacing w:before="0"/>
              <w:ind w:left="0"/>
              <w:jc w:val="left"/>
              <w:rPr>
                <w:rStyle w:val="default"/>
                <w:rFonts w:cs="FrankRuehl"/>
                <w:szCs w:val="24"/>
                <w:rtl/>
              </w:rPr>
            </w:pPr>
          </w:p>
        </w:tc>
      </w:tr>
      <w:tr w:rsidR="00E254D1" w:rsidRPr="007332D3" w14:paraId="738FF7AE" w14:textId="77777777" w:rsidTr="007332D3">
        <w:tc>
          <w:tcPr>
            <w:tcW w:w="1417" w:type="dxa"/>
            <w:vMerge/>
            <w:shd w:val="clear" w:color="auto" w:fill="auto"/>
          </w:tcPr>
          <w:p w14:paraId="2DE3BE92" w14:textId="77777777" w:rsidR="00E254D1" w:rsidRPr="007332D3" w:rsidRDefault="00E254D1" w:rsidP="007332D3">
            <w:pPr>
              <w:pStyle w:val="P00"/>
              <w:spacing w:before="0"/>
              <w:ind w:left="0"/>
              <w:jc w:val="left"/>
              <w:rPr>
                <w:rStyle w:val="default"/>
                <w:rFonts w:cs="FrankRuehl"/>
                <w:szCs w:val="24"/>
                <w:rtl/>
              </w:rPr>
            </w:pPr>
          </w:p>
        </w:tc>
        <w:tc>
          <w:tcPr>
            <w:tcW w:w="3119" w:type="dxa"/>
            <w:shd w:val="clear" w:color="auto" w:fill="auto"/>
          </w:tcPr>
          <w:p w14:paraId="1512AFA6" w14:textId="77777777" w:rsidR="00E254D1" w:rsidRPr="007332D3" w:rsidRDefault="00E254D1" w:rsidP="007332D3">
            <w:pPr>
              <w:pStyle w:val="P00"/>
              <w:spacing w:before="0"/>
              <w:ind w:left="0"/>
              <w:jc w:val="left"/>
              <w:rPr>
                <w:rStyle w:val="default"/>
                <w:rFonts w:cs="FrankRuehl" w:hint="cs"/>
                <w:szCs w:val="24"/>
                <w:rtl/>
              </w:rPr>
            </w:pPr>
            <w:r w:rsidRPr="007332D3">
              <w:rPr>
                <w:rStyle w:val="default"/>
                <w:rFonts w:cs="FrankRuehl" w:hint="cs"/>
                <w:szCs w:val="24"/>
                <w:rtl/>
              </w:rPr>
              <w:t>12. זמני האירוע המיוחד מתחילתו ועד סופו</w:t>
            </w:r>
          </w:p>
        </w:tc>
        <w:tc>
          <w:tcPr>
            <w:tcW w:w="3402" w:type="dxa"/>
            <w:shd w:val="clear" w:color="auto" w:fill="auto"/>
          </w:tcPr>
          <w:p w14:paraId="08E92729" w14:textId="77777777" w:rsidR="00E254D1" w:rsidRPr="007332D3" w:rsidRDefault="00E254D1" w:rsidP="007332D3">
            <w:pPr>
              <w:pStyle w:val="P00"/>
              <w:spacing w:before="0"/>
              <w:ind w:left="0"/>
              <w:jc w:val="left"/>
              <w:rPr>
                <w:rStyle w:val="default"/>
                <w:rFonts w:cs="FrankRuehl"/>
                <w:szCs w:val="24"/>
                <w:rtl/>
              </w:rPr>
            </w:pPr>
          </w:p>
        </w:tc>
      </w:tr>
      <w:tr w:rsidR="00E254D1" w:rsidRPr="007332D3" w14:paraId="402EBE58" w14:textId="77777777" w:rsidTr="007332D3">
        <w:tc>
          <w:tcPr>
            <w:tcW w:w="1417" w:type="dxa"/>
            <w:vMerge/>
            <w:shd w:val="clear" w:color="auto" w:fill="auto"/>
          </w:tcPr>
          <w:p w14:paraId="751DB95B" w14:textId="77777777" w:rsidR="00E254D1" w:rsidRPr="007332D3" w:rsidRDefault="00E254D1" w:rsidP="007332D3">
            <w:pPr>
              <w:pStyle w:val="P00"/>
              <w:spacing w:before="0"/>
              <w:ind w:left="0"/>
              <w:jc w:val="left"/>
              <w:rPr>
                <w:rStyle w:val="default"/>
                <w:rFonts w:cs="FrankRuehl"/>
                <w:szCs w:val="24"/>
                <w:rtl/>
              </w:rPr>
            </w:pPr>
          </w:p>
        </w:tc>
        <w:tc>
          <w:tcPr>
            <w:tcW w:w="3119" w:type="dxa"/>
            <w:shd w:val="clear" w:color="auto" w:fill="auto"/>
          </w:tcPr>
          <w:p w14:paraId="105CCEAC" w14:textId="77777777" w:rsidR="00E254D1" w:rsidRPr="007332D3" w:rsidRDefault="00E254D1" w:rsidP="007332D3">
            <w:pPr>
              <w:pStyle w:val="P00"/>
              <w:spacing w:before="0"/>
              <w:ind w:left="0"/>
              <w:jc w:val="left"/>
              <w:rPr>
                <w:rStyle w:val="default"/>
                <w:rFonts w:cs="FrankRuehl"/>
                <w:szCs w:val="24"/>
                <w:rtl/>
              </w:rPr>
            </w:pPr>
            <w:r w:rsidRPr="007332D3">
              <w:rPr>
                <w:rStyle w:val="default"/>
                <w:rFonts w:cs="FrankRuehl" w:hint="cs"/>
                <w:szCs w:val="24"/>
                <w:rtl/>
              </w:rPr>
              <w:t>13. היקף התקלה</w:t>
            </w:r>
          </w:p>
        </w:tc>
        <w:tc>
          <w:tcPr>
            <w:tcW w:w="3402" w:type="dxa"/>
            <w:shd w:val="clear" w:color="auto" w:fill="auto"/>
          </w:tcPr>
          <w:p w14:paraId="537164A4" w14:textId="77777777" w:rsidR="00E254D1" w:rsidRPr="007332D3" w:rsidRDefault="00E254D1" w:rsidP="007332D3">
            <w:pPr>
              <w:pStyle w:val="P00"/>
              <w:spacing w:before="0"/>
              <w:ind w:left="0"/>
              <w:jc w:val="left"/>
              <w:rPr>
                <w:rStyle w:val="default"/>
                <w:rFonts w:cs="FrankRuehl"/>
                <w:szCs w:val="24"/>
                <w:rtl/>
              </w:rPr>
            </w:pPr>
          </w:p>
        </w:tc>
      </w:tr>
      <w:tr w:rsidR="00E254D1" w:rsidRPr="007332D3" w14:paraId="316FC600" w14:textId="77777777" w:rsidTr="007332D3">
        <w:tc>
          <w:tcPr>
            <w:tcW w:w="1417" w:type="dxa"/>
            <w:vMerge/>
            <w:shd w:val="clear" w:color="auto" w:fill="auto"/>
          </w:tcPr>
          <w:p w14:paraId="5C491CD8" w14:textId="77777777" w:rsidR="00E254D1" w:rsidRPr="007332D3" w:rsidRDefault="00E254D1" w:rsidP="007332D3">
            <w:pPr>
              <w:pStyle w:val="P00"/>
              <w:spacing w:before="0"/>
              <w:ind w:left="0"/>
              <w:jc w:val="left"/>
              <w:rPr>
                <w:rStyle w:val="default"/>
                <w:rFonts w:cs="FrankRuehl"/>
                <w:szCs w:val="24"/>
                <w:rtl/>
              </w:rPr>
            </w:pPr>
          </w:p>
        </w:tc>
        <w:tc>
          <w:tcPr>
            <w:tcW w:w="3119" w:type="dxa"/>
            <w:shd w:val="clear" w:color="auto" w:fill="auto"/>
          </w:tcPr>
          <w:p w14:paraId="7BE4735D" w14:textId="77777777" w:rsidR="00E254D1" w:rsidRPr="007332D3" w:rsidRDefault="00E254D1" w:rsidP="007332D3">
            <w:pPr>
              <w:pStyle w:val="P00"/>
              <w:spacing w:before="0"/>
              <w:ind w:left="0"/>
              <w:jc w:val="left"/>
              <w:rPr>
                <w:rStyle w:val="default"/>
                <w:rFonts w:cs="FrankRuehl"/>
                <w:szCs w:val="24"/>
                <w:rtl/>
              </w:rPr>
            </w:pPr>
            <w:r w:rsidRPr="007332D3">
              <w:rPr>
                <w:rStyle w:val="default"/>
                <w:rFonts w:cs="FrankRuehl" w:hint="cs"/>
                <w:szCs w:val="24"/>
                <w:rtl/>
              </w:rPr>
              <w:t>14. הפעולות שננקטו לטיפול בתקלה</w:t>
            </w:r>
          </w:p>
        </w:tc>
        <w:tc>
          <w:tcPr>
            <w:tcW w:w="3402" w:type="dxa"/>
            <w:shd w:val="clear" w:color="auto" w:fill="auto"/>
          </w:tcPr>
          <w:p w14:paraId="062AC261" w14:textId="77777777" w:rsidR="00E254D1" w:rsidRPr="007332D3" w:rsidRDefault="00E254D1" w:rsidP="007332D3">
            <w:pPr>
              <w:pStyle w:val="P00"/>
              <w:spacing w:before="0"/>
              <w:ind w:left="0"/>
              <w:jc w:val="left"/>
              <w:rPr>
                <w:rStyle w:val="default"/>
                <w:rFonts w:cs="FrankRuehl"/>
                <w:szCs w:val="24"/>
                <w:rtl/>
              </w:rPr>
            </w:pPr>
          </w:p>
        </w:tc>
      </w:tr>
      <w:tr w:rsidR="00E254D1" w:rsidRPr="007332D3" w14:paraId="1197BA61" w14:textId="77777777" w:rsidTr="007332D3">
        <w:tc>
          <w:tcPr>
            <w:tcW w:w="1417" w:type="dxa"/>
            <w:vMerge/>
            <w:shd w:val="clear" w:color="auto" w:fill="auto"/>
          </w:tcPr>
          <w:p w14:paraId="280BC1C6" w14:textId="77777777" w:rsidR="00E254D1" w:rsidRPr="007332D3" w:rsidRDefault="00E254D1" w:rsidP="007332D3">
            <w:pPr>
              <w:pStyle w:val="P00"/>
              <w:spacing w:before="0"/>
              <w:ind w:left="0"/>
              <w:jc w:val="left"/>
              <w:rPr>
                <w:rStyle w:val="default"/>
                <w:rFonts w:cs="FrankRuehl"/>
                <w:szCs w:val="24"/>
                <w:rtl/>
              </w:rPr>
            </w:pPr>
          </w:p>
        </w:tc>
        <w:tc>
          <w:tcPr>
            <w:tcW w:w="3119" w:type="dxa"/>
            <w:shd w:val="clear" w:color="auto" w:fill="auto"/>
          </w:tcPr>
          <w:p w14:paraId="66157F40" w14:textId="77777777" w:rsidR="00E254D1" w:rsidRPr="007332D3" w:rsidRDefault="00E254D1" w:rsidP="007332D3">
            <w:pPr>
              <w:pStyle w:val="P00"/>
              <w:spacing w:before="0"/>
              <w:ind w:left="0"/>
              <w:jc w:val="left"/>
              <w:rPr>
                <w:rStyle w:val="default"/>
                <w:rFonts w:cs="FrankRuehl"/>
                <w:szCs w:val="24"/>
                <w:rtl/>
              </w:rPr>
            </w:pPr>
            <w:r w:rsidRPr="007332D3">
              <w:rPr>
                <w:rStyle w:val="default"/>
                <w:rFonts w:cs="FrankRuehl" w:hint="cs"/>
                <w:szCs w:val="24"/>
                <w:rtl/>
              </w:rPr>
              <w:t>15. הפעולות המתוכננות למניעת הישנות אירועים דומים, אם יש</w:t>
            </w:r>
          </w:p>
        </w:tc>
        <w:tc>
          <w:tcPr>
            <w:tcW w:w="3402" w:type="dxa"/>
            <w:shd w:val="clear" w:color="auto" w:fill="auto"/>
          </w:tcPr>
          <w:p w14:paraId="61BFAE89" w14:textId="77777777" w:rsidR="00E254D1" w:rsidRPr="007332D3" w:rsidRDefault="00E254D1" w:rsidP="007332D3">
            <w:pPr>
              <w:pStyle w:val="P00"/>
              <w:spacing w:before="0"/>
              <w:ind w:left="0"/>
              <w:jc w:val="left"/>
              <w:rPr>
                <w:rStyle w:val="default"/>
                <w:rFonts w:cs="FrankRuehl"/>
                <w:szCs w:val="24"/>
                <w:rtl/>
              </w:rPr>
            </w:pPr>
          </w:p>
        </w:tc>
      </w:tr>
    </w:tbl>
    <w:p w14:paraId="04D5D157" w14:textId="77777777" w:rsidR="006D17B5" w:rsidRDefault="006D17B5">
      <w:pPr>
        <w:pStyle w:val="P00"/>
        <w:spacing w:before="72"/>
        <w:ind w:left="0" w:right="1134"/>
        <w:rPr>
          <w:rStyle w:val="default"/>
          <w:rFonts w:cs="FrankRuehl"/>
          <w:rtl/>
        </w:rPr>
      </w:pPr>
    </w:p>
    <w:p w14:paraId="19CCAFA1" w14:textId="77777777" w:rsidR="003223E0" w:rsidRDefault="003223E0">
      <w:pPr>
        <w:pStyle w:val="P00"/>
        <w:spacing w:before="72"/>
        <w:ind w:left="0" w:right="1134"/>
        <w:rPr>
          <w:rStyle w:val="default"/>
          <w:rFonts w:cs="FrankRuehl" w:hint="cs"/>
          <w:rtl/>
        </w:rPr>
      </w:pPr>
    </w:p>
    <w:p w14:paraId="5C7A6FBB" w14:textId="77777777" w:rsidR="00B8081D" w:rsidRDefault="00E254D1" w:rsidP="001E2DBA">
      <w:pPr>
        <w:pStyle w:val="sig-0"/>
        <w:tabs>
          <w:tab w:val="clear" w:pos="4820"/>
          <w:tab w:val="center" w:pos="5670"/>
        </w:tabs>
        <w:spacing w:before="72"/>
        <w:ind w:left="0" w:right="1134"/>
        <w:rPr>
          <w:rtl/>
        </w:rPr>
      </w:pPr>
      <w:r>
        <w:rPr>
          <w:rFonts w:hint="cs"/>
          <w:rtl/>
        </w:rPr>
        <w:t>ח' בחשוון התשפ"א (26 באוקטובר 2020</w:t>
      </w:r>
      <w:r w:rsidR="00B8081D">
        <w:rPr>
          <w:rFonts w:hint="cs"/>
          <w:rtl/>
        </w:rPr>
        <w:t>)</w:t>
      </w:r>
      <w:r w:rsidR="00B8081D">
        <w:rPr>
          <w:rtl/>
        </w:rPr>
        <w:tab/>
      </w:r>
      <w:r>
        <w:rPr>
          <w:rFonts w:hint="cs"/>
          <w:rtl/>
        </w:rPr>
        <w:t>יועז הנדל</w:t>
      </w:r>
    </w:p>
    <w:p w14:paraId="601D3445" w14:textId="77777777" w:rsidR="00B8081D" w:rsidRDefault="00B8081D" w:rsidP="001E2DBA">
      <w:pPr>
        <w:pStyle w:val="sig-0"/>
        <w:tabs>
          <w:tab w:val="clear" w:pos="4820"/>
          <w:tab w:val="center" w:pos="5670"/>
        </w:tabs>
        <w:spacing w:before="0"/>
        <w:ind w:left="0" w:right="1134"/>
        <w:rPr>
          <w:rFonts w:hint="cs"/>
          <w:sz w:val="22"/>
          <w:szCs w:val="22"/>
          <w:rtl/>
        </w:rPr>
      </w:pPr>
      <w:r w:rsidRPr="00890542">
        <w:rPr>
          <w:sz w:val="22"/>
          <w:szCs w:val="22"/>
          <w:rtl/>
        </w:rPr>
        <w:tab/>
      </w:r>
      <w:r w:rsidR="0080391C">
        <w:rPr>
          <w:rFonts w:hint="cs"/>
          <w:sz w:val="22"/>
          <w:szCs w:val="22"/>
          <w:rtl/>
        </w:rPr>
        <w:t xml:space="preserve">שר </w:t>
      </w:r>
      <w:r w:rsidR="00D53217">
        <w:rPr>
          <w:rFonts w:hint="cs"/>
          <w:sz w:val="22"/>
          <w:szCs w:val="22"/>
          <w:rtl/>
        </w:rPr>
        <w:t>התקשורת</w:t>
      </w:r>
    </w:p>
    <w:p w14:paraId="5B6B2503" w14:textId="77777777" w:rsidR="006D17B5" w:rsidRPr="00690184" w:rsidRDefault="006D17B5" w:rsidP="00690184">
      <w:pPr>
        <w:pStyle w:val="P00"/>
        <w:spacing w:before="72"/>
        <w:ind w:left="0" w:right="1134"/>
        <w:rPr>
          <w:rStyle w:val="default"/>
          <w:rFonts w:cs="FrankRuehl" w:hint="cs"/>
          <w:rtl/>
        </w:rPr>
      </w:pPr>
    </w:p>
    <w:p w14:paraId="3877DE26" w14:textId="77777777" w:rsidR="00690184" w:rsidRPr="00690184" w:rsidRDefault="00690184" w:rsidP="00690184">
      <w:pPr>
        <w:pStyle w:val="P00"/>
        <w:spacing w:before="72"/>
        <w:ind w:left="0" w:right="1134"/>
        <w:rPr>
          <w:rStyle w:val="default"/>
          <w:rFonts w:cs="FrankRuehl"/>
          <w:rtl/>
        </w:rPr>
      </w:pPr>
    </w:p>
    <w:p w14:paraId="69922D85" w14:textId="77777777" w:rsidR="00B8081D" w:rsidRPr="00690184" w:rsidRDefault="00B8081D" w:rsidP="00690184">
      <w:pPr>
        <w:pStyle w:val="P00"/>
        <w:spacing w:before="72"/>
        <w:ind w:left="0" w:right="1134"/>
        <w:rPr>
          <w:rStyle w:val="default"/>
          <w:rFonts w:cs="FrankRuehl"/>
          <w:rtl/>
        </w:rPr>
      </w:pPr>
      <w:bookmarkStart w:id="10" w:name="LawPartEnd"/>
    </w:p>
    <w:bookmarkEnd w:id="10"/>
    <w:p w14:paraId="27E93FBA" w14:textId="77777777" w:rsidR="008570EE" w:rsidRDefault="008570EE" w:rsidP="00690184">
      <w:pPr>
        <w:pStyle w:val="P00"/>
        <w:spacing w:before="72"/>
        <w:ind w:left="0" w:right="1134"/>
        <w:rPr>
          <w:rStyle w:val="default"/>
          <w:rFonts w:cs="FrankRuehl"/>
          <w:rtl/>
        </w:rPr>
      </w:pPr>
    </w:p>
    <w:p w14:paraId="3A3E9870" w14:textId="77777777" w:rsidR="008570EE" w:rsidRDefault="008570EE" w:rsidP="00690184">
      <w:pPr>
        <w:pStyle w:val="P00"/>
        <w:spacing w:before="72"/>
        <w:ind w:left="0" w:right="1134"/>
        <w:rPr>
          <w:rStyle w:val="default"/>
          <w:rFonts w:cs="FrankRuehl"/>
          <w:rtl/>
        </w:rPr>
      </w:pPr>
    </w:p>
    <w:p w14:paraId="0E6AE0AD" w14:textId="77777777" w:rsidR="008570EE" w:rsidRDefault="008570EE" w:rsidP="008570EE">
      <w:pPr>
        <w:pStyle w:val="P00"/>
        <w:spacing w:before="72"/>
        <w:ind w:left="0" w:right="1134"/>
        <w:jc w:val="center"/>
        <w:rPr>
          <w:rStyle w:val="default"/>
          <w:rFonts w:cs="David"/>
          <w:color w:val="0000FF"/>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14:paraId="3539F41C" w14:textId="77777777" w:rsidR="00A82A66" w:rsidRPr="008570EE" w:rsidRDefault="00A82A66" w:rsidP="008570EE">
      <w:pPr>
        <w:pStyle w:val="P00"/>
        <w:spacing w:before="72"/>
        <w:ind w:left="0" w:right="1134"/>
        <w:jc w:val="center"/>
        <w:rPr>
          <w:rStyle w:val="default"/>
          <w:rFonts w:cs="David"/>
          <w:color w:val="0000FF"/>
          <w:szCs w:val="24"/>
          <w:u w:val="single"/>
          <w:rtl/>
        </w:rPr>
      </w:pPr>
    </w:p>
    <w:sectPr w:rsidR="00A82A66" w:rsidRPr="008570EE">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0E1EA" w14:textId="77777777" w:rsidR="003D173F" w:rsidRDefault="003D173F">
      <w:r>
        <w:separator/>
      </w:r>
    </w:p>
  </w:endnote>
  <w:endnote w:type="continuationSeparator" w:id="0">
    <w:p w14:paraId="588F0181" w14:textId="77777777" w:rsidR="003D173F" w:rsidRDefault="003D1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3F9E0" w14:textId="77777777" w:rsidR="00E64455" w:rsidRDefault="00E6445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FF5ED67" w14:textId="77777777" w:rsidR="00E64455" w:rsidRDefault="00E6445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8A158E5" w14:textId="77777777" w:rsidR="00E64455" w:rsidRDefault="00E6445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B56E5">
      <w:rPr>
        <w:rFonts w:cs="TopType Jerushalmi"/>
        <w:noProof/>
        <w:color w:val="000000"/>
        <w:sz w:val="14"/>
        <w:szCs w:val="14"/>
      </w:rPr>
      <w:t>Z:\000-law\yael\10-11-02-1\tav\500_394.doc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1B85E" w14:textId="77777777" w:rsidR="00E64455" w:rsidRDefault="00E6445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570EE">
      <w:rPr>
        <w:rFonts w:hAnsi="FrankRuehl" w:cs="FrankRuehl"/>
        <w:noProof/>
        <w:sz w:val="24"/>
        <w:szCs w:val="24"/>
        <w:rtl/>
      </w:rPr>
      <w:t>5</w:t>
    </w:r>
    <w:r>
      <w:rPr>
        <w:rFonts w:hAnsi="FrankRuehl" w:cs="FrankRuehl"/>
        <w:sz w:val="24"/>
        <w:szCs w:val="24"/>
        <w:rtl/>
      </w:rPr>
      <w:fldChar w:fldCharType="end"/>
    </w:r>
  </w:p>
  <w:p w14:paraId="0E3A8D8C" w14:textId="77777777" w:rsidR="00E64455" w:rsidRDefault="00E6445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754EB75" w14:textId="77777777" w:rsidR="00E64455" w:rsidRDefault="00E6445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B56E5">
      <w:rPr>
        <w:rFonts w:cs="TopType Jerushalmi"/>
        <w:noProof/>
        <w:color w:val="000000"/>
        <w:sz w:val="14"/>
        <w:szCs w:val="14"/>
      </w:rPr>
      <w:t>Z:\000-law\yael\10-11-02-1\tav\500_394.doc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F475D" w14:textId="77777777" w:rsidR="003D173F" w:rsidRDefault="003D173F" w:rsidP="00690184">
      <w:pPr>
        <w:spacing w:before="60" w:line="240" w:lineRule="auto"/>
        <w:ind w:right="1134"/>
      </w:pPr>
      <w:r>
        <w:separator/>
      </w:r>
    </w:p>
  </w:footnote>
  <w:footnote w:type="continuationSeparator" w:id="0">
    <w:p w14:paraId="1A141051" w14:textId="77777777" w:rsidR="003D173F" w:rsidRDefault="003D173F">
      <w:r>
        <w:continuationSeparator/>
      </w:r>
    </w:p>
  </w:footnote>
  <w:footnote w:id="1">
    <w:p w14:paraId="274927DE" w14:textId="77777777" w:rsidR="003F53CE" w:rsidRPr="00604EF9" w:rsidRDefault="00E64455" w:rsidP="003F53C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690184">
        <w:rPr>
          <w:sz w:val="20"/>
          <w:rtl/>
        </w:rPr>
        <w:t xml:space="preserve">* </w:t>
      </w:r>
      <w:r>
        <w:rPr>
          <w:sz w:val="20"/>
          <w:rtl/>
        </w:rPr>
        <w:t>פ</w:t>
      </w:r>
      <w:r>
        <w:rPr>
          <w:rFonts w:hint="cs"/>
          <w:sz w:val="20"/>
          <w:rtl/>
        </w:rPr>
        <w:t xml:space="preserve">ורסמו </w:t>
      </w:r>
      <w:hyperlink r:id="rId1" w:history="1">
        <w:r w:rsidRPr="003F53CE">
          <w:rPr>
            <w:rStyle w:val="Hyperlink"/>
            <w:rFonts w:hint="cs"/>
            <w:sz w:val="20"/>
            <w:rtl/>
          </w:rPr>
          <w:t xml:space="preserve">ק"ת </w:t>
        </w:r>
        <w:r w:rsidR="006D17B5" w:rsidRPr="003F53CE">
          <w:rPr>
            <w:rStyle w:val="Hyperlink"/>
            <w:rFonts w:hint="cs"/>
            <w:sz w:val="20"/>
            <w:rtl/>
          </w:rPr>
          <w:t>תשפ"א</w:t>
        </w:r>
        <w:r w:rsidRPr="003F53CE">
          <w:rPr>
            <w:rStyle w:val="Hyperlink"/>
            <w:rFonts w:hint="cs"/>
            <w:sz w:val="20"/>
            <w:rtl/>
          </w:rPr>
          <w:t xml:space="preserve"> מס' </w:t>
        </w:r>
        <w:r w:rsidR="006D17B5" w:rsidRPr="003F53CE">
          <w:rPr>
            <w:rStyle w:val="Hyperlink"/>
            <w:rFonts w:hint="cs"/>
            <w:sz w:val="20"/>
            <w:rtl/>
          </w:rPr>
          <w:t>8856</w:t>
        </w:r>
      </w:hyperlink>
      <w:r>
        <w:rPr>
          <w:rFonts w:hint="cs"/>
          <w:sz w:val="20"/>
          <w:rtl/>
        </w:rPr>
        <w:t xml:space="preserve"> מיום </w:t>
      </w:r>
      <w:r w:rsidR="006D17B5">
        <w:rPr>
          <w:rFonts w:hint="cs"/>
          <w:sz w:val="20"/>
          <w:rtl/>
        </w:rPr>
        <w:t xml:space="preserve">28.10.2020 </w:t>
      </w:r>
      <w:r>
        <w:rPr>
          <w:rFonts w:hint="cs"/>
          <w:sz w:val="20"/>
          <w:rtl/>
        </w:rPr>
        <w:t xml:space="preserve">עמ' </w:t>
      </w:r>
      <w:r w:rsidR="006D17B5">
        <w:rPr>
          <w:rFonts w:hint="cs"/>
          <w:sz w:val="20"/>
          <w:rtl/>
        </w:rPr>
        <w:t>284</w:t>
      </w:r>
      <w:r>
        <w:rPr>
          <w:rFonts w:hint="cs"/>
          <w:sz w:val="20"/>
          <w:rtl/>
        </w:rPr>
        <w:t>.</w:t>
      </w:r>
    </w:p>
  </w:footnote>
  <w:footnote w:id="2">
    <w:p w14:paraId="3C8B3974" w14:textId="77777777" w:rsidR="005002B8" w:rsidRDefault="005002B8" w:rsidP="005002B8">
      <w:pPr>
        <w:pStyle w:val="a5"/>
        <w:spacing w:before="72" w:line="240" w:lineRule="auto"/>
        <w:ind w:right="1134"/>
        <w:rPr>
          <w:rFonts w:hint="cs"/>
        </w:rPr>
      </w:pPr>
      <w:r>
        <w:rPr>
          <w:rStyle w:val="a6"/>
        </w:rPr>
        <w:footnoteRef/>
      </w:r>
      <w:r w:rsidRPr="005002B8">
        <w:rPr>
          <w:rFonts w:ascii="FrankRuehl" w:hAnsi="FrankRuehl" w:cs="FrankRuehl"/>
          <w:sz w:val="22"/>
          <w:szCs w:val="22"/>
          <w:rtl/>
        </w:rPr>
        <w:t xml:space="preserve"> ר' </w:t>
      </w:r>
      <w:hyperlink r:id="rId2" w:history="1">
        <w:r w:rsidRPr="005002B8">
          <w:rPr>
            <w:rStyle w:val="Hyperlink"/>
            <w:rFonts w:ascii="FrankRuehl" w:hAnsi="FrankRuehl" w:cs="FrankRuehl" w:hint="cs"/>
            <w:sz w:val="22"/>
            <w:szCs w:val="22"/>
            <w:rtl/>
          </w:rPr>
          <w:t>י"פ תשפ"א מס' 9280</w:t>
        </w:r>
      </w:hyperlink>
      <w:r w:rsidRPr="005002B8">
        <w:rPr>
          <w:rFonts w:ascii="FrankRuehl" w:hAnsi="FrankRuehl" w:cs="FrankRuehl"/>
          <w:sz w:val="22"/>
          <w:szCs w:val="22"/>
          <w:rtl/>
        </w:rPr>
        <w:t xml:space="preserve"> מיום 8.12.2020 עמ' 1957.</w:t>
      </w:r>
      <w:r w:rsidR="000D6C1D">
        <w:rPr>
          <w:rFonts w:ascii="FrankRuehl" w:hAnsi="FrankRuehl" w:cs="FrankRuehl" w:hint="cs"/>
          <w:sz w:val="22"/>
          <w:szCs w:val="22"/>
          <w:rtl/>
        </w:rPr>
        <w:t xml:space="preserve"> </w:t>
      </w:r>
      <w:hyperlink r:id="rId3" w:history="1">
        <w:r w:rsidR="000D6C1D" w:rsidRPr="000D6C1D">
          <w:rPr>
            <w:rStyle w:val="Hyperlink"/>
            <w:rFonts w:ascii="FrankRuehl" w:hAnsi="FrankRuehl" w:cs="FrankRuehl" w:hint="cs"/>
            <w:sz w:val="22"/>
            <w:szCs w:val="22"/>
            <w:rtl/>
          </w:rPr>
          <w:t>י"פ תשפ"ג מס' 11288</w:t>
        </w:r>
      </w:hyperlink>
      <w:r w:rsidR="000D6C1D">
        <w:rPr>
          <w:rFonts w:ascii="FrankRuehl" w:hAnsi="FrankRuehl" w:cs="FrankRuehl" w:hint="cs"/>
          <w:sz w:val="22"/>
          <w:szCs w:val="22"/>
          <w:rtl/>
        </w:rPr>
        <w:t xml:space="preserve"> מיום 20.4.2023 עמ' 5695.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00AD7" w14:textId="77777777" w:rsidR="00E64455" w:rsidRDefault="00E6445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הנמלים (הכרזת נמל מרינה אשקלון), תשנ"ה–1994</w:t>
    </w:r>
  </w:p>
  <w:p w14:paraId="71CCA5DB" w14:textId="77777777" w:rsidR="00E64455" w:rsidRDefault="00E6445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303C066" w14:textId="77777777" w:rsidR="00E64455" w:rsidRDefault="00E6445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6D75C" w14:textId="77777777" w:rsidR="00E64455" w:rsidRDefault="00E64455" w:rsidP="00A00973">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F34CBA">
      <w:rPr>
        <w:rFonts w:hAnsi="FrankRuehl" w:cs="FrankRuehl" w:hint="cs"/>
        <w:color w:val="000000"/>
        <w:sz w:val="28"/>
        <w:szCs w:val="28"/>
        <w:rtl/>
      </w:rPr>
      <w:t>התקשורת (בזק ושידורים) (</w:t>
    </w:r>
    <w:r w:rsidR="006D17B5">
      <w:rPr>
        <w:rFonts w:hAnsi="FrankRuehl" w:cs="FrankRuehl" w:hint="cs"/>
        <w:color w:val="000000"/>
        <w:sz w:val="28"/>
        <w:szCs w:val="28"/>
        <w:rtl/>
      </w:rPr>
      <w:t>דיווח של בעל רישיון על אירוע מיוחד), תשפ"א-2020</w:t>
    </w:r>
  </w:p>
  <w:p w14:paraId="1F60B7F8" w14:textId="77777777" w:rsidR="00E64455" w:rsidRDefault="00E6445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C7E6CE0" w14:textId="77777777" w:rsidR="00E64455" w:rsidRDefault="00E6445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63E6"/>
    <w:rsid w:val="000260B2"/>
    <w:rsid w:val="000663A0"/>
    <w:rsid w:val="00071570"/>
    <w:rsid w:val="000728BA"/>
    <w:rsid w:val="00076535"/>
    <w:rsid w:val="00082084"/>
    <w:rsid w:val="000916DF"/>
    <w:rsid w:val="000A0156"/>
    <w:rsid w:val="000C1BAA"/>
    <w:rsid w:val="000C5444"/>
    <w:rsid w:val="000D6C1D"/>
    <w:rsid w:val="000E270B"/>
    <w:rsid w:val="000F09AC"/>
    <w:rsid w:val="00110378"/>
    <w:rsid w:val="00134000"/>
    <w:rsid w:val="00134807"/>
    <w:rsid w:val="001464CE"/>
    <w:rsid w:val="00147FC5"/>
    <w:rsid w:val="00155D53"/>
    <w:rsid w:val="0015712C"/>
    <w:rsid w:val="00187036"/>
    <w:rsid w:val="00191538"/>
    <w:rsid w:val="001A172E"/>
    <w:rsid w:val="001A4318"/>
    <w:rsid w:val="001B0AF8"/>
    <w:rsid w:val="001D3F8D"/>
    <w:rsid w:val="001E2DBA"/>
    <w:rsid w:val="00205608"/>
    <w:rsid w:val="0021165C"/>
    <w:rsid w:val="00212AC9"/>
    <w:rsid w:val="00213465"/>
    <w:rsid w:val="0021566B"/>
    <w:rsid w:val="002206D6"/>
    <w:rsid w:val="002445CF"/>
    <w:rsid w:val="00255C3E"/>
    <w:rsid w:val="00274A6D"/>
    <w:rsid w:val="00277901"/>
    <w:rsid w:val="0028727B"/>
    <w:rsid w:val="002925F8"/>
    <w:rsid w:val="002A265F"/>
    <w:rsid w:val="002A7F36"/>
    <w:rsid w:val="002B1569"/>
    <w:rsid w:val="002B6AA8"/>
    <w:rsid w:val="002D5A21"/>
    <w:rsid w:val="002D5C73"/>
    <w:rsid w:val="002D5FF9"/>
    <w:rsid w:val="002D77DC"/>
    <w:rsid w:val="002E4F59"/>
    <w:rsid w:val="002E5536"/>
    <w:rsid w:val="003013DC"/>
    <w:rsid w:val="00305A08"/>
    <w:rsid w:val="003075A0"/>
    <w:rsid w:val="00317887"/>
    <w:rsid w:val="003223E0"/>
    <w:rsid w:val="003235A0"/>
    <w:rsid w:val="0032663E"/>
    <w:rsid w:val="00332D82"/>
    <w:rsid w:val="00347DEE"/>
    <w:rsid w:val="003536F6"/>
    <w:rsid w:val="003651D4"/>
    <w:rsid w:val="00374FBE"/>
    <w:rsid w:val="00381203"/>
    <w:rsid w:val="00382450"/>
    <w:rsid w:val="003841A9"/>
    <w:rsid w:val="003A25A4"/>
    <w:rsid w:val="003C5D85"/>
    <w:rsid w:val="003D173F"/>
    <w:rsid w:val="003D257D"/>
    <w:rsid w:val="003E0F91"/>
    <w:rsid w:val="003E359A"/>
    <w:rsid w:val="003F1F6D"/>
    <w:rsid w:val="003F53CE"/>
    <w:rsid w:val="00401544"/>
    <w:rsid w:val="00401ADF"/>
    <w:rsid w:val="00413375"/>
    <w:rsid w:val="004213E0"/>
    <w:rsid w:val="0044409C"/>
    <w:rsid w:val="00473332"/>
    <w:rsid w:val="00477377"/>
    <w:rsid w:val="00484461"/>
    <w:rsid w:val="00496C9B"/>
    <w:rsid w:val="00497EF7"/>
    <w:rsid w:val="004A3E0A"/>
    <w:rsid w:val="004A601C"/>
    <w:rsid w:val="004B0671"/>
    <w:rsid w:val="004D06A5"/>
    <w:rsid w:val="004D1EC8"/>
    <w:rsid w:val="004E429F"/>
    <w:rsid w:val="004F08E5"/>
    <w:rsid w:val="005002B8"/>
    <w:rsid w:val="0050579C"/>
    <w:rsid w:val="0050708C"/>
    <w:rsid w:val="00523B04"/>
    <w:rsid w:val="005256B2"/>
    <w:rsid w:val="00526D13"/>
    <w:rsid w:val="005270D2"/>
    <w:rsid w:val="00535486"/>
    <w:rsid w:val="0053563D"/>
    <w:rsid w:val="00544101"/>
    <w:rsid w:val="005448AF"/>
    <w:rsid w:val="00547F55"/>
    <w:rsid w:val="00552CF2"/>
    <w:rsid w:val="00554A76"/>
    <w:rsid w:val="00564EC6"/>
    <w:rsid w:val="00581CBC"/>
    <w:rsid w:val="00584CD2"/>
    <w:rsid w:val="0058614A"/>
    <w:rsid w:val="005869D9"/>
    <w:rsid w:val="005A2B39"/>
    <w:rsid w:val="005A7576"/>
    <w:rsid w:val="005B43FF"/>
    <w:rsid w:val="005D6D75"/>
    <w:rsid w:val="005E052E"/>
    <w:rsid w:val="005E7A14"/>
    <w:rsid w:val="005F5C7B"/>
    <w:rsid w:val="00604EF9"/>
    <w:rsid w:val="00605A3A"/>
    <w:rsid w:val="00617D47"/>
    <w:rsid w:val="00636D9C"/>
    <w:rsid w:val="00643F30"/>
    <w:rsid w:val="006507FC"/>
    <w:rsid w:val="0065197B"/>
    <w:rsid w:val="0065209F"/>
    <w:rsid w:val="0065757E"/>
    <w:rsid w:val="0067484E"/>
    <w:rsid w:val="006818DE"/>
    <w:rsid w:val="00690184"/>
    <w:rsid w:val="00690F49"/>
    <w:rsid w:val="00691B38"/>
    <w:rsid w:val="00692695"/>
    <w:rsid w:val="00695F56"/>
    <w:rsid w:val="006A31DC"/>
    <w:rsid w:val="006A498C"/>
    <w:rsid w:val="006A5AFA"/>
    <w:rsid w:val="006B655A"/>
    <w:rsid w:val="006C1989"/>
    <w:rsid w:val="006D17B5"/>
    <w:rsid w:val="006D5731"/>
    <w:rsid w:val="006E1C98"/>
    <w:rsid w:val="006E57A1"/>
    <w:rsid w:val="00724500"/>
    <w:rsid w:val="007332D3"/>
    <w:rsid w:val="007549B3"/>
    <w:rsid w:val="00772134"/>
    <w:rsid w:val="00772D26"/>
    <w:rsid w:val="007816BB"/>
    <w:rsid w:val="00790E91"/>
    <w:rsid w:val="007A3B58"/>
    <w:rsid w:val="007B195A"/>
    <w:rsid w:val="007B7884"/>
    <w:rsid w:val="007B7BDE"/>
    <w:rsid w:val="007C67E6"/>
    <w:rsid w:val="007C6CD9"/>
    <w:rsid w:val="007C7693"/>
    <w:rsid w:val="007D2975"/>
    <w:rsid w:val="007E26E6"/>
    <w:rsid w:val="007E2884"/>
    <w:rsid w:val="007F34C6"/>
    <w:rsid w:val="007F3F49"/>
    <w:rsid w:val="0080391C"/>
    <w:rsid w:val="00810DB6"/>
    <w:rsid w:val="0084020F"/>
    <w:rsid w:val="008455F7"/>
    <w:rsid w:val="00852432"/>
    <w:rsid w:val="0085590C"/>
    <w:rsid w:val="008570EE"/>
    <w:rsid w:val="00861778"/>
    <w:rsid w:val="008638A9"/>
    <w:rsid w:val="00864EF2"/>
    <w:rsid w:val="00876679"/>
    <w:rsid w:val="00887F74"/>
    <w:rsid w:val="00890542"/>
    <w:rsid w:val="00892D25"/>
    <w:rsid w:val="008965FA"/>
    <w:rsid w:val="008A01F0"/>
    <w:rsid w:val="008B5F95"/>
    <w:rsid w:val="008C2F4F"/>
    <w:rsid w:val="008C3477"/>
    <w:rsid w:val="008D2CB5"/>
    <w:rsid w:val="008D2E76"/>
    <w:rsid w:val="008D5770"/>
    <w:rsid w:val="008F7A06"/>
    <w:rsid w:val="0091239D"/>
    <w:rsid w:val="009145EE"/>
    <w:rsid w:val="0091771F"/>
    <w:rsid w:val="00920B26"/>
    <w:rsid w:val="0092400A"/>
    <w:rsid w:val="00924714"/>
    <w:rsid w:val="00953AF4"/>
    <w:rsid w:val="00962CF1"/>
    <w:rsid w:val="00967318"/>
    <w:rsid w:val="00967F20"/>
    <w:rsid w:val="00973015"/>
    <w:rsid w:val="00983E6B"/>
    <w:rsid w:val="00984B89"/>
    <w:rsid w:val="00986C82"/>
    <w:rsid w:val="009878BF"/>
    <w:rsid w:val="009C067F"/>
    <w:rsid w:val="009C3257"/>
    <w:rsid w:val="009D1F94"/>
    <w:rsid w:val="009D3254"/>
    <w:rsid w:val="009F006F"/>
    <w:rsid w:val="009F0963"/>
    <w:rsid w:val="00A00973"/>
    <w:rsid w:val="00A06570"/>
    <w:rsid w:val="00A25DE4"/>
    <w:rsid w:val="00A34B1B"/>
    <w:rsid w:val="00A3595A"/>
    <w:rsid w:val="00A377C8"/>
    <w:rsid w:val="00A45DB2"/>
    <w:rsid w:val="00A51824"/>
    <w:rsid w:val="00A60D44"/>
    <w:rsid w:val="00A65261"/>
    <w:rsid w:val="00A66851"/>
    <w:rsid w:val="00A72D79"/>
    <w:rsid w:val="00A77E67"/>
    <w:rsid w:val="00A82A66"/>
    <w:rsid w:val="00A87E61"/>
    <w:rsid w:val="00A95DF4"/>
    <w:rsid w:val="00AA294E"/>
    <w:rsid w:val="00AB30ED"/>
    <w:rsid w:val="00AC1C05"/>
    <w:rsid w:val="00AC77E1"/>
    <w:rsid w:val="00AD1B67"/>
    <w:rsid w:val="00AD4382"/>
    <w:rsid w:val="00AD4A24"/>
    <w:rsid w:val="00AE4538"/>
    <w:rsid w:val="00B02070"/>
    <w:rsid w:val="00B04EDD"/>
    <w:rsid w:val="00B062C0"/>
    <w:rsid w:val="00B111B4"/>
    <w:rsid w:val="00B25813"/>
    <w:rsid w:val="00B60CAD"/>
    <w:rsid w:val="00B641F0"/>
    <w:rsid w:val="00B65EE3"/>
    <w:rsid w:val="00B675C0"/>
    <w:rsid w:val="00B8081D"/>
    <w:rsid w:val="00BB246A"/>
    <w:rsid w:val="00BB56E5"/>
    <w:rsid w:val="00BB6783"/>
    <w:rsid w:val="00BB7017"/>
    <w:rsid w:val="00BD37DB"/>
    <w:rsid w:val="00BE16D3"/>
    <w:rsid w:val="00C01133"/>
    <w:rsid w:val="00C1486A"/>
    <w:rsid w:val="00C158E6"/>
    <w:rsid w:val="00C2469A"/>
    <w:rsid w:val="00C371AE"/>
    <w:rsid w:val="00C4280E"/>
    <w:rsid w:val="00C42F4E"/>
    <w:rsid w:val="00C431B5"/>
    <w:rsid w:val="00C5571A"/>
    <w:rsid w:val="00C95710"/>
    <w:rsid w:val="00CA1C27"/>
    <w:rsid w:val="00CA30D6"/>
    <w:rsid w:val="00CA3D33"/>
    <w:rsid w:val="00CB24C7"/>
    <w:rsid w:val="00CB4CE3"/>
    <w:rsid w:val="00CC49F9"/>
    <w:rsid w:val="00CC5E9A"/>
    <w:rsid w:val="00CC6D12"/>
    <w:rsid w:val="00CC6DD3"/>
    <w:rsid w:val="00CE07DB"/>
    <w:rsid w:val="00D011D8"/>
    <w:rsid w:val="00D123C0"/>
    <w:rsid w:val="00D12E45"/>
    <w:rsid w:val="00D34B77"/>
    <w:rsid w:val="00D414A7"/>
    <w:rsid w:val="00D449C0"/>
    <w:rsid w:val="00D53217"/>
    <w:rsid w:val="00D67383"/>
    <w:rsid w:val="00D828AE"/>
    <w:rsid w:val="00D838E1"/>
    <w:rsid w:val="00DA28C2"/>
    <w:rsid w:val="00DB3C0A"/>
    <w:rsid w:val="00DC0626"/>
    <w:rsid w:val="00DC23FA"/>
    <w:rsid w:val="00DC6974"/>
    <w:rsid w:val="00DD1B83"/>
    <w:rsid w:val="00DD260F"/>
    <w:rsid w:val="00DF08C0"/>
    <w:rsid w:val="00DF321D"/>
    <w:rsid w:val="00E03600"/>
    <w:rsid w:val="00E04A52"/>
    <w:rsid w:val="00E04B80"/>
    <w:rsid w:val="00E254D1"/>
    <w:rsid w:val="00E33324"/>
    <w:rsid w:val="00E37AC4"/>
    <w:rsid w:val="00E50619"/>
    <w:rsid w:val="00E64455"/>
    <w:rsid w:val="00E75082"/>
    <w:rsid w:val="00E929B5"/>
    <w:rsid w:val="00E92ED7"/>
    <w:rsid w:val="00E94475"/>
    <w:rsid w:val="00E94892"/>
    <w:rsid w:val="00EA0674"/>
    <w:rsid w:val="00EC1FAC"/>
    <w:rsid w:val="00EC26DD"/>
    <w:rsid w:val="00EC60F2"/>
    <w:rsid w:val="00EC6395"/>
    <w:rsid w:val="00EC7C58"/>
    <w:rsid w:val="00ED5217"/>
    <w:rsid w:val="00EF0E01"/>
    <w:rsid w:val="00EF226E"/>
    <w:rsid w:val="00EF32B1"/>
    <w:rsid w:val="00F0482E"/>
    <w:rsid w:val="00F060E9"/>
    <w:rsid w:val="00F1047E"/>
    <w:rsid w:val="00F178F1"/>
    <w:rsid w:val="00F3258E"/>
    <w:rsid w:val="00F34CBA"/>
    <w:rsid w:val="00F363E6"/>
    <w:rsid w:val="00F53B00"/>
    <w:rsid w:val="00F650EF"/>
    <w:rsid w:val="00F66C1B"/>
    <w:rsid w:val="00F77B0F"/>
    <w:rsid w:val="00F900FF"/>
    <w:rsid w:val="00F93561"/>
    <w:rsid w:val="00FA459E"/>
    <w:rsid w:val="00FB02D9"/>
    <w:rsid w:val="00FB7236"/>
    <w:rsid w:val="00FC1B62"/>
    <w:rsid w:val="00FC4840"/>
    <w:rsid w:val="00FF417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57BBC3DE"/>
  <w15:chartTrackingRefBased/>
  <w15:docId w15:val="{14AC6236-2E15-4323-97F4-A5B89B8B9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690184"/>
    <w:rPr>
      <w:sz w:val="20"/>
      <w:szCs w:val="20"/>
    </w:rPr>
  </w:style>
  <w:style w:type="character" w:styleId="a6">
    <w:name w:val="footnote reference"/>
    <w:semiHidden/>
    <w:rsid w:val="00690184"/>
    <w:rPr>
      <w:vertAlign w:val="superscript"/>
    </w:rPr>
  </w:style>
  <w:style w:type="table" w:styleId="a7">
    <w:name w:val="Table Grid"/>
    <w:basedOn w:val="a1"/>
    <w:rsid w:val="00F178F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2-header">
    <w:name w:val="medium2-header"/>
    <w:basedOn w:val="a"/>
    <w:rsid w:val="000F09AC"/>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header-2">
    <w:name w:val="header-2"/>
    <w:basedOn w:val="P00"/>
    <w:rsid w:val="000916DF"/>
    <w:pPr>
      <w:keepNext/>
      <w:keepLines/>
      <w:tabs>
        <w:tab w:val="clear" w:pos="6259"/>
      </w:tabs>
      <w:spacing w:before="240"/>
      <w:jc w:val="center"/>
    </w:pPr>
    <w:rPr>
      <w:rFonts w:cs="Times New Roman"/>
      <w:szCs w:val="20"/>
    </w:rPr>
  </w:style>
  <w:style w:type="character" w:styleId="a8">
    <w:name w:val="Unresolved Mention"/>
    <w:uiPriority w:val="99"/>
    <w:semiHidden/>
    <w:unhideWhenUsed/>
    <w:rsid w:val="005002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html/law10/yalkut-11288.pdf" TargetMode="External"/><Relationship Id="rId2" Type="http://schemas.openxmlformats.org/officeDocument/2006/relationships/hyperlink" Target="https://www.nevo.co.il/law_word/law10/yalkut-9280.pdf" TargetMode="External"/><Relationship Id="rId1" Type="http://schemas.openxmlformats.org/officeDocument/2006/relationships/hyperlink" Target="https://www.nevo.co.il/law_word/law06/tak-885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50A9B-52F8-42B8-9108-D7367C8A2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8210</CharactersWithSpaces>
  <SharedDoc>false</SharedDoc>
  <HLinks>
    <vt:vector size="84" baseType="variant">
      <vt:variant>
        <vt:i4>393283</vt:i4>
      </vt:variant>
      <vt:variant>
        <vt:i4>60</vt:i4>
      </vt:variant>
      <vt:variant>
        <vt:i4>0</vt:i4>
      </vt:variant>
      <vt:variant>
        <vt:i4>5</vt:i4>
      </vt:variant>
      <vt:variant>
        <vt:lpwstr>http://www.nevo.co.il/advertisements/nevo-100.doc</vt:lpwstr>
      </vt:variant>
      <vt:variant>
        <vt:lpwstr/>
      </vt:variant>
      <vt:variant>
        <vt:i4>5505033</vt:i4>
      </vt:variant>
      <vt:variant>
        <vt:i4>54</vt:i4>
      </vt:variant>
      <vt:variant>
        <vt:i4>0</vt:i4>
      </vt:variant>
      <vt:variant>
        <vt:i4>5</vt:i4>
      </vt:variant>
      <vt:variant>
        <vt:lpwstr/>
      </vt:variant>
      <vt:variant>
        <vt:lpwstr>med1</vt:lpwstr>
      </vt:variant>
      <vt:variant>
        <vt:i4>5570569</vt:i4>
      </vt:variant>
      <vt:variant>
        <vt:i4>48</vt:i4>
      </vt:variant>
      <vt:variant>
        <vt:i4>0</vt:i4>
      </vt:variant>
      <vt:variant>
        <vt:i4>5</vt:i4>
      </vt:variant>
      <vt:variant>
        <vt:lpwstr/>
      </vt:variant>
      <vt:variant>
        <vt:lpwstr>med0</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8257628</vt:i4>
      </vt:variant>
      <vt:variant>
        <vt:i4>6</vt:i4>
      </vt:variant>
      <vt:variant>
        <vt:i4>0</vt:i4>
      </vt:variant>
      <vt:variant>
        <vt:i4>5</vt:i4>
      </vt:variant>
      <vt:variant>
        <vt:lpwstr>https://www.nevo.co.il/law_html/law10/yalkut-11288.pdf</vt:lpwstr>
      </vt:variant>
      <vt:variant>
        <vt:lpwstr/>
      </vt:variant>
      <vt:variant>
        <vt:i4>1572990</vt:i4>
      </vt:variant>
      <vt:variant>
        <vt:i4>3</vt:i4>
      </vt:variant>
      <vt:variant>
        <vt:i4>0</vt:i4>
      </vt:variant>
      <vt:variant>
        <vt:i4>5</vt:i4>
      </vt:variant>
      <vt:variant>
        <vt:lpwstr>https://www.nevo.co.il/law_word/law10/yalkut-9280.pdf</vt:lpwstr>
      </vt:variant>
      <vt:variant>
        <vt:lpwstr/>
      </vt:variant>
      <vt:variant>
        <vt:i4>7864351</vt:i4>
      </vt:variant>
      <vt:variant>
        <vt:i4>0</vt:i4>
      </vt:variant>
      <vt:variant>
        <vt:i4>0</vt:i4>
      </vt:variant>
      <vt:variant>
        <vt:i4>5</vt:i4>
      </vt:variant>
      <vt:variant>
        <vt:lpwstr>https://www.nevo.co.il/law_word/law06/tak-8856.pdf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תקשורת</vt:lpwstr>
  </property>
  <property fmtid="{D5CDD505-2E9C-101B-9397-08002B2CF9AE}" pid="4" name="LAWNAME">
    <vt:lpwstr>תקנות התקשורת (בזק ושידורים) (דיווח של בעל רישיון על אירוע מיוחד), תשפ"א-2020</vt:lpwstr>
  </property>
  <property fmtid="{D5CDD505-2E9C-101B-9397-08002B2CF9AE}" pid="5" name="LAWNUMBER">
    <vt:lpwstr>0386</vt:lpwstr>
  </property>
  <property fmtid="{D5CDD505-2E9C-101B-9397-08002B2CF9AE}" pid="6" name="TYPE">
    <vt:lpwstr>01</vt:lpwstr>
  </property>
  <property fmtid="{D5CDD505-2E9C-101B-9397-08002B2CF9AE}" pid="7" name="NOSE41">
    <vt:lpwstr>רישיון</vt:lpwstr>
  </property>
  <property fmtid="{D5CDD505-2E9C-101B-9397-08002B2CF9AE}" pid="8" name="NOSE13">
    <vt:lpwstr/>
  </property>
  <property fmtid="{D5CDD505-2E9C-101B-9397-08002B2CF9AE}" pid="9" name="NOSE23">
    <vt:lpwstr/>
  </property>
  <property fmtid="{D5CDD505-2E9C-101B-9397-08002B2CF9AE}" pid="10" name="NOSE33">
    <vt:lpwstr/>
  </property>
  <property fmtid="{D5CDD505-2E9C-101B-9397-08002B2CF9AE}" pid="11" name="NOSE43">
    <vt:lpwstr/>
  </property>
  <property fmtid="{D5CDD505-2E9C-101B-9397-08002B2CF9AE}" pid="12" name="NOSE14">
    <vt:lpwstr/>
  </property>
  <property fmtid="{D5CDD505-2E9C-101B-9397-08002B2CF9AE}" pid="13" name="NOSE24">
    <vt:lpwstr/>
  </property>
  <property fmtid="{D5CDD505-2E9C-101B-9397-08002B2CF9AE}" pid="14" name="NOSE34">
    <vt:lpwstr/>
  </property>
  <property fmtid="{D5CDD505-2E9C-101B-9397-08002B2CF9AE}" pid="15" name="NOSE44">
    <vt:lpwstr/>
  </property>
  <property fmtid="{D5CDD505-2E9C-101B-9397-08002B2CF9AE}" pid="16" name="NOSE15">
    <vt:lpwstr/>
  </property>
  <property fmtid="{D5CDD505-2E9C-101B-9397-08002B2CF9AE}" pid="17" name="NOSE25">
    <vt:lpwstr/>
  </property>
  <property fmtid="{D5CDD505-2E9C-101B-9397-08002B2CF9AE}" pid="18" name="NOSE35">
    <vt:lpwstr/>
  </property>
  <property fmtid="{D5CDD505-2E9C-101B-9397-08002B2CF9AE}" pid="19" name="NOSE45">
    <vt:lpwstr/>
  </property>
  <property fmtid="{D5CDD505-2E9C-101B-9397-08002B2CF9AE}" pid="20" name="NOSE16">
    <vt:lpwstr/>
  </property>
  <property fmtid="{D5CDD505-2E9C-101B-9397-08002B2CF9AE}" pid="21" name="NOSE26">
    <vt:lpwstr/>
  </property>
  <property fmtid="{D5CDD505-2E9C-101B-9397-08002B2CF9AE}" pid="22" name="NOSE36">
    <vt:lpwstr/>
  </property>
  <property fmtid="{D5CDD505-2E9C-101B-9397-08002B2CF9AE}" pid="23" name="NOSE46">
    <vt:lpwstr/>
  </property>
  <property fmtid="{D5CDD505-2E9C-101B-9397-08002B2CF9AE}" pid="24" name="NOSE17">
    <vt:lpwstr/>
  </property>
  <property fmtid="{D5CDD505-2E9C-101B-9397-08002B2CF9AE}" pid="25" name="NOSE27">
    <vt:lpwstr/>
  </property>
  <property fmtid="{D5CDD505-2E9C-101B-9397-08002B2CF9AE}" pid="26" name="NOSE37">
    <vt:lpwstr/>
  </property>
  <property fmtid="{D5CDD505-2E9C-101B-9397-08002B2CF9AE}" pid="27" name="NOSE47">
    <vt:lpwstr/>
  </property>
  <property fmtid="{D5CDD505-2E9C-101B-9397-08002B2CF9AE}" pid="28" name="NOSE18">
    <vt:lpwstr/>
  </property>
  <property fmtid="{D5CDD505-2E9C-101B-9397-08002B2CF9AE}" pid="29" name="NOSE28">
    <vt:lpwstr/>
  </property>
  <property fmtid="{D5CDD505-2E9C-101B-9397-08002B2CF9AE}" pid="30" name="NOSE38">
    <vt:lpwstr/>
  </property>
  <property fmtid="{D5CDD505-2E9C-101B-9397-08002B2CF9AE}" pid="31" name="NOSE48">
    <vt:lpwstr/>
  </property>
  <property fmtid="{D5CDD505-2E9C-101B-9397-08002B2CF9AE}" pid="32" name="NOSE19">
    <vt:lpwstr/>
  </property>
  <property fmtid="{D5CDD505-2E9C-101B-9397-08002B2CF9AE}" pid="33" name="NOSE29">
    <vt:lpwstr/>
  </property>
  <property fmtid="{D5CDD505-2E9C-101B-9397-08002B2CF9AE}" pid="34" name="NOSE39">
    <vt:lpwstr/>
  </property>
  <property fmtid="{D5CDD505-2E9C-101B-9397-08002B2CF9AE}" pid="35" name="NOSE49">
    <vt:lpwstr/>
  </property>
  <property fmtid="{D5CDD505-2E9C-101B-9397-08002B2CF9AE}" pid="36" name="NOSE110">
    <vt:lpwstr/>
  </property>
  <property fmtid="{D5CDD505-2E9C-101B-9397-08002B2CF9AE}" pid="37" name="NOSE210">
    <vt:lpwstr/>
  </property>
  <property fmtid="{D5CDD505-2E9C-101B-9397-08002B2CF9AE}" pid="38" name="NOSE310">
    <vt:lpwstr/>
  </property>
  <property fmtid="{D5CDD505-2E9C-101B-9397-08002B2CF9AE}" pid="39" name="NOSE410">
    <vt:lpwstr/>
  </property>
  <property fmtid="{D5CDD505-2E9C-101B-9397-08002B2CF9AE}" pid="40" name="NOSE11">
    <vt:lpwstr>רשויות ומשפט מנהלי</vt:lpwstr>
  </property>
  <property fmtid="{D5CDD505-2E9C-101B-9397-08002B2CF9AE}" pid="41" name="NOSE21">
    <vt:lpwstr>תקשורת</vt:lpwstr>
  </property>
  <property fmtid="{D5CDD505-2E9C-101B-9397-08002B2CF9AE}" pid="42" name="NOSE31">
    <vt:lpwstr>בזק ושידורים</vt:lpwstr>
  </property>
  <property fmtid="{D5CDD505-2E9C-101B-9397-08002B2CF9AE}" pid="43" name="MEKORSAMCHUT">
    <vt:lpwstr/>
  </property>
  <property fmtid="{D5CDD505-2E9C-101B-9397-08002B2CF9AE}" pid="44" name="LINKK4">
    <vt:lpwstr/>
  </property>
  <property fmtid="{D5CDD505-2E9C-101B-9397-08002B2CF9AE}" pid="45" name="LINKK5">
    <vt:lpwstr/>
  </property>
  <property fmtid="{D5CDD505-2E9C-101B-9397-08002B2CF9AE}" pid="46" name="LINKK6">
    <vt:lpwstr/>
  </property>
  <property fmtid="{D5CDD505-2E9C-101B-9397-08002B2CF9AE}" pid="47" name="LINKK7">
    <vt:lpwstr/>
  </property>
  <property fmtid="{D5CDD505-2E9C-101B-9397-08002B2CF9AE}" pid="48" name="LINKK8">
    <vt:lpwstr/>
  </property>
  <property fmtid="{D5CDD505-2E9C-101B-9397-08002B2CF9AE}" pid="49" name="LINKK9">
    <vt:lpwstr/>
  </property>
  <property fmtid="{D5CDD505-2E9C-101B-9397-08002B2CF9AE}" pid="50" name="LINKK10">
    <vt:lpwstr/>
  </property>
  <property fmtid="{D5CDD505-2E9C-101B-9397-08002B2CF9AE}" pid="51" name="LINKI1">
    <vt:lpwstr/>
  </property>
  <property fmtid="{D5CDD505-2E9C-101B-9397-08002B2CF9AE}" pid="52" name="LINKI2">
    <vt:lpwstr/>
  </property>
  <property fmtid="{D5CDD505-2E9C-101B-9397-08002B2CF9AE}" pid="53" name="LINKI3">
    <vt:lpwstr/>
  </property>
  <property fmtid="{D5CDD505-2E9C-101B-9397-08002B2CF9AE}" pid="54" name="LINKI4">
    <vt:lpwstr/>
  </property>
  <property fmtid="{D5CDD505-2E9C-101B-9397-08002B2CF9AE}" pid="55" name="LINKI5">
    <vt:lpwstr/>
  </property>
  <property fmtid="{D5CDD505-2E9C-101B-9397-08002B2CF9AE}" pid="56" name="MEKOR_NAME1">
    <vt:lpwstr>חוק התקשורת (בזק ושידורים), תשמ"ב-1982</vt:lpwstr>
  </property>
  <property fmtid="{D5CDD505-2E9C-101B-9397-08002B2CF9AE}" pid="57" name="MEKOR_SAIF1">
    <vt:lpwstr>12XבX5X;59X</vt:lpwstr>
  </property>
  <property fmtid="{D5CDD505-2E9C-101B-9397-08002B2CF9AE}" pid="58" name="LINKK2">
    <vt:lpwstr/>
  </property>
  <property fmtid="{D5CDD505-2E9C-101B-9397-08002B2CF9AE}" pid="59" name="LINKK3">
    <vt:lpwstr/>
  </property>
  <property fmtid="{D5CDD505-2E9C-101B-9397-08002B2CF9AE}" pid="60" name="MEKOR_LAWID1">
    <vt:lpwstr>74420</vt:lpwstr>
  </property>
  <property fmtid="{D5CDD505-2E9C-101B-9397-08002B2CF9AE}" pid="61" name="LINKK1">
    <vt:lpwstr>https://www.nevo.co.il/law_word/law06/tak-8856.pdf‏;רשומות - תקנות כלליות#פורסמו ק"ת תשפ"א ‏מס' 8856 #מיום 28.10.2020 עמ' 284‏</vt:lpwstr>
  </property>
</Properties>
</file>